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5b287ff76a403320ded318c7b99c6dd0e73a3b3"/>
    <w:p>
      <w:pPr>
        <w:pStyle w:val="Heading1"/>
      </w:pPr>
      <w:r>
        <w:t xml:space="preserve">Recovery Without Borders — Enhancement Change Log</w:t>
      </w:r>
    </w:p>
    <w:bookmarkStart w:id="20" w:name="what-changed-why-and-what-it-connects-to"/>
    <w:p>
      <w:pPr>
        <w:pStyle w:val="Heading2"/>
      </w:pPr>
      <w:r>
        <w:t xml:space="preserve">What Changed, Why, and What It Connects To</w:t>
      </w:r>
    </w:p>
    <w:p>
      <w:pPr>
        <w:pStyle w:val="FirstParagraph"/>
      </w:pPr>
      <w:r>
        <w:rPr>
          <w:iCs/>
          <w:i/>
        </w:rPr>
        <w:t xml:space="preserve">Prepared by: Neil J. Schwab · neil.schwab@live.ca · +1 (905) 868-6985</w:t>
      </w:r>
    </w:p>
    <w:p>
      <w:r>
        <w:pict>
          <v:rect style="width:0;height:1.5pt" o:hralign="center" o:hrstd="t" o:hr="t"/>
        </w:pict>
      </w:r>
    </w:p>
    <w:bookmarkEnd w:id="20"/>
    <w:bookmarkStart w:id="21" w:name="principle-nothing-was-replaced"/>
    <w:p>
      <w:pPr>
        <w:pStyle w:val="Heading2"/>
      </w:pPr>
      <w:r>
        <w:t xml:space="preserve">Principle: Nothing Was Replaced</w:t>
      </w:r>
    </w:p>
    <w:p>
      <w:pPr>
        <w:pStyle w:val="FirstParagraph"/>
      </w:pPr>
      <w:r>
        <w:t xml:space="preserve">The original RWOB Community Support Intake Framework &amp; Script (2026) is not broken. The 4-Step Lifecycle, the Rapid Pathway Routing Matrix, the GHL form schema, and Modules A–F all function as designed. Every change below is an addition, not a replacement. The original SOP remains the spine.</w:t>
      </w:r>
    </w:p>
    <w:p>
      <w:r>
        <w:pict>
          <v:rect style="width:0;height:1.5pt" o:hralign="center" o:hrstd="t" o:hr="t"/>
        </w:pict>
      </w:r>
    </w:p>
    <w:bookmarkEnd w:id="21"/>
    <w:bookmarkStart w:id="22" w:name="X2dd7ba7dce28965db93af2917ac8e746c73eed4"/>
    <w:p>
      <w:pPr>
        <w:pStyle w:val="Heading2"/>
      </w:pPr>
      <w:r>
        <w:t xml:space="preserve">Change 1: Added Immediate Safety Gate (Layer 1)</w:t>
      </w:r>
    </w:p>
    <w:p>
      <w:pPr>
        <w:pStyle w:val="FirstParagraph"/>
      </w:pPr>
      <w:r>
        <w:rPr>
          <w:bCs/>
          <w:b/>
        </w:rPr>
        <w:t xml:space="preserve">What:</w:t>
      </w:r>
      <w:r>
        <w:t xml:space="preserve"> </w:t>
      </w:r>
      <w:r>
        <w:t xml:space="preserve">A fail-safe crisis screen that runs before any discovery conversation begins. Screens for suicidal ideation, homicidal ideation, severe withdrawal, overdose, psychosis, and active abuse.</w:t>
      </w:r>
    </w:p>
    <w:p>
      <w:pPr>
        <w:pStyle w:val="BodyText"/>
      </w:pPr>
      <w:r>
        <w:rPr>
          <w:bCs/>
          <w:b/>
        </w:rPr>
        <w:t xml:space="preserve">Why:</w:t>
      </w:r>
      <w:r>
        <w:t xml:space="preserve"> </w:t>
      </w:r>
      <w:r>
        <w:t xml:space="preserve">The existing SOP handles crisis escalation in Module F (9-8-8 Protocol), but Module F sits at the end of the scripting sequence — after the call opening, discovery, and pathway prescription. If a member is in active crisis, the officer needs to detect that before spending 10 minutes on discovery questions. The Safety Gate moves crisis detection to the front of the encounter.</w:t>
      </w:r>
    </w:p>
    <w:p>
      <w:pPr>
        <w:pStyle w:val="BodyText"/>
      </w:pPr>
      <w:r>
        <w:rPr>
          <w:bCs/>
          <w:b/>
        </w:rPr>
        <w:t xml:space="preserve">Clinical basis:</w:t>
      </w:r>
      <w:r>
        <w:t xml:space="preserve"> </w:t>
      </w:r>
      <w:r>
        <w:t xml:space="preserve">Modelled on the Columbia Suicide Severity Rating Scale (C-SSRS), the most widely used brief suicide screening instrument in community and peer-support settings. Does not require clinical training to administer.</w:t>
      </w:r>
    </w:p>
    <w:p>
      <w:pPr>
        <w:pStyle w:val="BodyText"/>
      </w:pPr>
      <w:r>
        <w:rPr>
          <w:bCs/>
          <w:b/>
        </w:rPr>
        <w:t xml:space="preserve">What it protects:</w:t>
      </w:r>
      <w:r>
        <w:t xml:space="preserve"> </w:t>
      </w:r>
      <w:r>
        <w:t xml:space="preserve">The member (immediate safety). The officer (clear protocol to follow, no ambiguity about when to escalate). The organisation (documented, standardised crisis response).</w:t>
      </w:r>
    </w:p>
    <w:p>
      <w:pPr>
        <w:pStyle w:val="BodyText"/>
      </w:pPr>
      <w:r>
        <w:rPr>
          <w:bCs/>
          <w:b/>
        </w:rPr>
        <w:t xml:space="preserve">Connection to existing SOP:</w:t>
      </w:r>
      <w:r>
        <w:t xml:space="preserve"> </w:t>
      </w:r>
      <w:r>
        <w:t xml:space="preserve">Layer 1 is the digital front door to Module F. Same protocol, same resources, earlier activation.</w:t>
      </w:r>
    </w:p>
    <w:p>
      <w:r>
        <w:pict>
          <v:rect style="width:0;height:1.5pt" o:hralign="center" o:hrstd="t" o:hr="t"/>
        </w:pict>
      </w:r>
    </w:p>
    <w:bookmarkEnd w:id="22"/>
    <w:bookmarkStart w:id="23" w:name="X4c880f6c7156ce35001d65816359d59d58f6981"/>
    <w:p>
      <w:pPr>
        <w:pStyle w:val="Heading2"/>
      </w:pPr>
      <w:r>
        <w:t xml:space="preserve">Change 2: Added RAFT Practical Snapshot (Layer 2)</w:t>
      </w:r>
    </w:p>
    <w:p>
      <w:pPr>
        <w:pStyle w:val="FirstParagraph"/>
      </w:pPr>
      <w:r>
        <w:rPr>
          <w:bCs/>
          <w:b/>
        </w:rPr>
        <w:t xml:space="preserve">What:</w:t>
      </w:r>
      <w:r>
        <w:t xml:space="preserve"> </w:t>
      </w:r>
      <w:r>
        <w:t xml:space="preserve">Four conversational questions asked during the discovery call: Roof (housing tonight), Addiction medical flag, Fundamentals needed now, and Target (member’s own priority in their own words).</w:t>
      </w:r>
    </w:p>
    <w:p>
      <w:pPr>
        <w:pStyle w:val="BodyText"/>
      </w:pPr>
      <w:r>
        <w:rPr>
          <w:bCs/>
          <w:b/>
        </w:rPr>
        <w:t xml:space="preserve">Why:</w:t>
      </w:r>
      <w:r>
        <w:t xml:space="preserve"> </w:t>
      </w:r>
      <w:r>
        <w:t xml:space="preserve">The existing discovery conversation (Module C) explores recovery stage, friction points, and support preferences — all valuable. But it does not systematically ask whether the person has a roof tonight, whether they are in medical danger from withdrawal, or whether they have eaten today. A person who is homeless, withdrawing, or hungry cannot engage with a pathway prescription until those needs are addressed first. RAFT ensures basic safety and survival needs are captured before the conversation moves to pathways.</w:t>
      </w:r>
    </w:p>
    <w:p>
      <w:pPr>
        <w:pStyle w:val="BodyText"/>
      </w:pPr>
      <w:r>
        <w:rPr>
          <w:bCs/>
          <w:b/>
        </w:rPr>
        <w:t xml:space="preserve">Clinical basis:</w:t>
      </w:r>
      <w:r>
        <w:t xml:space="preserve"> </w:t>
      </w:r>
      <w:r>
        <w:t xml:space="preserve">Adapted from Maslow’s hierarchy of needs and the LLJ (Lifeguard’s Life Jacket) field form architecture used in crisis stabilisation settings. The</w:t>
      </w:r>
      <w:r>
        <w:t xml:space="preserve"> </w:t>
      </w:r>
      <w:r>
        <w:t xml:space="preserve">“</w:t>
      </w:r>
      <w:r>
        <w:t xml:space="preserve">T</w:t>
      </w:r>
      <w:r>
        <w:t xml:space="preserve">”</w:t>
      </w:r>
      <w:r>
        <w:t xml:space="preserve"> </w:t>
      </w:r>
      <w:r>
        <w:t xml:space="preserve">(Target) question is grounded in MI’s empowerment principle — the member names their priority, not the officer.</w:t>
      </w:r>
    </w:p>
    <w:p>
      <w:pPr>
        <w:pStyle w:val="BodyText"/>
      </w:pPr>
      <w:r>
        <w:rPr>
          <w:bCs/>
          <w:b/>
        </w:rPr>
        <w:t xml:space="preserve">What it protects:</w:t>
      </w:r>
      <w:r>
        <w:t xml:space="preserve"> </w:t>
      </w:r>
      <w:r>
        <w:t xml:space="preserve">The member (basic needs are not overlooked). The officer (clear triage logic — if roof = no, housing comes first). The organisation (documented needs assessment that supports funder reporting).</w:t>
      </w:r>
    </w:p>
    <w:p>
      <w:pPr>
        <w:pStyle w:val="BodyText"/>
      </w:pPr>
      <w:r>
        <w:rPr>
          <w:bCs/>
          <w:b/>
        </w:rPr>
        <w:t xml:space="preserve">Connection to existing SOP:</w:t>
      </w:r>
      <w:r>
        <w:t xml:space="preserve"> </w:t>
      </w:r>
      <w:r>
        <w:t xml:space="preserve">RAFT questions are woven into the Module C discovery conversation. They do not replace the existing questions — they precede them.</w:t>
      </w:r>
    </w:p>
    <w:p>
      <w:r>
        <w:pict>
          <v:rect style="width:0;height:1.5pt" o:hralign="center" o:hrstd="t" o:hr="t"/>
        </w:pict>
      </w:r>
    </w:p>
    <w:bookmarkEnd w:id="23"/>
    <w:bookmarkStart w:id="24" w:name="Xa2d8650d7653ac632e1b73e84c249ab001e78bb"/>
    <w:p>
      <w:pPr>
        <w:pStyle w:val="Heading2"/>
      </w:pPr>
      <w:r>
        <w:t xml:space="preserve">Change 3: Added Conditional Screening (Layer 3)</w:t>
      </w:r>
    </w:p>
    <w:p>
      <w:pPr>
        <w:pStyle w:val="FirstParagraph"/>
      </w:pPr>
      <w:r>
        <w:rPr>
          <w:bCs/>
          <w:b/>
        </w:rPr>
        <w:t xml:space="preserve">What:</w:t>
      </w:r>
      <w:r>
        <w:t xml:space="preserve"> </w:t>
      </w:r>
      <w:r>
        <w:t xml:space="preserve">Brief, validated screening instruments (CAGE-AID for substance use, SCOFF for eating disorders, PHQ-2 for depression, GAD-2 for anxiety) that activate only when RAFT flags indicate a need.</w:t>
      </w:r>
    </w:p>
    <w:p>
      <w:pPr>
        <w:pStyle w:val="BodyText"/>
      </w:pPr>
      <w:r>
        <w:rPr>
          <w:bCs/>
          <w:b/>
        </w:rPr>
        <w:t xml:space="preserve">Why:</w:t>
      </w:r>
      <w:r>
        <w:t xml:space="preserve"> </w:t>
      </w:r>
      <w:r>
        <w:t xml:space="preserve">The existing SOP asks the member to self-identify their presenting needs via checkboxes (Field 8). This works well for members who understand their situation and can articulate it. It does not catch members who minimise, are unaware, or who present with one concern that masks another. Conditional screening adds a layer of structured detection that catches what self-report alone may miss — without over-screening every member who walks through the door.</w:t>
      </w:r>
    </w:p>
    <w:p>
      <w:pPr>
        <w:pStyle w:val="BodyText"/>
      </w:pPr>
      <w:r>
        <w:rPr>
          <w:bCs/>
          <w:b/>
        </w:rPr>
        <w:t xml:space="preserve">Clinical basis:</w:t>
      </w:r>
      <w:r>
        <w:t xml:space="preserve"> </w:t>
      </w:r>
      <w:r>
        <w:t xml:space="preserve">All instruments are validated for non-clinical, community, and peer-support settings. Each is under 5 questions. They screen and route — they do not diagnose.</w:t>
      </w:r>
    </w:p>
    <w:p>
      <w:pPr>
        <w:pStyle w:val="BodyText"/>
      </w:pPr>
      <w:r>
        <w:rPr>
          <w:bCs/>
          <w:b/>
        </w:rPr>
        <w:t xml:space="preserve">What it protects:</w:t>
      </w:r>
      <w:r>
        <w:t xml:space="preserve"> </w:t>
      </w:r>
      <w:r>
        <w:t xml:space="preserve">The member (concerns that might otherwise be missed are flagged and routed to appropriate care). The officer (clear, instrument-based decision support — reduces the burden of clinical judgment on a peer-support worker). The organisation (documented screening with validated tools supports clinical partner confidence and funder accountability).</w:t>
      </w:r>
    </w:p>
    <w:p>
      <w:pPr>
        <w:pStyle w:val="BodyText"/>
      </w:pPr>
      <w:r>
        <w:rPr>
          <w:bCs/>
          <w:b/>
        </w:rPr>
        <w:t xml:space="preserve">Connection to existing SOP:</w:t>
      </w:r>
      <w:r>
        <w:t xml:space="preserve"> </w:t>
      </w:r>
      <w:r>
        <w:t xml:space="preserve">Layer 3 feeds directly into the existing Pathway Prescription (Module D / Step 3). A positive PHQ-2 or CAGE-AID score strengthens the rationale for routing to the Free Clinical Therapy Referral pathway.</w:t>
      </w:r>
    </w:p>
    <w:p>
      <w:pPr>
        <w:pStyle w:val="BodyText"/>
      </w:pPr>
      <w:r>
        <w:rPr>
          <w:bCs/>
          <w:b/>
        </w:rPr>
        <w:t xml:space="preserve">Important note on eating disorder resources:</w:t>
      </w:r>
      <w:r>
        <w:t xml:space="preserve"> </w:t>
      </w:r>
      <w:r>
        <w:t xml:space="preserve">Any reference to eating disorder support should direct to the National Alliance for Eating Disorders helpline, not NEDA. NEDA’s helpline has been permanently discontinued.</w:t>
      </w:r>
    </w:p>
    <w:p>
      <w:r>
        <w:pict>
          <v:rect style="width:0;height:1.5pt" o:hralign="center" o:hrstd="t" o:hr="t"/>
        </w:pict>
      </w:r>
    </w:p>
    <w:bookmarkEnd w:id="24"/>
    <w:bookmarkStart w:id="25" w:name="X653abc07f5b9de0a7a49959c46216ca986c5603"/>
    <w:p>
      <w:pPr>
        <w:pStyle w:val="Heading2"/>
      </w:pPr>
      <w:r>
        <w:t xml:space="preserve">Change 4: Added Structured Pathway Logic (Layer 4)</w:t>
      </w:r>
    </w:p>
    <w:p>
      <w:pPr>
        <w:pStyle w:val="FirstParagraph"/>
      </w:pPr>
      <w:r>
        <w:rPr>
          <w:bCs/>
          <w:b/>
        </w:rPr>
        <w:t xml:space="preserve">What:</w:t>
      </w:r>
      <w:r>
        <w:t xml:space="preserve"> </w:t>
      </w:r>
      <w:r>
        <w:t xml:space="preserve">Before the officer prescribes a pathway, the member is asked:</w:t>
      </w:r>
      <w:r>
        <w:t xml:space="preserve"> </w:t>
      </w:r>
      <w:r>
        <w:t xml:space="preserve">“</w:t>
      </w:r>
      <w:r>
        <w:t xml:space="preserve">Where do you want to go and be?</w:t>
      </w:r>
      <w:r>
        <w:t xml:space="preserve">”</w:t>
      </w:r>
      <w:r>
        <w:t xml:space="preserve"> </w:t>
      </w:r>
      <w:r>
        <w:t xml:space="preserve">The member names their own destination. The officer then matches the pathway to that destination.</w:t>
      </w:r>
    </w:p>
    <w:p>
      <w:pPr>
        <w:pStyle w:val="BodyText"/>
      </w:pPr>
      <w:r>
        <w:rPr>
          <w:bCs/>
          <w:b/>
        </w:rPr>
        <w:t xml:space="preserve">Why:</w:t>
      </w:r>
      <w:r>
        <w:t xml:space="preserve"> </w:t>
      </w:r>
      <w:r>
        <w:t xml:space="preserve">The existing Pathway Prescription (Module D) routes based on presenting need and officer assessment. This works, but the sequencing means the system is matching the person to a pathway rather than building a pathway toward the person’s stated goal. Adding the destination question first ensures the prescription serves the member’s vision, not just their presenting symptoms.</w:t>
      </w:r>
    </w:p>
    <w:p>
      <w:pPr>
        <w:pStyle w:val="BodyText"/>
      </w:pPr>
      <w:r>
        <w:rPr>
          <w:bCs/>
          <w:b/>
        </w:rPr>
        <w:t xml:space="preserve">Clinical basis:</w:t>
      </w:r>
      <w:r>
        <w:t xml:space="preserve"> </w:t>
      </w:r>
      <w:r>
        <w:t xml:space="preserve">MI’s Empowerment principle (Miller &amp; Rollnick, 2013) — the client is the expert on their own life, and the worker’s role is to activate resources the client already has. Asking</w:t>
      </w:r>
      <w:r>
        <w:t xml:space="preserve"> </w:t>
      </w:r>
      <w:r>
        <w:t xml:space="preserve">“</w:t>
      </w:r>
      <w:r>
        <w:t xml:space="preserve">where do you want to go</w:t>
      </w:r>
      <w:r>
        <w:t xml:space="preserve">”</w:t>
      </w:r>
      <w:r>
        <w:t xml:space="preserve"> </w:t>
      </w:r>
      <w:r>
        <w:t xml:space="preserve">before prescribing a pathway is the empowerment principle operationalised as a form field.</w:t>
      </w:r>
    </w:p>
    <w:p>
      <w:pPr>
        <w:pStyle w:val="BodyText"/>
      </w:pPr>
      <w:r>
        <w:rPr>
          <w:bCs/>
          <w:b/>
        </w:rPr>
        <w:t xml:space="preserve">What it protects:</w:t>
      </w:r>
      <w:r>
        <w:t xml:space="preserve"> </w:t>
      </w:r>
      <w:r>
        <w:t xml:space="preserve">The member (their agency and self-determination are centred). The officer (clearer rationale for the prescription —</w:t>
      </w:r>
      <w:r>
        <w:t xml:space="preserve"> </w:t>
      </w:r>
      <w:r>
        <w:t xml:space="preserve">“</w:t>
      </w:r>
      <w:r>
        <w:t xml:space="preserve">I’m recommending this because you said you want X</w:t>
      </w:r>
      <w:r>
        <w:t xml:space="preserve">”</w:t>
      </w:r>
      <w:r>
        <w:t xml:space="preserve">). The organisation (member-directed care is a stronger position for funder narratives and outcome reporting).</w:t>
      </w:r>
    </w:p>
    <w:p>
      <w:pPr>
        <w:pStyle w:val="BodyText"/>
      </w:pPr>
      <w:r>
        <w:rPr>
          <w:bCs/>
          <w:b/>
        </w:rPr>
        <w:t xml:space="preserve">Connection to existing SOP:</w:t>
      </w:r>
      <w:r>
        <w:t xml:space="preserve"> </w:t>
      </w:r>
      <w:r>
        <w:t xml:space="preserve">Layer 4 strengthens Module D. The four existing pathways remain unchanged. The routing logic gains one additional input: the member’s own stated destination.</w:t>
      </w:r>
    </w:p>
    <w:p>
      <w:r>
        <w:pict>
          <v:rect style="width:0;height:1.5pt" o:hralign="center" o:hrstd="t" o:hr="t"/>
        </w:pict>
      </w:r>
    </w:p>
    <w:bookmarkEnd w:id="25"/>
    <w:bookmarkStart w:id="26" w:name="change-5-added-48-hour-safety-follow-up"/>
    <w:p>
      <w:pPr>
        <w:pStyle w:val="Heading2"/>
      </w:pPr>
      <w:r>
        <w:t xml:space="preserve">Change 5: Added 48-Hour Safety Follow-Up</w:t>
      </w:r>
    </w:p>
    <w:p>
      <w:pPr>
        <w:pStyle w:val="FirstParagraph"/>
      </w:pPr>
      <w:r>
        <w:rPr>
          <w:bCs/>
          <w:b/>
        </w:rPr>
        <w:t xml:space="preserve">What:</w:t>
      </w:r>
      <w:r>
        <w:t xml:space="preserve"> </w:t>
      </w:r>
      <w:r>
        <w:t xml:space="preserve">When the Safety Gate (Layer 1) is triggered, the standard 14-day check-in (Field 16) is replaced by a 48-hour safety follow-up task.</w:t>
      </w:r>
    </w:p>
    <w:p>
      <w:pPr>
        <w:pStyle w:val="BodyText"/>
      </w:pPr>
      <w:r>
        <w:rPr>
          <w:bCs/>
          <w:b/>
        </w:rPr>
        <w:t xml:space="preserve">Why:</w:t>
      </w:r>
      <w:r>
        <w:t xml:space="preserve"> </w:t>
      </w:r>
      <w:r>
        <w:t xml:space="preserve">A member who was in crisis during intake should not wait 14 days for follow-up. 48 hours is the standard safety follow-up window in crisis intervention settings.</w:t>
      </w:r>
    </w:p>
    <w:p>
      <w:pPr>
        <w:pStyle w:val="BodyText"/>
      </w:pPr>
      <w:r>
        <w:rPr>
          <w:bCs/>
          <w:b/>
        </w:rPr>
        <w:t xml:space="preserve">Connection to existing SOP:</w:t>
      </w:r>
      <w:r>
        <w:t xml:space="preserve"> </w:t>
      </w:r>
      <w:r>
        <w:t xml:space="preserve">Replaces the timing on Field 16 for crisis-flagged contacts only. All other contacts retain the standard 14-day check-in.</w:t>
      </w:r>
    </w:p>
    <w:p>
      <w:r>
        <w:pict>
          <v:rect style="width:0;height:1.5pt" o:hralign="center" o:hrstd="t" o:hr="t"/>
        </w:pict>
      </w:r>
    </w:p>
    <w:bookmarkEnd w:id="26"/>
    <w:bookmarkStart w:id="27" w:name="change-6-added-ghl-tags-for-new-layers"/>
    <w:p>
      <w:pPr>
        <w:pStyle w:val="Heading2"/>
      </w:pPr>
      <w:r>
        <w:t xml:space="preserve">Change 6: Added GHL Tags for New Layers</w:t>
      </w:r>
    </w:p>
    <w:p>
      <w:pPr>
        <w:pStyle w:val="FirstParagraph"/>
      </w:pPr>
      <w:r>
        <w:rPr>
          <w:bCs/>
          <w:b/>
        </w:rPr>
        <w:t xml:space="preserve">What:</w:t>
      </w:r>
      <w:r>
        <w:t xml:space="preserve"> </w:t>
      </w:r>
      <w:r>
        <w:t xml:space="preserve">New standardised tags for GHL:</w:t>
      </w:r>
      <w:r>
        <w:t xml:space="preserve"> </w:t>
      </w:r>
      <w:r>
        <w:t xml:space="preserve">“</w:t>
      </w:r>
      <w:r>
        <w:t xml:space="preserve">Safety: Crisis-Flagged,</w:t>
      </w:r>
      <w:r>
        <w:t xml:space="preserve">”</w:t>
      </w:r>
      <w:r>
        <w:t xml:space="preserve"> </w:t>
      </w:r>
      <w:r>
        <w:t xml:space="preserve">“</w:t>
      </w:r>
      <w:r>
        <w:t xml:space="preserve">Needs: Housing-Urgent,</w:t>
      </w:r>
      <w:r>
        <w:t xml:space="preserve">”</w:t>
      </w:r>
      <w:r>
        <w:t xml:space="preserve"> </w:t>
      </w:r>
      <w:r>
        <w:t xml:space="preserve">“</w:t>
      </w:r>
      <w:r>
        <w:t xml:space="preserve">Needs: Substance-Medical-Flag,</w:t>
      </w:r>
      <w:r>
        <w:t xml:space="preserve">”</w:t>
      </w:r>
      <w:r>
        <w:t xml:space="preserve"> </w:t>
      </w:r>
      <w:r>
        <w:t xml:space="preserve">“</w:t>
      </w:r>
      <w:r>
        <w:t xml:space="preserve">Screen: CAGE-Positive,</w:t>
      </w:r>
      <w:r>
        <w:t xml:space="preserve">”</w:t>
      </w:r>
      <w:r>
        <w:t xml:space="preserve"> </w:t>
      </w:r>
      <w:r>
        <w:t xml:space="preserve">“</w:t>
      </w:r>
      <w:r>
        <w:t xml:space="preserve">Screen: PHQ2-Positive,</w:t>
      </w:r>
      <w:r>
        <w:t xml:space="preserve">”</w:t>
      </w:r>
      <w:r>
        <w:t xml:space="preserve"> </w:t>
      </w:r>
      <w:r>
        <w:t xml:space="preserve">etc.</w:t>
      </w:r>
    </w:p>
    <w:p>
      <w:pPr>
        <w:pStyle w:val="BodyText"/>
      </w:pPr>
      <w:r>
        <w:rPr>
          <w:bCs/>
          <w:b/>
        </w:rPr>
        <w:t xml:space="preserve">Why:</w:t>
      </w:r>
      <w:r>
        <w:t xml:space="preserve"> </w:t>
      </w:r>
      <w:r>
        <w:t xml:space="preserve">The existing tagging taxonomy (Section 1.3) covers lifecycle status, pathway, group assignment, and clinical referral status. The new tags extend this taxonomy to cover safety events, urgent needs, and screening results — enabling GHL automation to trigger appropriate follow-up sequences for each.</w:t>
      </w:r>
    </w:p>
    <w:p>
      <w:pPr>
        <w:pStyle w:val="BodyText"/>
      </w:pPr>
      <w:r>
        <w:rPr>
          <w:bCs/>
          <w:b/>
        </w:rPr>
        <w:t xml:space="preserve">Connection to existing SOP:</w:t>
      </w:r>
      <w:r>
        <w:t xml:space="preserve"> </w:t>
      </w:r>
      <w:r>
        <w:t xml:space="preserve">Extends the existing taxonomy. Does not modify existing tags or automations.</w:t>
      </w:r>
    </w:p>
    <w:p>
      <w:r>
        <w:pict>
          <v:rect style="width:0;height:1.5pt" o:hralign="center" o:hrstd="t" o:hr="t"/>
        </w:pict>
      </w:r>
    </w:p>
    <w:bookmarkEnd w:id="27"/>
    <w:bookmarkStart w:id="28" w:name="X961299c7084718504b9e2d02587b2c555e17558"/>
    <w:p>
      <w:pPr>
        <w:pStyle w:val="Heading2"/>
      </w:pPr>
      <w:r>
        <w:t xml:space="preserve">Change 7: Added Bridge ’N G.A.P.S. App as Client-Facing Companion Tool</w:t>
      </w:r>
    </w:p>
    <w:p>
      <w:pPr>
        <w:pStyle w:val="FirstParagraph"/>
      </w:pPr>
      <w:r>
        <w:rPr>
          <w:bCs/>
          <w:b/>
        </w:rPr>
        <w:t xml:space="preserve">What:</w:t>
      </w:r>
      <w:r>
        <w:t xml:space="preserve"> </w:t>
      </w:r>
      <w:r>
        <w:t xml:space="preserve">A dual-mode (Worker/Client) HTML app that provides structured PAWS education, G.A.P.S. practice tools, CENAPS relapse prevention architecture, CBT-SUD knowledge library, client journaling, and a worker-client communication bridge — all running locally on the member’s device with no server dependency.</w:t>
      </w:r>
    </w:p>
    <w:p>
      <w:pPr>
        <w:pStyle w:val="BodyText"/>
      </w:pPr>
      <w:r>
        <w:rPr>
          <w:bCs/>
          <w:b/>
        </w:rPr>
        <w:t xml:space="preserve">Why:</w:t>
      </w:r>
      <w:r>
        <w:t xml:space="preserve"> </w:t>
      </w:r>
      <w:r>
        <w:t xml:space="preserve">RWOB’s existing 24/7 Digital Recovery App pathway provides journaling, mood tracking, and an AI assistant. These are valuable engagement tools. What they do not provide is structured clinical education (PAWS timeline, 12 Blocks, relapse-as-process), portable practice tools (Sacred Pause, Fish Bowl, Gifts Protocol), or a human communication channel between the member and their intake officer between sessions. The Bridge app fills all three gaps without replacing the existing app.</w:t>
      </w:r>
    </w:p>
    <w:p>
      <w:pPr>
        <w:pStyle w:val="BodyText"/>
      </w:pPr>
      <w:r>
        <w:rPr>
          <w:bCs/>
          <w:b/>
        </w:rPr>
        <w:t xml:space="preserve">Clinical basis:</w:t>
      </w:r>
      <w:r>
        <w:t xml:space="preserve"> </w:t>
      </w:r>
      <w:r>
        <w:t xml:space="preserve">The app’s Client Mode knowledge library is sourced from CBT-SUD coursework (Thought-Feeling-Behaviour chains, cognitive distortions, HALT checks, DBT skills) and the CENAPS/Gorski relapse prevention model. PAWS alerts are grounded in Gorski’s (2013) research on post-acute withdrawal as a primary relapse driver. G.A.P.S. practice tools operationalise MI’s empowerment principle — the member has 24/7 access to self-directed recovery tools without needing to wait for a session.</w:t>
      </w:r>
    </w:p>
    <w:p>
      <w:pPr>
        <w:pStyle w:val="BodyText"/>
      </w:pPr>
      <w:r>
        <w:rPr>
          <w:bCs/>
          <w:b/>
        </w:rPr>
        <w:t xml:space="preserve">What it protects:</w:t>
      </w:r>
      <w:r>
        <w:t xml:space="preserve"> </w:t>
      </w:r>
      <w:r>
        <w:t xml:space="preserve">The member (structured education and practice tools available 24/7, not just during sessions). The officer (clear boundary between Worker Mode privacy and Client Mode sharing — the Bridge is opt-in, not open access). The organisation (engagement data without privacy intrusion; local-only storage means no server liability).</w:t>
      </w:r>
    </w:p>
    <w:p>
      <w:pPr>
        <w:pStyle w:val="BodyText"/>
      </w:pPr>
      <w:r>
        <w:rPr>
          <w:bCs/>
          <w:b/>
        </w:rPr>
        <w:t xml:space="preserve">Connection to existing SOP:</w:t>
      </w:r>
      <w:r>
        <w:t xml:space="preserve"> </w:t>
      </w:r>
      <w:r>
        <w:t xml:space="preserve">Delivered as part of Module E (Closing). Complements the existing Digital Recovery App pathway. Reviewed at the 14-day check-in using engagement trends and the Bridge thread.</w:t>
      </w:r>
    </w:p>
    <w:p>
      <w:r>
        <w:pict>
          <v:rect style="width:0;height:1.5pt" o:hralign="center" o:hrstd="t" o:hr="t"/>
        </w:pict>
      </w:r>
    </w:p>
    <w:bookmarkEnd w:id="28"/>
    <w:bookmarkStart w:id="29" w:name="X4072e991965e977007d6b2665241a2d264bdc57"/>
    <w:p>
      <w:pPr>
        <w:pStyle w:val="Heading2"/>
      </w:pPr>
      <w:r>
        <w:t xml:space="preserve">Summary: What the Original Does Well and What the Enhancements Add</w:t>
      </w:r>
    </w:p>
    <w:p>
      <w:pPr>
        <w:pStyle w:val="FirstParagraph"/>
      </w:pPr>
      <w:r>
        <w:rPr>
          <w:bCs/>
          <w:b/>
        </w:rPr>
        <w:t xml:space="preserve">The original SOP does well:</w:t>
      </w:r>
    </w:p>
    <w:p>
      <w:pPr>
        <w:numPr>
          <w:ilvl w:val="0"/>
          <w:numId w:val="1001"/>
        </w:numPr>
        <w:pStyle w:val="Compact"/>
      </w:pPr>
      <w:r>
        <w:t xml:space="preserve">Clean 4-step lifecycle with clear SLAs</w:t>
      </w:r>
    </w:p>
    <w:p>
      <w:pPr>
        <w:numPr>
          <w:ilvl w:val="0"/>
          <w:numId w:val="1001"/>
        </w:numPr>
        <w:pStyle w:val="Compact"/>
      </w:pPr>
      <w:r>
        <w:t xml:space="preserve">Comprehensive GHL form schema with 16 fields</w:t>
      </w:r>
    </w:p>
    <w:p>
      <w:pPr>
        <w:numPr>
          <w:ilvl w:val="0"/>
          <w:numId w:val="1001"/>
        </w:numPr>
        <w:pStyle w:val="Compact"/>
      </w:pPr>
      <w:r>
        <w:t xml:space="preserve">Six scripting modules covering the full intake conversation</w:t>
      </w:r>
    </w:p>
    <w:p>
      <w:pPr>
        <w:numPr>
          <w:ilvl w:val="0"/>
          <w:numId w:val="1001"/>
        </w:numPr>
        <w:pStyle w:val="Compact"/>
      </w:pPr>
      <w:r>
        <w:t xml:space="preserve">Pathway routing matrix matching needs to four free services</w:t>
      </w:r>
    </w:p>
    <w:p>
      <w:pPr>
        <w:numPr>
          <w:ilvl w:val="0"/>
          <w:numId w:val="1001"/>
        </w:numPr>
        <w:pStyle w:val="Compact"/>
      </w:pPr>
      <w:r>
        <w:t xml:space="preserve">Crisis de-escalation protocol (Module F)</w:t>
      </w:r>
    </w:p>
    <w:p>
      <w:pPr>
        <w:numPr>
          <w:ilvl w:val="0"/>
          <w:numId w:val="1001"/>
        </w:numPr>
        <w:pStyle w:val="Compact"/>
      </w:pPr>
      <w:r>
        <w:t xml:space="preserve">Standardised tagging and automation</w:t>
      </w:r>
    </w:p>
    <w:p>
      <w:pPr>
        <w:pStyle w:val="FirstParagraph"/>
      </w:pPr>
      <w:r>
        <w:rPr>
          <w:bCs/>
          <w:b/>
        </w:rPr>
        <w:t xml:space="preserve">The enhancements add:</w:t>
      </w:r>
    </w:p>
    <w:p>
      <w:pPr>
        <w:numPr>
          <w:ilvl w:val="0"/>
          <w:numId w:val="1002"/>
        </w:numPr>
        <w:pStyle w:val="Compact"/>
      </w:pPr>
      <w:r>
        <w:t xml:space="preserve">Crisis detection moved to the front of the encounter (not just the end)</w:t>
      </w:r>
    </w:p>
    <w:p>
      <w:pPr>
        <w:numPr>
          <w:ilvl w:val="0"/>
          <w:numId w:val="1002"/>
        </w:numPr>
        <w:pStyle w:val="Compact"/>
      </w:pPr>
      <w:r>
        <w:t xml:space="preserve">Basic survival needs captured systematically (housing, food, medical safety)</w:t>
      </w:r>
    </w:p>
    <w:p>
      <w:pPr>
        <w:numPr>
          <w:ilvl w:val="0"/>
          <w:numId w:val="1002"/>
        </w:numPr>
        <w:pStyle w:val="Compact"/>
      </w:pPr>
      <w:r>
        <w:t xml:space="preserve">Validated screening instruments for members who cannot self-identify their needs</w:t>
      </w:r>
    </w:p>
    <w:p>
      <w:pPr>
        <w:numPr>
          <w:ilvl w:val="0"/>
          <w:numId w:val="1002"/>
        </w:numPr>
        <w:pStyle w:val="Compact"/>
      </w:pPr>
      <w:r>
        <w:t xml:space="preserve">Member’s own stated destination centred before pathway prescription</w:t>
      </w:r>
    </w:p>
    <w:p>
      <w:pPr>
        <w:numPr>
          <w:ilvl w:val="0"/>
          <w:numId w:val="1002"/>
        </w:numPr>
        <w:pStyle w:val="Compact"/>
      </w:pPr>
      <w:r>
        <w:t xml:space="preserve">Faster follow-up for crisis-flagged members</w:t>
      </w:r>
    </w:p>
    <w:p>
      <w:pPr>
        <w:numPr>
          <w:ilvl w:val="0"/>
          <w:numId w:val="1002"/>
        </w:numPr>
        <w:pStyle w:val="Compact"/>
      </w:pPr>
      <w:r>
        <w:t xml:space="preserve">Extended GHL tagging for safety, needs, and screening events</w:t>
      </w:r>
    </w:p>
    <w:p>
      <w:pPr>
        <w:numPr>
          <w:ilvl w:val="0"/>
          <w:numId w:val="1002"/>
        </w:numPr>
        <w:pStyle w:val="Compact"/>
      </w:pPr>
      <w:r>
        <w:t xml:space="preserve">Client-facing app with structured PAWS education, G.A.P.S. practice tools, CENAPS relapse prevention, journaling, and a worker-client communication bridge</w:t>
      </w:r>
    </w:p>
    <w:p>
      <w:pPr>
        <w:pStyle w:val="FirstParagraph"/>
      </w:pPr>
      <w:r>
        <w:rPr>
          <w:bCs/>
          <w:b/>
        </w:rPr>
        <w:t xml:space="preserve">Nothing was removed. Nothing was overwritten. The original SOP is the foundation. These layers strengthen it.</w:t>
      </w:r>
    </w:p>
    <w:p>
      <w:r>
        <w:pict>
          <v:rect style="width:0;height:1.5pt" o:hralign="center" o:hrstd="t" o:hr="t"/>
        </w:pict>
      </w:r>
    </w:p>
    <w:bookmarkEnd w:id="29"/>
    <w:bookmarkStart w:id="30" w:name="Xc7efa4f979ea76e6ba0b924f177a21ba6aac586"/>
    <w:p>
      <w:pPr>
        <w:pStyle w:val="Heading2"/>
      </w:pPr>
      <w:r>
        <w:t xml:space="preserve">Open Items Requiring RWOB Leadership Decision</w:t>
      </w:r>
    </w:p>
    <w:p>
      <w:pPr>
        <w:numPr>
          <w:ilvl w:val="0"/>
          <w:numId w:val="1003"/>
        </w:numPr>
      </w:pPr>
      <w:r>
        <w:rPr>
          <w:bCs/>
          <w:b/>
        </w:rPr>
        <w:t xml:space="preserve">Local resource list:</w:t>
      </w:r>
      <w:r>
        <w:t xml:space="preserve"> </w:t>
      </w:r>
      <w:r>
        <w:t xml:space="preserve">Screening results need somewhere to route. The list of local services for each operating geography has not yet been compiled.</w:t>
      </w:r>
    </w:p>
    <w:p>
      <w:pPr>
        <w:numPr>
          <w:ilvl w:val="0"/>
          <w:numId w:val="1003"/>
        </w:numPr>
      </w:pPr>
      <w:r>
        <w:rPr>
          <w:bCs/>
          <w:b/>
        </w:rPr>
        <w:t xml:space="preserve">GHL build:</w:t>
      </w:r>
      <w:r>
        <w:t xml:space="preserve"> </w:t>
      </w:r>
      <w:r>
        <w:t xml:space="preserve">Enhancement layers need to be configured in GoHighLevel as a secondary intake page. Technical implementation pending.</w:t>
      </w:r>
    </w:p>
    <w:p>
      <w:pPr>
        <w:numPr>
          <w:ilvl w:val="0"/>
          <w:numId w:val="1003"/>
        </w:numPr>
      </w:pPr>
      <w:r>
        <w:rPr>
          <w:bCs/>
          <w:b/>
        </w:rPr>
        <w:t xml:space="preserve">Clinical advisor sign-off:</w:t>
      </w:r>
      <w:r>
        <w:t xml:space="preserve"> </w:t>
      </w:r>
      <w:r>
        <w:t xml:space="preserve">Screening instruments require review to confirm appropriateness for RWOB’s peer-support scope.</w:t>
      </w:r>
    </w:p>
    <w:p>
      <w:pPr>
        <w:numPr>
          <w:ilvl w:val="0"/>
          <w:numId w:val="1003"/>
        </w:numPr>
      </w:pPr>
      <w:r>
        <w:rPr>
          <w:bCs/>
          <w:b/>
        </w:rPr>
        <w:t xml:space="preserve">Officer training:</w:t>
      </w:r>
      <w:r>
        <w:t xml:space="preserve"> </w:t>
      </w:r>
      <w:r>
        <w:t xml:space="preserve">Estimated 4–8 hours for RAFT administration, screening instrument scoring, and Safety Gate protocol.</w:t>
      </w:r>
    </w:p>
    <w:p>
      <w:r>
        <w:pict>
          <v:rect style="width:0;height:1.5pt" o:hralign="center" o:hrstd="t" o:hr="t"/>
        </w:pict>
      </w:r>
    </w:p>
    <w:p>
      <w:pPr>
        <w:pStyle w:val="FirstParagraph"/>
      </w:pPr>
      <w:r>
        <w:rPr>
          <w:iCs/>
          <w:i/>
        </w:rPr>
        <w:t xml:space="preserve">Prepared for RWOB internal review.</w:t>
      </w:r>
    </w:p>
    <w:p>
      <w:pPr>
        <w:pStyle w:val="BodyText"/>
      </w:pPr>
      <w:r>
        <w:rPr>
          <w:iCs/>
          <w:i/>
        </w:rPr>
        <w:t xml:space="preserve">Neil J. Schwab · neil.schwab@live.ca · +1 (905) 868-6985 · Newmarket, Ontario</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2026-08-22T05:05:30Z</dcterms:created>
  <dcterms:modified xsi:type="dcterms:W3CDTF">2026-08-22T05:05:30Z</dcterms:modified>
</cp:coreProperties>
</file>

<file path=docProps/custom.xml><?xml version="1.0" encoding="utf-8"?>
<Properties xmlns="http://schemas.openxmlformats.org/officeDocument/2006/custom-properties" xmlns:vt="http://schemas.openxmlformats.org/officeDocument/2006/docPropsVTypes"/>
</file>