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9A6A1F"/>
          <w:sz w:val="22"/>
          <w:szCs w:val="22"/>
        </w:rPr>
        <w:t xml:space="preserve">Recovery Without Borders</w:t>
      </w:r>
    </w:p>
    <w:p>
      <w:pPr>
        <w:spacing w:after="40"/>
        <w:jc w:val="center"/>
      </w:pPr>
      <w:r>
        <w:rPr>
          <w:b/>
          <w:bCs/>
          <w:color w:val="1F2937"/>
          <w:sz w:val="36"/>
          <w:szCs w:val="36"/>
        </w:rPr>
        <w:t xml:space="preserve">Integrated Intake Architecture</w:t>
      </w:r>
    </w:p>
    <w:p>
      <w:pPr>
        <w:spacing w:after="200"/>
        <w:jc w:val="center"/>
      </w:pPr>
      <w:r>
        <w:rPr>
          <w:i/>
          <w:iCs/>
          <w:color w:val="6B7280"/>
          <w:sz w:val="22"/>
          <w:szCs w:val="22"/>
        </w:rPr>
        <w:t xml:space="preserve">Chronological Rationale, Layered Design, and Cross-Reference to the Existing SOP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</w:tblGrid>
      <w:tr>
        <w:tc>
          <w:tcPr>
            <w:shd w:fill="8C2F2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PEER-SUPPORT SCOPE MAINTAINED THROUGHOUT: THIS SYSTEM DETECTS, FLAGS, AND ROUTES. IT DOES NOT DIAGNOSE OR TREAT.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sz w:val="21"/>
          <w:szCs w:val="21"/>
        </w:rPr>
        <w:t xml:space="preserve">Purpose of this document: </w:t>
      </w:r>
    </w:p>
    <w:p>
      <w:pPr>
        <w:spacing w:after="120"/>
      </w:pPr>
      <w:r>
        <w:rPr>
          <w:sz w:val="21"/>
          <w:szCs w:val="21"/>
        </w:rPr>
        <w:t xml:space="preserve">This is the integration of everything built across this project into one architecture, laid against the existing RWOB Community Support Intake Framework &amp; Script (the corporate SOP originally provided). Part 1 shows what's changing and why, in order. Part 2 is the full layered intake design. Part 3 cross-references every new layer back to the existing Modules A–F so nothing here is presented as a wholesale replacement of what the organization already runs. Part 4 is what's still open and pending — most importantly, the actual local resource and therapy-pathway list, which is not yet built into this document.</w:t>
      </w:r>
    </w:p>
    <w:p>
      <w:pPr>
        <w:spacing w:after="12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i/>
          <w:iCs/>
          <w:color w:val="6B7280"/>
          <w:sz w:val="19"/>
          <w:szCs w:val="19"/>
        </w:rPr>
        <w:t xml:space="preserve">Prepared by: Neil J. Schwab · neil.schwab@live.ca · (905) 868-6985</w:t>
      </w:r>
    </w:p>
    <w:p>
      <w:pPr>
        <w:pStyle w:val="Heading1"/>
        <w:pBdr>
          <w:bottom w:val="single" w:color="1F2937" w:sz="8" w:space="4"/>
        </w:pBdr>
        <w:spacing w:after="180" w:before="380"/>
      </w:pPr>
      <w:r>
        <w:rPr>
          <w:b/>
          <w:bCs/>
          <w:color w:val="1F2937"/>
          <w:sz w:val="28"/>
          <w:szCs w:val="28"/>
        </w:rPr>
        <w:t xml:space="preserve">Part 1 — Chronological Modification Log</w:t>
      </w:r>
    </w:p>
    <w:p>
      <w:pPr>
        <w:spacing w:after="120"/>
      </w:pPr>
      <w:r>
        <w:rPr>
          <w:sz w:val="21"/>
          <w:szCs w:val="21"/>
        </w:rPr>
        <w:t xml:space="preserve">Each entry below reflects a design decision made across this project, in the order it was made, with the reasoning behind it. This is the audit trail for multi-contributor review.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6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44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pct" w:w="50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Kept the existing RWOB signup form as-is; new layers added as a secondary page rather than editing the live SOP directly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Protects the org's live intake from multi-contributor edit conflicts; the existing form is not broken, so it isn't touched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Added an Immediate Safety Gate as the first new layer, interrupting the flow if triggered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Fail-safe gating pattern — the highest-consequence signal must win the routing decision no matter what else is on the form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Added a RAFT-style practical-needs snapshot (roof, food, water, meds, shower, warmth, transport, one named priority)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Closes the gap between 'peer chat' and 'what does this person need in the next 24 hours' — adapted from the existing LGLJ field form architecture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Scoped the deeper clinical screening layer (CAGE-AID, DAST-10, process addiction, eating disorder, mental health) to trigger only off RAFT's flags, not run unconditionally for everyone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Avoids over-screening; keeps the encounter proportionate to what the person actually presents with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Replaced the DPA app's résumé-keyword HCS score with a client-stated destination ("where do you want to go and be") as the new HCS definition for RWOB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Restores HCS to its original intent (Horizon Contemplation Select) and shifts the architecture from work-matching to client-directed recovery pathway selection — MI's Empowerment principle operationalized as a form field</w:t>
            </w:r>
          </w:p>
        </w:tc>
      </w:tr>
      <w:tr>
        <w:tc>
          <w:tcPr>
            <w:tcW w:type="pct" w:w="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 GREEN/BLACK/GOLD quiz content and the therapy-pathway mapping table both marked PENDING rather than filled in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GREEN/BLACK/GOLD content is still flagged as reconstructed, not verified, in the DPA app's own code; the pathway map depends on the local resource list, which hasn't been compiled yet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2937" w:sz="8" w:space="4"/>
        </w:pBdr>
        <w:spacing w:after="180" w:before="380"/>
      </w:pPr>
      <w:r>
        <w:rPr>
          <w:b/>
          <w:bCs/>
          <w:color w:val="1F2937"/>
          <w:sz w:val="28"/>
          <w:szCs w:val="28"/>
        </w:rPr>
        <w:t xml:space="preserve">Part 2 — The Layered Intake Design</w:t>
      </w:r>
    </w:p>
    <w:p>
      <w:pPr>
        <w:pStyle w:val="Heading2"/>
        <w:spacing w:after="100" w:before="260"/>
      </w:pPr>
      <w:r>
        <w:rPr>
          <w:b/>
          <w:bCs/>
          <w:color w:val="9A6A1F"/>
          <w:sz w:val="22"/>
          <w:szCs w:val="22"/>
        </w:rPr>
        <w:t xml:space="preserve">Layer 0 — Existing Member Signup (Unchanged)</w:t>
      </w:r>
    </w:p>
    <w:p>
      <w:pPr>
        <w:spacing w:after="120"/>
      </w:pPr>
      <w:r>
        <w:rPr>
          <w:sz w:val="21"/>
          <w:szCs w:val="21"/>
        </w:rPr>
        <w:t xml:space="preserve">Name, contact info, how they heard about RWOB, basic need. This stays exactly as it is today.</w:t>
      </w:r>
    </w:p>
    <w:p>
      <w:pPr>
        <w:pStyle w:val="Heading2"/>
        <w:spacing w:after="100" w:before="260"/>
      </w:pPr>
      <w:r>
        <w:rPr>
          <w:b/>
          <w:bCs/>
          <w:color w:val="9A6A1F"/>
          <w:sz w:val="22"/>
          <w:szCs w:val="22"/>
        </w:rPr>
        <w:t xml:space="preserve">Layer 1 — Immediate Safety Gate</w:t>
      </w:r>
    </w:p>
    <w:p>
      <w:pPr>
        <w:spacing w:after="120"/>
      </w:pPr>
      <w:r>
        <w:rPr>
          <w:sz w:val="21"/>
          <w:szCs w:val="21"/>
        </w:rPr>
        <w:t xml:space="preserve">Runs first on the secondary page, before anything else. Modeled on the C-SSRS screener: current ideation, intent, plan, past attempt — plus homicidal ideation, severe withdrawal symptoms, overdose/medical emergency, psychosis, and active abuse.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</w:tblGrid>
      <w:tr>
        <w:tc>
          <w:tcPr>
            <w:tcBorders>
              <w:top w:val="single" w:color="8C2F2F" w:sz="4"/>
              <w:left w:val="single" w:color="8C2F2F" w:sz="20"/>
              <w:bottom w:val="single" w:color="8C2F2F" w:sz="4"/>
              <w:right w:val="single" w:color="8C2F2F" w:sz="4"/>
            </w:tcBorders>
            <w:shd w:fill="F5E9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8C2F2F"/>
                <w:sz w:val="19"/>
                <w:szCs w:val="19"/>
              </w:rPr>
              <w:t xml:space="preserve">ON A POSITIVE RESPONSE</w:t>
            </w:r>
          </w:p>
          <w:p>
            <w:r>
              <w:rPr>
                <w:color w:val="222222"/>
                <w:sz w:val="19"/>
                <w:szCs w:val="19"/>
              </w:rPr>
              <w:t xml:space="preserve">The form interrupts immediately and routes to crisis resources: Canada — 988 (call or text), Text CONNECT to 686868; USA — 988, Text HOME to 741741; International — findahelpline.com; plus a direct line to your nearest emergency department, no permission needed. This matches the front-matter safety language already in use across your published books — same resource block, same wording, so the organization speaks with one voice on its single most safety-critical content.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pStyle w:val="Heading2"/>
        <w:spacing w:after="100" w:before="260"/>
      </w:pPr>
      <w:r>
        <w:rPr>
          <w:b/>
          <w:bCs/>
          <w:color w:val="9A6A1F"/>
          <w:sz w:val="22"/>
          <w:szCs w:val="22"/>
        </w:rPr>
        <w:t xml:space="preserve">Layer 2 — RAFT Practical Snapshot</w:t>
      </w:r>
    </w:p>
    <w:p>
      <w:pPr>
        <w:spacing w:after="120"/>
      </w:pPr>
      <w:r>
        <w:rPr>
          <w:sz w:val="21"/>
          <w:szCs w:val="21"/>
        </w:rPr>
        <w:t xml:space="preserve">R — Roof tonight (yes/no). A — Addiction medical flag (opioids/alcohol/stimulants/poly/unsure/none — one line, not a full screen). F — Fundamentals needed now (food/water/meds/shower/warmth/transport, multi-select). T — Target: their named priority, in their own words.</w:t>
      </w:r>
    </w:p>
    <w:p>
      <w:pPr>
        <w:spacing w:after="120"/>
      </w:pPr>
      <w:r>
        <w:rPr>
          <w:sz w:val="21"/>
          <w:szCs w:val="21"/>
        </w:rPr>
        <w:t xml:space="preserve">This layer's A-flag is what conditionally opens Layer 3 below — a positive flag opens the matching deeper screen; "none" skips straight to Layer 4.</w:t>
      </w:r>
    </w:p>
    <w:p>
      <w:pPr>
        <w:pStyle w:val="Heading2"/>
        <w:spacing w:after="100" w:before="260"/>
      </w:pPr>
      <w:r>
        <w:rPr>
          <w:b/>
          <w:bCs/>
          <w:color w:val="9A6A1F"/>
          <w:sz w:val="22"/>
          <w:szCs w:val="22"/>
        </w:rPr>
        <w:t xml:space="preserve">Layer 3 — Conditional Screening (Opens Only Off RAFT Flags)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pct" w:w="40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Instrument</w:t>
            </w:r>
          </w:p>
        </w:tc>
        <w:tc>
          <w:tcPr>
            <w:tcW w:type="pct" w:w="38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Opens When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Substance use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CAGE-AID, DAST-10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RAFT's Addiction flag is opioids/alcohol/stimulants/poly/unsure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Process addiction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Brief Bio-Social Gambling Screen + equivalent for compulsive/sexual behavior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Client indicates a non-substance compulsive pattern anywhere on the form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Eating disorder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SCOFF (5 questions)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Client indicates disordered eating, or worker/system judgment flags it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Mental health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PHQ-2, GAD-2, PC-PTSD-5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Any positive screen above, or client self-indicates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Functional-impact flags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Relationship instability, identity disturbance, impulsivity, emotion dysregulation — referral flags only, never a diagnostic label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Worker discretion, never client self-selected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sz w:val="21"/>
          <w:szCs w:val="21"/>
        </w:rPr>
        <w:t xml:space="preserve">Eating disorder resourcing note: any crisis-adjacent reference here should point to the National Alliance for Eating Disorders helpline, not NEDA — NEDA's helpline has been permanently discontinued.</w:t>
      </w:r>
    </w:p>
    <w:p>
      <w:pPr>
        <w:pStyle w:val="Heading2"/>
        <w:spacing w:after="100" w:before="260"/>
      </w:pPr>
      <w:r>
        <w:rPr>
          <w:b/>
          <w:bCs/>
          <w:color w:val="9A6A1F"/>
          <w:sz w:val="22"/>
          <w:szCs w:val="22"/>
        </w:rPr>
        <w:t xml:space="preserve">Layer 4 — The Colour Palette Engine (Adapted for RWOB)</w:t>
      </w:r>
    </w:p>
    <w:p>
      <w:pPr>
        <w:spacing w:after="120"/>
      </w:pPr>
      <w:r>
        <w:rPr>
          <w:sz w:val="21"/>
          <w:szCs w:val="21"/>
        </w:rPr>
        <w:t xml:space="preserve">This is the redesigned DPA logic. Sequence matters and is deliberate: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6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pct" w:w="84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— HCS (redefined)</w:t>
            </w:r>
          </w:p>
        </w:tc>
        <w:tc>
          <w:tcPr>
            <w:tcW w:type="pct" w:w="8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Client states their own destination — where they want to go and be. This replaces the résumé-keyword score. The client names the goal before anything else, so the colour read that follows is in service of a destination they already chose, not the other way around.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— Hue</w:t>
            </w:r>
          </w:p>
        </w:tc>
        <w:tc>
          <w:tcPr>
            <w:tcW w:type="pct" w:w="8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5-question quiz identifies the client's dominant colour (WHITE/BLUE/GREEN/BLACK/GOLD) — verified content only for WHITE/BLUE; GREEN/BLACK/GOLD stay flagged PENDING per Part 4.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 — Shade &amp; Tint</w:t>
            </w:r>
          </w:p>
        </w:tc>
        <w:tc>
          <w:tcPr>
            <w:tcW w:type="pct" w:w="8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 ACEs-based Shade read (or route to a human conversation instead — never mandatory), plus a Tint read from the Wheel 3 personality questionnaire.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— Mildred</w:t>
            </w:r>
          </w:p>
        </w:tc>
        <w:tc>
          <w:tcPr>
            <w:tcW w:type="pct" w:w="8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Constructs the pathway: given this client's stated destination (HCS) and colour profile (Hue/Shade/Tint), which of RWOB's available modalities and contacts actually get them there — not a generic best-fit, a fit for the destination they named.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sz w:val="21"/>
          <w:szCs w:val="21"/>
        </w:rPr>
        <w:t xml:space="preserve">This is agency-first by design: the client chooses where they're going, and the system's job is constructing the path there — matching the same self-determination logic your Clinical Foundations Briefing already grounds in MI's Empowerment principle.</w:t>
      </w:r>
    </w:p>
    <w:p>
      <w:pPr>
        <w:pStyle w:val="Heading2"/>
        <w:spacing w:after="100" w:before="260"/>
      </w:pPr>
      <w:r>
        <w:rPr>
          <w:b/>
          <w:bCs/>
          <w:color w:val="9A6A1F"/>
          <w:sz w:val="22"/>
          <w:szCs w:val="22"/>
        </w:rPr>
        <w:t xml:space="preserve">Layer 5 — Pathway Routing &amp; Local Resources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</w:tblGrid>
      <w:tr>
        <w:tc>
          <w:tcPr>
            <w:shd w:fill="9A6A1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PENDING — NOT YET BUILT INTO THIS DOCUMENT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2937" w:sz="8" w:space="4"/>
        </w:pBdr>
        <w:spacing w:after="180" w:before="380"/>
      </w:pPr>
      <w:r>
        <w:rPr>
          <w:b/>
          <w:bCs/>
          <w:color w:val="1F2937"/>
          <w:sz w:val="28"/>
          <w:szCs w:val="28"/>
        </w:rPr>
        <w:t xml:space="preserve">Part 3 — Cross-Reference to Existing Modules A–F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Existing RWOB Module</w:t>
            </w:r>
          </w:p>
        </w:tc>
        <w:tc>
          <w:tcPr>
            <w:tcW w:type="pct" w:w="30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New Layer It Connects To</w:t>
            </w:r>
          </w:p>
        </w:tc>
        <w:tc>
          <w:tcPr>
            <w:tcW w:type="pct" w:w="40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 — Outbound Outreach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Layer 0 (unchanged)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 — Live Call Opening &amp; Non-Clinical Framing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Layers 1–2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Safety Gate and RAFT run inside this same non-clinical stance — detect and route, not diagnose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 — Value-Based Needs Discovery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Layers 2–3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RAFT and conditional screening are a structured version of the same discovery conversation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 — Pathway Prescription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Layer 4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Colour Palette Engine is the structured version of pathway matching — same goal, added rigor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 — Closing &amp; 14-Day Check-In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Unchanged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change — Palette output feeds into this existing close, doesn't replace it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 — Emergency Crisis De-Escalation (9-8-8)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Layer 1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Layer 1 is this module's digital front door — same protocol, now geo-aware per the WHMIS/crisis-resource work already done</w:t>
            </w:r>
          </w:p>
        </w:tc>
      </w:tr>
    </w:tbl>
    <w:p>
      <w:pPr>
        <w:pStyle w:val="Heading1"/>
        <w:pBdr>
          <w:bottom w:val="single" w:color="1F2937" w:sz="8" w:space="4"/>
        </w:pBdr>
        <w:spacing w:after="180" w:before="380"/>
      </w:pPr>
      <w:r>
        <w:rPr>
          <w:b/>
          <w:bCs/>
          <w:color w:val="1F2937"/>
          <w:sz w:val="28"/>
          <w:szCs w:val="28"/>
        </w:rPr>
        <w:t xml:space="preserve">Part 4 — Open Items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pct" w:w="50%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Local resource &amp; therapy-pathway list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yet compiled — Layer 5 is a placeholder until this exists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DPA Wheel 1/2 GREEN, BLACK, GOLD content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Still flagged reconstructed, not verified — do not use these three results in real routing until resolved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Geo-aware crisis routing beyond Canada/US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Designed in principle (Part 5 of the WHMIS Expansion file); not yet built into Layer 1's actual routing logic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Clinical/legal sign-off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Required before any of this goes live — this document is architecture, not certification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Prepared for internal review — Recovery Without Borders.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Neil J. Schwab · neil.schwab@live.ca · (905) 868-6985 · Newmarket, Ontario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2026-08-22T02:48:08.567Z</dcterms:created>
  <dcterms:modified xsi:type="dcterms:W3CDTF">2026-08-22T02:48:08.578Z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