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B7A25" w14:textId="77777777" w:rsidR="00D8123C" w:rsidRPr="00D8123C" w:rsidRDefault="00D8123C" w:rsidP="00D8123C">
      <w:pPr>
        <w:spacing w:after="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lang w:eastAsia="en-CA"/>
          <w14:ligatures w14:val="none"/>
        </w:rPr>
        <w:t>HALO — Human Advocacy &amp; Liberative Operations</w:t>
      </w:r>
    </w:p>
    <w:p w14:paraId="6259B781" w14:textId="77777777" w:rsidR="00D8123C" w:rsidRPr="00D8123C" w:rsidRDefault="00D8123C" w:rsidP="00D8123C">
      <w:pPr>
        <w:spacing w:after="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555555"/>
          <w:kern w:val="0"/>
          <w:sz w:val="20"/>
          <w:szCs w:val="20"/>
          <w:lang w:eastAsia="en-CA"/>
          <w14:ligatures w14:val="none"/>
        </w:rPr>
        <w:t>Neil J. Schwab — Framework Architect</w:t>
      </w:r>
    </w:p>
    <w:p w14:paraId="26E1B671" w14:textId="77777777" w:rsidR="00D8123C" w:rsidRPr="00D8123C" w:rsidRDefault="00D8123C" w:rsidP="00D8123C">
      <w:pPr>
        <w:spacing w:after="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555555"/>
          <w:kern w:val="0"/>
          <w:sz w:val="20"/>
          <w:szCs w:val="20"/>
          <w:lang w:eastAsia="en-CA"/>
          <w14:ligatures w14:val="none"/>
        </w:rPr>
        <w:t>neil.schwab@live.ca · +1 (905) 868-6985 · Newmarket, Ontario, Canada</w:t>
      </w:r>
    </w:p>
    <w:p w14:paraId="3C20DA14" w14:textId="77777777" w:rsidR="00D8123C" w:rsidRPr="00D8123C" w:rsidRDefault="00D8123C" w:rsidP="00D8123C">
      <w:pPr>
        <w:pBdr>
          <w:bottom w:val="single" w:sz="6" w:space="0" w:color="CCCCCC"/>
        </w:pBdr>
        <w:spacing w:before="200" w:after="200" w:line="240" w:lineRule="auto"/>
        <w:rPr>
          <w:rFonts w:ascii="Times New Roman" w:eastAsia="Times New Roman" w:hAnsi="Times New Roman" w:cs="Times New Roman"/>
          <w:kern w:val="0"/>
          <w:lang w:eastAsia="en-CA"/>
          <w14:ligatures w14:val="none"/>
        </w:rPr>
      </w:pPr>
    </w:p>
    <w:p w14:paraId="535B009D" w14:textId="77777777" w:rsidR="00D8123C" w:rsidRPr="00D8123C" w:rsidRDefault="00D8123C" w:rsidP="00D8123C">
      <w:pPr>
        <w:spacing w:after="4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August 28, 2026</w:t>
      </w:r>
    </w:p>
    <w:p w14:paraId="65336E96" w14:textId="77777777" w:rsidR="00D8123C" w:rsidRPr="00D8123C" w:rsidRDefault="00D8123C" w:rsidP="00D8123C">
      <w:pPr>
        <w:spacing w:after="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To: The WHMIS Oversight Committee / Health Canada</w:t>
      </w:r>
    </w:p>
    <w:p w14:paraId="01264B62" w14:textId="77777777" w:rsidR="00D8123C" w:rsidRPr="00D8123C" w:rsidRDefault="00D8123C" w:rsidP="00D8123C">
      <w:pPr>
        <w:spacing w:after="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cc: Global Restoration Stewardship Trust Initiative</w:t>
      </w:r>
    </w:p>
    <w:p w14:paraId="3526AEBE" w14:textId="77777777" w:rsidR="00D8123C" w:rsidRPr="00D8123C" w:rsidRDefault="00D8123C" w:rsidP="00D8123C">
      <w:pPr>
        <w:spacing w:after="4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cc: Canadian Centre for Occupational Health and Safety (CCOHS)</w:t>
      </w:r>
    </w:p>
    <w:p w14:paraId="280A7516" w14:textId="77777777" w:rsidR="00D8123C" w:rsidRPr="00D8123C" w:rsidRDefault="00D8123C" w:rsidP="00D8123C">
      <w:pPr>
        <w:spacing w:after="4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RE: Proposed WHMIS Expansion — GREEN (Psychological Hazard) and Expanded BLACK (Chronic Occupational Burden) — Evidence from Addiction Services</w:t>
      </w:r>
    </w:p>
    <w:p w14:paraId="343A859A"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This letter presents the clinical, neurological, and economic case for two amendments to the Workplace Hazardous Materials Information System (WHMIS), framed specifically from the evidence base of Canada's addiction services sector. This is not a theoretical exercise. The data below is drawn from a library of 34 cross-referenced source documents developed by HALO — Human Advocacy &amp; Liberative Operations — over a period of sustained clinical research, field tool development, and institutional measurement design.</w:t>
      </w:r>
    </w:p>
    <w:p w14:paraId="44243468"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The two proposed amendments are:</w:t>
      </w:r>
    </w:p>
    <w:p w14:paraId="3BFB589B" w14:textId="77777777" w:rsidR="00D8123C" w:rsidRPr="00D8123C" w:rsidRDefault="00D8123C" w:rsidP="00D8123C">
      <w:pPr>
        <w:spacing w:after="1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1. GREEN — </w:t>
      </w:r>
      <w:r w:rsidRPr="00D8123C">
        <w:rPr>
          <w:rFonts w:ascii="Calibri" w:eastAsia="Times New Roman" w:hAnsi="Calibri" w:cs="Calibri"/>
          <w:color w:val="000000"/>
          <w:kern w:val="0"/>
          <w:sz w:val="22"/>
          <w:szCs w:val="22"/>
          <w:lang w:eastAsia="en-CA"/>
          <w14:ligatures w14:val="none"/>
        </w:rPr>
        <w:t>A new WHMIS hazard category for psychological and emotional hazards: cumulative stress, vicarious trauma, compassion fatigue, and moral injury.</w:t>
      </w:r>
    </w:p>
    <w:p w14:paraId="3482F3CC" w14:textId="77777777" w:rsidR="00D8123C" w:rsidRPr="00D8123C" w:rsidRDefault="00D8123C" w:rsidP="00D8123C">
      <w:pPr>
        <w:spacing w:after="2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2. BLACK (Expanded) — </w:t>
      </w:r>
      <w:r w:rsidRPr="00D8123C">
        <w:rPr>
          <w:rFonts w:ascii="Calibri" w:eastAsia="Times New Roman" w:hAnsi="Calibri" w:cs="Calibri"/>
          <w:color w:val="000000"/>
          <w:kern w:val="0"/>
          <w:sz w:val="22"/>
          <w:szCs w:val="22"/>
          <w:lang w:eastAsia="en-CA"/>
          <w14:ligatures w14:val="none"/>
        </w:rPr>
        <w:t>Formal recognition of the psychological shadow dimension alongside BLACK's existing biohazard/warning classification: the long-term chronic weight carried by workers in hazardous clinical environments.</w:t>
      </w:r>
    </w:p>
    <w:p w14:paraId="1ECFA983"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i/>
          <w:iCs/>
          <w:color w:val="000000"/>
          <w:kern w:val="0"/>
          <w:sz w:val="22"/>
          <w:szCs w:val="22"/>
          <w:lang w:eastAsia="en-CA"/>
          <w14:ligatures w14:val="none"/>
        </w:rPr>
        <w:t>Regulatory status: prepared for submission — not yet submitted, not in force.</w:t>
      </w:r>
    </w:p>
    <w:p w14:paraId="1FA6B63F" w14:textId="77777777" w:rsidR="00D8123C" w:rsidRPr="00D8123C" w:rsidRDefault="00D8123C" w:rsidP="00D8123C">
      <w:pPr>
        <w:spacing w:before="400" w:after="200" w:line="240" w:lineRule="auto"/>
        <w:outlineLvl w:val="1"/>
        <w:rPr>
          <w:rFonts w:ascii="Times New Roman" w:eastAsia="Times New Roman" w:hAnsi="Times New Roman" w:cs="Times New Roman"/>
          <w:b/>
          <w:bCs/>
          <w:kern w:val="0"/>
          <w:sz w:val="36"/>
          <w:szCs w:val="36"/>
          <w:lang w:eastAsia="en-CA"/>
          <w14:ligatures w14:val="none"/>
        </w:rPr>
      </w:pPr>
      <w:r w:rsidRPr="00D8123C">
        <w:rPr>
          <w:rFonts w:ascii="Calibri" w:eastAsia="Times New Roman" w:hAnsi="Calibri" w:cs="Calibri"/>
          <w:b/>
          <w:bCs/>
          <w:color w:val="2E74B5"/>
          <w:kern w:val="0"/>
          <w:sz w:val="26"/>
          <w:szCs w:val="26"/>
          <w:lang w:eastAsia="en-CA"/>
          <w14:ligatures w14:val="none"/>
        </w:rPr>
        <w:t>1. Why Addiction Services Demands This Amendment</w:t>
      </w:r>
    </w:p>
    <w:p w14:paraId="59AA5671"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 xml:space="preserve">Addiction services workers operate in an environment of sustained psychological hazard that the current WHMIS system does not name. The Lighthouse Resilience Program (LRP), developed by HALO and scored at 100% at </w:t>
      </w:r>
      <w:proofErr w:type="spellStart"/>
      <w:r w:rsidRPr="00D8123C">
        <w:rPr>
          <w:rFonts w:ascii="Calibri" w:eastAsia="Times New Roman" w:hAnsi="Calibri" w:cs="Calibri"/>
          <w:color w:val="000000"/>
          <w:kern w:val="0"/>
          <w:sz w:val="22"/>
          <w:szCs w:val="22"/>
          <w:lang w:eastAsia="en-CA"/>
          <w14:ligatures w14:val="none"/>
        </w:rPr>
        <w:t>triOS</w:t>
      </w:r>
      <w:proofErr w:type="spellEnd"/>
      <w:r w:rsidRPr="00D8123C">
        <w:rPr>
          <w:rFonts w:ascii="Calibri" w:eastAsia="Times New Roman" w:hAnsi="Calibri" w:cs="Calibri"/>
          <w:color w:val="000000"/>
          <w:kern w:val="0"/>
          <w:sz w:val="22"/>
          <w:szCs w:val="22"/>
          <w:lang w:eastAsia="en-CA"/>
          <w14:ligatures w14:val="none"/>
        </w:rPr>
        <w:t xml:space="preserve"> College, has documented </w:t>
      </w:r>
      <w:r w:rsidRPr="00D8123C">
        <w:rPr>
          <w:rFonts w:ascii="Calibri" w:eastAsia="Times New Roman" w:hAnsi="Calibri" w:cs="Calibri"/>
          <w:b/>
          <w:bCs/>
          <w:color w:val="000000"/>
          <w:kern w:val="0"/>
          <w:sz w:val="22"/>
          <w:szCs w:val="22"/>
          <w:lang w:eastAsia="en-CA"/>
          <w14:ligatures w14:val="none"/>
        </w:rPr>
        <w:t>29 distinct occupational stressors across four domains</w:t>
      </w:r>
      <w:r w:rsidRPr="00D8123C">
        <w:rPr>
          <w:rFonts w:ascii="Calibri" w:eastAsia="Times New Roman" w:hAnsi="Calibri" w:cs="Calibri"/>
          <w:color w:val="000000"/>
          <w:kern w:val="0"/>
          <w:sz w:val="22"/>
          <w:szCs w:val="22"/>
          <w:lang w:eastAsia="en-CA"/>
          <w14:ligatures w14:val="none"/>
        </w:rPr>
        <w:t xml:space="preserve"> affecting front-line addiction workers:</w:t>
      </w:r>
    </w:p>
    <w:p w14:paraId="76C318CB" w14:textId="77777777" w:rsidR="00D8123C" w:rsidRPr="00D8123C" w:rsidRDefault="00D8123C" w:rsidP="00D8123C">
      <w:pPr>
        <w:spacing w:after="1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Psychological &amp; Emotional (12 stressors): </w:t>
      </w:r>
      <w:r w:rsidRPr="00D8123C">
        <w:rPr>
          <w:rFonts w:ascii="Calibri" w:eastAsia="Times New Roman" w:hAnsi="Calibri" w:cs="Calibri"/>
          <w:color w:val="000000"/>
          <w:kern w:val="0"/>
          <w:sz w:val="22"/>
          <w:szCs w:val="22"/>
          <w:lang w:eastAsia="en-CA"/>
          <w14:ligatures w14:val="none"/>
        </w:rPr>
        <w:t>Burnout, compassion fatigue, vicarious trauma, hypervigilance, emotional enmeshment, rescue urge / savior complex, pathological altruism, identity erosion, black-and-white thinking, emotional contagion, moral injury, cynicism and hopelessness.</w:t>
      </w:r>
    </w:p>
    <w:p w14:paraId="359B2B98" w14:textId="77777777" w:rsidR="00D8123C" w:rsidRPr="00D8123C" w:rsidRDefault="00D8123C" w:rsidP="00D8123C">
      <w:pPr>
        <w:spacing w:after="1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Neurological &amp; Biological (7 stressors): </w:t>
      </w:r>
      <w:r w:rsidRPr="00D8123C">
        <w:rPr>
          <w:rFonts w:ascii="Calibri" w:eastAsia="Times New Roman" w:hAnsi="Calibri" w:cs="Calibri"/>
          <w:color w:val="000000"/>
          <w:kern w:val="0"/>
          <w:sz w:val="22"/>
          <w:szCs w:val="22"/>
          <w:lang w:eastAsia="en-CA"/>
          <w14:ligatures w14:val="none"/>
        </w:rPr>
        <w:t>Chronic sympathetic activation, prefrontal cortex shutdown, cortisol dominance, dopamine-driven chaos seeking, oxytocin paradox, nervous system dysregulation, somatic collapse.</w:t>
      </w:r>
    </w:p>
    <w:p w14:paraId="1CE425D6" w14:textId="77777777" w:rsidR="00D8123C" w:rsidRPr="00D8123C" w:rsidRDefault="00D8123C" w:rsidP="00D8123C">
      <w:pPr>
        <w:spacing w:after="1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Relational &amp; Professional (5 stressors): </w:t>
      </w:r>
      <w:r w:rsidRPr="00D8123C">
        <w:rPr>
          <w:rFonts w:ascii="Calibri" w:eastAsia="Times New Roman" w:hAnsi="Calibri" w:cs="Calibri"/>
          <w:color w:val="000000"/>
          <w:kern w:val="0"/>
          <w:sz w:val="22"/>
          <w:szCs w:val="22"/>
          <w:lang w:eastAsia="en-CA"/>
          <w14:ligatures w14:val="none"/>
        </w:rPr>
        <w:t>Boundary blurring, projection and countertransference, withdrawal and isolation, team conflict and miscommunication, attachment system collapse.</w:t>
      </w:r>
    </w:p>
    <w:p w14:paraId="778C3E62" w14:textId="77777777" w:rsidR="00D8123C" w:rsidRPr="00D8123C" w:rsidRDefault="00D8123C" w:rsidP="00D8123C">
      <w:pPr>
        <w:spacing w:after="2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Behavioural &amp; Performance (5 stressors): </w:t>
      </w:r>
      <w:r w:rsidRPr="00D8123C">
        <w:rPr>
          <w:rFonts w:ascii="Calibri" w:eastAsia="Times New Roman" w:hAnsi="Calibri" w:cs="Calibri"/>
          <w:color w:val="000000"/>
          <w:kern w:val="0"/>
          <w:sz w:val="22"/>
          <w:szCs w:val="22"/>
          <w:lang w:eastAsia="en-CA"/>
          <w14:ligatures w14:val="none"/>
        </w:rPr>
        <w:t>Impaired professional judgment, avoidance behaviours, presenteeism, neglect of documentation and protocol, substance use reliance.</w:t>
      </w:r>
    </w:p>
    <w:p w14:paraId="5A4225EB"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These are not occasional risks. They are the daily operating conditions of the sector. A worker who handles hydrochloric acid is protected by WHMIS signage, training, and PPE. A worker who absorbs a client's suicide attempt narrative, manages a PAWS-driven emotional crisis, navigates countertransference, and carries moral injury from systemic limitations — all in the same shift — currently has no equivalent hazard recognition in the regulatory system.</w:t>
      </w:r>
    </w:p>
    <w:p w14:paraId="36B58D00" w14:textId="77777777" w:rsidR="00D8123C" w:rsidRPr="00D8123C" w:rsidRDefault="00D8123C" w:rsidP="00D8123C">
      <w:pPr>
        <w:spacing w:before="400" w:after="200" w:line="240" w:lineRule="auto"/>
        <w:outlineLvl w:val="1"/>
        <w:rPr>
          <w:rFonts w:ascii="Times New Roman" w:eastAsia="Times New Roman" w:hAnsi="Times New Roman" w:cs="Times New Roman"/>
          <w:b/>
          <w:bCs/>
          <w:kern w:val="0"/>
          <w:sz w:val="36"/>
          <w:szCs w:val="36"/>
          <w:lang w:eastAsia="en-CA"/>
          <w14:ligatures w14:val="none"/>
        </w:rPr>
      </w:pPr>
      <w:r w:rsidRPr="00D8123C">
        <w:rPr>
          <w:rFonts w:ascii="Calibri" w:eastAsia="Times New Roman" w:hAnsi="Calibri" w:cs="Calibri"/>
          <w:b/>
          <w:bCs/>
          <w:color w:val="2E74B5"/>
          <w:kern w:val="0"/>
          <w:sz w:val="26"/>
          <w:szCs w:val="26"/>
          <w:lang w:eastAsia="en-CA"/>
          <w14:ligatures w14:val="none"/>
        </w:rPr>
        <w:t>2. The Neurochemical Evidence — D.O.S.E. Framework</w:t>
      </w:r>
    </w:p>
    <w:p w14:paraId="6DEF10AA"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The HALO colour system is anchored to the D.O.S.E. neurochemical framework (Dopamine, Oxytocin, Serotonin, Endorphins), providing measurable biological correlates for each colour domain. These are not metaphors — they are the neurochemical systems depleted by specific stressor categories and restored by specific clinical modalities:</w:t>
      </w:r>
    </w:p>
    <w:p w14:paraId="075F3788" w14:textId="77777777" w:rsidR="00D8123C" w:rsidRPr="00D8123C" w:rsidRDefault="00D8123C" w:rsidP="00D8123C">
      <w:pPr>
        <w:spacing w:after="1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WHITE (Serotonin): </w:t>
      </w:r>
      <w:r w:rsidRPr="00D8123C">
        <w:rPr>
          <w:rFonts w:ascii="Calibri" w:eastAsia="Times New Roman" w:hAnsi="Calibri" w:cs="Calibri"/>
          <w:color w:val="000000"/>
          <w:kern w:val="0"/>
          <w:sz w:val="22"/>
          <w:szCs w:val="22"/>
          <w:lang w:eastAsia="en-CA"/>
          <w14:ligatures w14:val="none"/>
        </w:rPr>
        <w:t>Baseline regulation. Depleted by cognitive fog, orientation uncertainty, structural drift. Restored by navigation services, system orientation, harm reduction.</w:t>
      </w:r>
    </w:p>
    <w:p w14:paraId="6AE213ED" w14:textId="77777777" w:rsidR="00D8123C" w:rsidRPr="00D8123C" w:rsidRDefault="00D8123C" w:rsidP="00D8123C">
      <w:pPr>
        <w:spacing w:after="1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BLUE (Oxytocin): </w:t>
      </w:r>
      <w:r w:rsidRPr="00D8123C">
        <w:rPr>
          <w:rFonts w:ascii="Calibri" w:eastAsia="Times New Roman" w:hAnsi="Calibri" w:cs="Calibri"/>
          <w:color w:val="000000"/>
          <w:kern w:val="0"/>
          <w:sz w:val="22"/>
          <w:szCs w:val="22"/>
          <w:lang w:eastAsia="en-CA"/>
          <w14:ligatures w14:val="none"/>
        </w:rPr>
        <w:t>Connection and depth. Depleted by emotional overreaction/numbness (PAWS H2), unprocessed grief, enmeshment, interpersonal conflict. Restored by community counselling, family therapy, grief work.</w:t>
      </w:r>
    </w:p>
    <w:p w14:paraId="7E235BC9" w14:textId="77777777" w:rsidR="00D8123C" w:rsidRPr="00D8123C" w:rsidRDefault="00D8123C" w:rsidP="00D8123C">
      <w:pPr>
        <w:spacing w:after="1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GREEN (Serotonin — proposed): </w:t>
      </w:r>
      <w:r w:rsidRPr="00D8123C">
        <w:rPr>
          <w:rFonts w:ascii="Calibri" w:eastAsia="Times New Roman" w:hAnsi="Calibri" w:cs="Calibri"/>
          <w:color w:val="000000"/>
          <w:kern w:val="0"/>
          <w:sz w:val="22"/>
          <w:szCs w:val="22"/>
          <w:lang w:eastAsia="en-CA"/>
          <w14:ligatures w14:val="none"/>
        </w:rPr>
        <w:t>Growth, nurturing, healing. The psychological hazard domain. Worker stressors mapping here: moral injury, cynicism, identity erosion. Without GREEN, these hazards have no regulatory name.</w:t>
      </w:r>
    </w:p>
    <w:p w14:paraId="2D85356B" w14:textId="77777777" w:rsidR="00D8123C" w:rsidRPr="00D8123C" w:rsidRDefault="00D8123C" w:rsidP="00D8123C">
      <w:pPr>
        <w:spacing w:after="1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YELLOW (Endorphins): </w:t>
      </w:r>
      <w:r w:rsidRPr="00D8123C">
        <w:rPr>
          <w:rFonts w:ascii="Calibri" w:eastAsia="Times New Roman" w:hAnsi="Calibri" w:cs="Calibri"/>
          <w:color w:val="000000"/>
          <w:kern w:val="0"/>
          <w:sz w:val="22"/>
          <w:szCs w:val="22"/>
          <w:lang w:eastAsia="en-CA"/>
          <w14:ligatures w14:val="none"/>
        </w:rPr>
        <w:t>Action and recovery. Depleted by stress sensitivity (PAWS H4), cravings (PAWS H5), social pressure. Restored by crisis support, withdrawal management, RAAM clinics.</w:t>
      </w:r>
    </w:p>
    <w:p w14:paraId="6A5F0609" w14:textId="77777777" w:rsidR="00D8123C" w:rsidRPr="00D8123C" w:rsidRDefault="00D8123C" w:rsidP="00D8123C">
      <w:pPr>
        <w:spacing w:after="1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RED (Cortisol regulation): </w:t>
      </w:r>
      <w:r w:rsidRPr="00D8123C">
        <w:rPr>
          <w:rFonts w:ascii="Calibri" w:eastAsia="Times New Roman" w:hAnsi="Calibri" w:cs="Calibri"/>
          <w:color w:val="000000"/>
          <w:kern w:val="0"/>
          <w:sz w:val="22"/>
          <w:szCs w:val="22"/>
          <w:lang w:eastAsia="en-CA"/>
          <w14:ligatures w14:val="none"/>
        </w:rPr>
        <w:t>Acute crisis response. Physical relapse stage (CENAPS), immediate danger. Reserved for emergency-tier organizations.</w:t>
      </w:r>
    </w:p>
    <w:p w14:paraId="5A778200" w14:textId="77777777" w:rsidR="00D8123C" w:rsidRPr="00D8123C" w:rsidRDefault="00D8123C" w:rsidP="00D8123C">
      <w:pPr>
        <w:spacing w:after="2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BLACK (All four — full activation): </w:t>
      </w:r>
      <w:r w:rsidRPr="00D8123C">
        <w:rPr>
          <w:rFonts w:ascii="Calibri" w:eastAsia="Times New Roman" w:hAnsi="Calibri" w:cs="Calibri"/>
          <w:color w:val="000000"/>
          <w:kern w:val="0"/>
          <w:sz w:val="22"/>
          <w:szCs w:val="22"/>
          <w:lang w:eastAsia="en-CA"/>
          <w14:ligatures w14:val="none"/>
        </w:rPr>
        <w:t>Identity confusion (PAWS H7), anhedonia (PAWS H6), sleep architecture disruption (PAWS H3), cortisol dominance, nervous system collapse. The long-term chronic weight of hazardous clinical work.</w:t>
      </w:r>
    </w:p>
    <w:p w14:paraId="35C32812" w14:textId="77777777" w:rsidR="00D8123C" w:rsidRPr="00D8123C" w:rsidRDefault="00D8123C" w:rsidP="00D8123C">
      <w:pPr>
        <w:spacing w:before="400" w:after="200" w:line="240" w:lineRule="auto"/>
        <w:outlineLvl w:val="1"/>
        <w:rPr>
          <w:rFonts w:ascii="Times New Roman" w:eastAsia="Times New Roman" w:hAnsi="Times New Roman" w:cs="Times New Roman"/>
          <w:b/>
          <w:bCs/>
          <w:kern w:val="0"/>
          <w:sz w:val="36"/>
          <w:szCs w:val="36"/>
          <w:lang w:eastAsia="en-CA"/>
          <w14:ligatures w14:val="none"/>
        </w:rPr>
      </w:pPr>
      <w:r w:rsidRPr="00D8123C">
        <w:rPr>
          <w:rFonts w:ascii="Calibri" w:eastAsia="Times New Roman" w:hAnsi="Calibri" w:cs="Calibri"/>
          <w:b/>
          <w:bCs/>
          <w:color w:val="2E74B5"/>
          <w:kern w:val="0"/>
          <w:sz w:val="26"/>
          <w:szCs w:val="26"/>
          <w:lang w:eastAsia="en-CA"/>
          <w14:ligatures w14:val="none"/>
        </w:rPr>
        <w:t>3. The Dual-Track Stressor Architecture — Client and Worker</w:t>
      </w:r>
    </w:p>
    <w:p w14:paraId="1AE50DDD"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The HALO system maps stressors on both sides of the therapeutic relationship simultaneously:</w:t>
      </w:r>
    </w:p>
    <w:p w14:paraId="60518A29"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Track A — Client/Participant Stressors: </w:t>
      </w:r>
      <w:r w:rsidRPr="00D8123C">
        <w:rPr>
          <w:rFonts w:ascii="Calibri" w:eastAsia="Times New Roman" w:hAnsi="Calibri" w:cs="Calibri"/>
          <w:color w:val="000000"/>
          <w:kern w:val="0"/>
          <w:sz w:val="22"/>
          <w:szCs w:val="22"/>
          <w:lang w:eastAsia="en-CA"/>
          <w14:ligatures w14:val="none"/>
        </w:rPr>
        <w:t>Sourced from CENAPS relapse prevention model (Gorski, 2013 — three relapse stages, eleven warning sign categories), PAWS neuroscience (seven primary neurological symptom clusters during the 6-to-24-month post-acute withdrawal window), Marlatt &amp; Donovan high-risk situation taxonomy (2005 — negative emotional states at 35% of relapses, interpersonal conflict, social pressure), and the HALT internal vulnerability framework (Hungry/Hurt, Angry, Lonely, Tired). These stressors are mapped through the G.A.P.S. psychoeducational framework (Gratitude, Acceptance, Presence, Surrender) — reverse-engineered from the clinical literature to provide portable, plain-language self-intervention tools for clients between formal treatment encounters.</w:t>
      </w:r>
    </w:p>
    <w:p w14:paraId="332E2D8C"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Track B — Worker/Practitioner Stressors: </w:t>
      </w:r>
      <w:r w:rsidRPr="00D8123C">
        <w:rPr>
          <w:rFonts w:ascii="Calibri" w:eastAsia="Times New Roman" w:hAnsi="Calibri" w:cs="Calibri"/>
          <w:color w:val="000000"/>
          <w:kern w:val="0"/>
          <w:sz w:val="22"/>
          <w:szCs w:val="22"/>
          <w:lang w:eastAsia="en-CA"/>
          <w14:ligatures w14:val="none"/>
        </w:rPr>
        <w:t>Mapped through the Lighthouse Resilience Program (LRP) — a consciousness-based burnout prevention framework addressing all 29 documented worker stressors across four domains. The LRP provides the worker-facing counterpart to G.A.P.S.: while G.A.P.S. gives the client something to hold between sessions, the LRP gives the worker the tools to stay regulated while holding the client's crisis.</w:t>
      </w:r>
    </w:p>
    <w:p w14:paraId="0D9627DB"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 xml:space="preserve">The HALO research has identified </w:t>
      </w:r>
      <w:r w:rsidRPr="00D8123C">
        <w:rPr>
          <w:rFonts w:ascii="Calibri" w:eastAsia="Times New Roman" w:hAnsi="Calibri" w:cs="Calibri"/>
          <w:b/>
          <w:bCs/>
          <w:color w:val="000000"/>
          <w:kern w:val="0"/>
          <w:sz w:val="22"/>
          <w:szCs w:val="22"/>
          <w:lang w:eastAsia="en-CA"/>
          <w14:ligatures w14:val="none"/>
        </w:rPr>
        <w:t>eight intersection points</w:t>
      </w:r>
      <w:r w:rsidRPr="00D8123C">
        <w:rPr>
          <w:rFonts w:ascii="Calibri" w:eastAsia="Times New Roman" w:hAnsi="Calibri" w:cs="Calibri"/>
          <w:color w:val="000000"/>
          <w:kern w:val="0"/>
          <w:sz w:val="22"/>
          <w:szCs w:val="22"/>
          <w:lang w:eastAsia="en-CA"/>
          <w14:ligatures w14:val="none"/>
        </w:rPr>
        <w:t xml:space="preserve"> where both nervous systems are activated simultaneously in the therapeutic relationship — moments where client stress sensitivity meets worker hypervigilance, where client shame meets worker rescue urge, where client relapse meets worker moral injury. These intersections are where both tracks collide, and they represent the highest-hazard moments in addiction services work. The current WHMIS system names none of them.</w:t>
      </w:r>
    </w:p>
    <w:p w14:paraId="5483C7C9" w14:textId="77777777" w:rsidR="00D8123C" w:rsidRPr="00D8123C" w:rsidRDefault="00D8123C" w:rsidP="00D8123C">
      <w:pPr>
        <w:spacing w:before="400" w:after="200" w:line="240" w:lineRule="auto"/>
        <w:outlineLvl w:val="1"/>
        <w:rPr>
          <w:rFonts w:ascii="Times New Roman" w:eastAsia="Times New Roman" w:hAnsi="Times New Roman" w:cs="Times New Roman"/>
          <w:b/>
          <w:bCs/>
          <w:kern w:val="0"/>
          <w:sz w:val="36"/>
          <w:szCs w:val="36"/>
          <w:lang w:eastAsia="en-CA"/>
          <w14:ligatures w14:val="none"/>
        </w:rPr>
      </w:pPr>
      <w:r w:rsidRPr="00D8123C">
        <w:rPr>
          <w:rFonts w:ascii="Calibri" w:eastAsia="Times New Roman" w:hAnsi="Calibri" w:cs="Calibri"/>
          <w:b/>
          <w:bCs/>
          <w:color w:val="2E74B5"/>
          <w:kern w:val="0"/>
          <w:sz w:val="26"/>
          <w:szCs w:val="26"/>
          <w:lang w:eastAsia="en-CA"/>
          <w14:ligatures w14:val="none"/>
        </w:rPr>
        <w:t>4. The Economic Case — What Unnamed Hazards Cost</w:t>
      </w:r>
    </w:p>
    <w:p w14:paraId="5E9451F2"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The LRP Cost Model quantifies the institutional cost of unnamed psychological hazards in addiction services:</w:t>
      </w:r>
    </w:p>
    <w:p w14:paraId="7B188847" w14:textId="77777777" w:rsidR="00D8123C" w:rsidRPr="00D8123C" w:rsidRDefault="00D8123C" w:rsidP="00D8123C">
      <w:pPr>
        <w:spacing w:after="1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Annual burnout exposure per 20-person agency node: $456,500</w:t>
      </w:r>
      <w:r w:rsidRPr="00D8123C">
        <w:rPr>
          <w:rFonts w:ascii="Calibri" w:eastAsia="Times New Roman" w:hAnsi="Calibri" w:cs="Calibri"/>
          <w:color w:val="000000"/>
          <w:kern w:val="0"/>
          <w:sz w:val="22"/>
          <w:szCs w:val="22"/>
          <w:lang w:eastAsia="en-CA"/>
          <w14:ligatures w14:val="none"/>
        </w:rPr>
        <w:t xml:space="preserve"> — composed of turnover ($372,000 at 20% rate × $93,000 SHRM replacement cost), stress-induced absenteeism ($59,500 at 12.5 days × $238/day), adverse events ($10,000), and moral injury carry cost ($15,000).</w:t>
      </w:r>
    </w:p>
    <w:p w14:paraId="7731040D" w14:textId="77777777" w:rsidR="00D8123C" w:rsidRPr="00D8123C" w:rsidRDefault="00D8123C" w:rsidP="00D8123C">
      <w:pPr>
        <w:spacing w:after="1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Documented savings when hazards are named and addressed: $76,500 per node per year</w:t>
      </w:r>
      <w:r w:rsidRPr="00D8123C">
        <w:rPr>
          <w:rFonts w:ascii="Calibri" w:eastAsia="Times New Roman" w:hAnsi="Calibri" w:cs="Calibri"/>
          <w:color w:val="000000"/>
          <w:kern w:val="0"/>
          <w:sz w:val="22"/>
          <w:szCs w:val="22"/>
          <w:lang w:eastAsia="en-CA"/>
          <w14:ligatures w14:val="none"/>
        </w:rPr>
        <w:t xml:space="preserve"> (Observed Track). Conservative Floor Track: $51,000. Programme cost: $9,238. ROI: $8.28 per $1 invested (Observed) / $5.52 per $1 (Conservative Floor). Payback period: 44.1 days.</w:t>
      </w:r>
    </w:p>
    <w:p w14:paraId="2E755518" w14:textId="77777777" w:rsidR="00D8123C" w:rsidRPr="00D8123C" w:rsidRDefault="00D8123C" w:rsidP="00D8123C">
      <w:pPr>
        <w:spacing w:after="1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Consistency proof: </w:t>
      </w:r>
      <w:r w:rsidRPr="00D8123C">
        <w:rPr>
          <w:rFonts w:ascii="Calibri" w:eastAsia="Times New Roman" w:hAnsi="Calibri" w:cs="Calibri"/>
          <w:color w:val="000000"/>
          <w:kern w:val="0"/>
          <w:sz w:val="22"/>
          <w:szCs w:val="22"/>
          <w:lang w:eastAsia="en-CA"/>
          <w14:ligatures w14:val="none"/>
        </w:rPr>
        <w:t>The 8.28:1 ratio holds at individual worker scale (n=1), confirmed through the Laura simulation — a single frontline addiction worker tracked through a 12-month LRP cycle, W score moving from 25.6 (Disrupted) to 74.4 (Secure). The ratio is not an artefact of aggregation.</w:t>
      </w:r>
    </w:p>
    <w:p w14:paraId="664E429F" w14:textId="77777777" w:rsidR="00D8123C" w:rsidRPr="00D8123C" w:rsidRDefault="00D8123C" w:rsidP="00D8123C">
      <w:pPr>
        <w:spacing w:after="2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Quarter-value stress test: </w:t>
      </w:r>
      <w:r w:rsidRPr="00D8123C">
        <w:rPr>
          <w:rFonts w:ascii="Calibri" w:eastAsia="Times New Roman" w:hAnsi="Calibri" w:cs="Calibri"/>
          <w:color w:val="000000"/>
          <w:kern w:val="0"/>
          <w:sz w:val="22"/>
          <w:szCs w:val="22"/>
          <w:lang w:eastAsia="en-CA"/>
          <w14:ligatures w14:val="none"/>
        </w:rPr>
        <w:t>The Daniel Merrick persona sets every input at 25% of its published Canadian benchmark. Even at quartered values, the model returns 1.59:1 at three years — confirming the case is robust against systematic overestimation.</w:t>
      </w:r>
    </w:p>
    <w:p w14:paraId="635EC3D9"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Per-person Limbic Prison cost (CIHI + Public Safety Canada + ESDC): $120,000 per year. Per-person annual swing when addressed: $185,000 ($120,000 cost avoided + $65,000 productivity restored). Three-year single-cohort savings: $62,250,000. These are the costs of hazards that the regulatory system currently does not name.</w:t>
      </w:r>
    </w:p>
    <w:p w14:paraId="458C3FDC" w14:textId="77777777" w:rsidR="00D8123C" w:rsidRPr="00D8123C" w:rsidRDefault="00D8123C" w:rsidP="00D8123C">
      <w:pPr>
        <w:spacing w:before="400" w:after="200" w:line="240" w:lineRule="auto"/>
        <w:outlineLvl w:val="1"/>
        <w:rPr>
          <w:rFonts w:ascii="Times New Roman" w:eastAsia="Times New Roman" w:hAnsi="Times New Roman" w:cs="Times New Roman"/>
          <w:b/>
          <w:bCs/>
          <w:kern w:val="0"/>
          <w:sz w:val="36"/>
          <w:szCs w:val="36"/>
          <w:lang w:eastAsia="en-CA"/>
          <w14:ligatures w14:val="none"/>
        </w:rPr>
      </w:pPr>
      <w:r w:rsidRPr="00D8123C">
        <w:rPr>
          <w:rFonts w:ascii="Calibri" w:eastAsia="Times New Roman" w:hAnsi="Calibri" w:cs="Calibri"/>
          <w:b/>
          <w:bCs/>
          <w:color w:val="2E74B5"/>
          <w:kern w:val="0"/>
          <w:sz w:val="26"/>
          <w:szCs w:val="26"/>
          <w:lang w:eastAsia="en-CA"/>
          <w14:ligatures w14:val="none"/>
        </w:rPr>
        <w:t>5. The Educational Precedent — What Is Already Recognized</w:t>
      </w:r>
    </w:p>
    <w:p w14:paraId="307AC792"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Chapter 6 of the Canadian Health and Safety Workplace Fundamentals textbook already explicitly addresses psycho-social hazards educationally. Workers in addiction services are trained to recognize these hazards in their education. The regulatory system must match what the educational system already teaches.</w:t>
      </w:r>
    </w:p>
    <w:p w14:paraId="7146EE0C"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The CSA Z1003 National Standard for Psychological Health and Safety in the Workplace provides the existing Canadian framework for psychological hazard recognition. The proposed GREEN category would operationalize CSA Z1003's principles within the WHMIS vocabulary that every Canadian worker already carries — creating regulatory alignment between hazard education, hazard classification, and hazard response.</w:t>
      </w:r>
    </w:p>
    <w:p w14:paraId="49274389"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The HALO colour system extends this alignment further: the same colour vocabulary that classifies hazards for the worker also routes the client to appropriate treatment. Once GREEN names psychological hazard in the regulatory system, support infrastructure can be built to match the burden — and the same colours that protect the worker also guide the client. This dual use is not a coincidence of design. It is the fundamental insight that physical hazard safety and psychological hazard safety share the same architecture.</w:t>
      </w:r>
    </w:p>
    <w:p w14:paraId="0256BE4F" w14:textId="77777777" w:rsidR="00D8123C" w:rsidRPr="00D8123C" w:rsidRDefault="00D8123C" w:rsidP="00D8123C">
      <w:pPr>
        <w:spacing w:before="400" w:after="200" w:line="240" w:lineRule="auto"/>
        <w:outlineLvl w:val="1"/>
        <w:rPr>
          <w:rFonts w:ascii="Times New Roman" w:eastAsia="Times New Roman" w:hAnsi="Times New Roman" w:cs="Times New Roman"/>
          <w:b/>
          <w:bCs/>
          <w:kern w:val="0"/>
          <w:sz w:val="36"/>
          <w:szCs w:val="36"/>
          <w:lang w:eastAsia="en-CA"/>
          <w14:ligatures w14:val="none"/>
        </w:rPr>
      </w:pPr>
      <w:r w:rsidRPr="00D8123C">
        <w:rPr>
          <w:rFonts w:ascii="Calibri" w:eastAsia="Times New Roman" w:hAnsi="Calibri" w:cs="Calibri"/>
          <w:b/>
          <w:bCs/>
          <w:color w:val="2E74B5"/>
          <w:kern w:val="0"/>
          <w:sz w:val="26"/>
          <w:szCs w:val="26"/>
          <w:lang w:eastAsia="en-CA"/>
          <w14:ligatures w14:val="none"/>
        </w:rPr>
        <w:t>6. Clinical Cross-Reference — The Modality-to-Colour Chain</w:t>
      </w:r>
    </w:p>
    <w:p w14:paraId="54CF8084"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The HALO system provides a complete, traceable cross-reference chain from stressor identification through colour assignment through clinical modality selection. This is not a conceptual diagram — it is an operational matching system tested against composite clinical cases:</w:t>
      </w:r>
    </w:p>
    <w:p w14:paraId="37821B0D"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Alexia (composite dual-substance case, age 32, alcohol and cocaine dependence with co-occurring depressive disorder): </w:t>
      </w:r>
      <w:r w:rsidRPr="00D8123C">
        <w:rPr>
          <w:rFonts w:ascii="Calibri" w:eastAsia="Times New Roman" w:hAnsi="Calibri" w:cs="Calibri"/>
          <w:color w:val="000000"/>
          <w:kern w:val="0"/>
          <w:sz w:val="22"/>
          <w:szCs w:val="22"/>
          <w:lang w:eastAsia="en-CA"/>
          <w14:ligatures w14:val="none"/>
        </w:rPr>
        <w:t>Every documented symptom — fatigue, guilt, anxiety, cognitive fog, isolation, relapse triggered by workplace confrontation, hopelessness — maps through a specific PAWS hurdle to a specific G.A.P.S. interruption capacity, with identified neurochemical target and functional outcome. The cross-reference demonstrates that the colour system is not an overlay applied to existing clinical practice — it is a translation layer that makes existing clinical knowledge portable, usable between treatment encounters, and accessible to the client in their own language.</w:t>
      </w:r>
    </w:p>
    <w:p w14:paraId="15549D10"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The G.A.P.S. framework (Gratitude, Acceptance, Presence, Surrender) maps directly onto Motivational Interviewing's four guiding principles (Partnership, Acceptance, Compassion, Empowerment) — the dominant clinical modality in Canadian addiction services. G.A.P.S. is not a replacement for MI; it is MI's missing self-use toolkit. MI opens the door. G.A.P.S. gives the client something to hold when the worker is not in the room.</w:t>
      </w:r>
    </w:p>
    <w:p w14:paraId="6A1A3265" w14:textId="77777777" w:rsidR="00D8123C" w:rsidRPr="00D8123C" w:rsidRDefault="00D8123C" w:rsidP="00D8123C">
      <w:pPr>
        <w:spacing w:before="400" w:after="200" w:line="240" w:lineRule="auto"/>
        <w:outlineLvl w:val="1"/>
        <w:rPr>
          <w:rFonts w:ascii="Times New Roman" w:eastAsia="Times New Roman" w:hAnsi="Times New Roman" w:cs="Times New Roman"/>
          <w:b/>
          <w:bCs/>
          <w:kern w:val="0"/>
          <w:sz w:val="36"/>
          <w:szCs w:val="36"/>
          <w:lang w:eastAsia="en-CA"/>
          <w14:ligatures w14:val="none"/>
        </w:rPr>
      </w:pPr>
      <w:r w:rsidRPr="00D8123C">
        <w:rPr>
          <w:rFonts w:ascii="Calibri" w:eastAsia="Times New Roman" w:hAnsi="Calibri" w:cs="Calibri"/>
          <w:b/>
          <w:bCs/>
          <w:color w:val="2E74B5"/>
          <w:kern w:val="0"/>
          <w:sz w:val="26"/>
          <w:szCs w:val="26"/>
          <w:lang w:eastAsia="en-CA"/>
          <w14:ligatures w14:val="none"/>
        </w:rPr>
        <w:t>7. The Ontario System Gap — Why This Is Urgent</w:t>
      </w:r>
    </w:p>
    <w:p w14:paraId="0A0C46C1"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 xml:space="preserve">Ontario addiction services currently provide approximately four weeks of post-discharge support. Post-Acute Withdrawal Syndrome (PAWS) lasts 6 to 24 months. </w:t>
      </w:r>
      <w:r w:rsidRPr="00D8123C">
        <w:rPr>
          <w:rFonts w:ascii="Calibri" w:eastAsia="Times New Roman" w:hAnsi="Calibri" w:cs="Calibri"/>
          <w:b/>
          <w:bCs/>
          <w:color w:val="000000"/>
          <w:kern w:val="0"/>
          <w:sz w:val="22"/>
          <w:szCs w:val="22"/>
          <w:lang w:eastAsia="en-CA"/>
          <w14:ligatures w14:val="none"/>
        </w:rPr>
        <w:t>The current system covers roughly 5% of the actual neurological risk window.</w:t>
      </w:r>
    </w:p>
    <w:p w14:paraId="14030979"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The "discharge cliff" (Gorski &amp; Miller, 1986) — where clients are released at Days 21 to 30, precisely as PAWS peaks — is the single most consistent failure point in the current system. Current assessment tools (ASI, Recovery Capital Index, LOCUS/CALOCUS) measure severity and impairment, creating a structural bias where funding follows crisis, not potential. The HALO W function measures both — it tracks what is depleted AND what is restored, making recovery investment visible before discharge.</w:t>
      </w:r>
    </w:p>
    <w:p w14:paraId="538F12A4"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The HALO Four-Book Pathway replaces the concept of discharge with a developmental continuum: DEEDSPROOF (Day 1, WHITE) → SLOW SOAK (Year 1, GREEN/MUSCLE) → FISHING HOLE (Year 2, BLUE/HEART) → HMA 3-DAY (Year 3+, BLACK/ANCHOR). This pathway maps directly to the WHMIS colour progression — the same colours that classify hazards also mark the recovery continuum. Without GREEN in the regulatory system, this continuity breaks.</w:t>
      </w:r>
    </w:p>
    <w:p w14:paraId="32CAF372" w14:textId="77777777" w:rsidR="00D8123C" w:rsidRPr="00D8123C" w:rsidRDefault="00D8123C" w:rsidP="00D8123C">
      <w:pPr>
        <w:spacing w:before="400" w:after="200" w:line="240" w:lineRule="auto"/>
        <w:outlineLvl w:val="1"/>
        <w:rPr>
          <w:rFonts w:ascii="Times New Roman" w:eastAsia="Times New Roman" w:hAnsi="Times New Roman" w:cs="Times New Roman"/>
          <w:b/>
          <w:bCs/>
          <w:kern w:val="0"/>
          <w:sz w:val="36"/>
          <w:szCs w:val="36"/>
          <w:lang w:eastAsia="en-CA"/>
          <w14:ligatures w14:val="none"/>
        </w:rPr>
      </w:pPr>
      <w:r w:rsidRPr="00D8123C">
        <w:rPr>
          <w:rFonts w:ascii="Calibri" w:eastAsia="Times New Roman" w:hAnsi="Calibri" w:cs="Calibri"/>
          <w:b/>
          <w:bCs/>
          <w:color w:val="2E74B5"/>
          <w:kern w:val="0"/>
          <w:sz w:val="26"/>
          <w:szCs w:val="26"/>
          <w:lang w:eastAsia="en-CA"/>
          <w14:ligatures w14:val="none"/>
        </w:rPr>
        <w:t>8. What We Do Not Yet Have — Intellectual Honesty</w:t>
      </w:r>
    </w:p>
    <w:p w14:paraId="2EEA3C66"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All W scores presented above are modelled from framework logic and composite case documentation, not administered instruments. No pilot cohort has yet run. The cross-document gap audit has identified seven specific holes in the client-facing tool suite (cannabis ambivalence, shame as distinct interruption target, direct social pressure scripting, structural drift protocol, anger as distinct from shame, PAWS timeline in the portable guide, and child conflict de-escalation). These are documented, not hidden.</w:t>
      </w:r>
    </w:p>
    <w:p w14:paraId="6B1BE2AE"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 xml:space="preserve">What would change modelled to measured: the first MASH cohort data at Day +90 with OCI and </w:t>
      </w:r>
      <w:proofErr w:type="spellStart"/>
      <w:r w:rsidRPr="00D8123C">
        <w:rPr>
          <w:rFonts w:ascii="Calibri" w:eastAsia="Times New Roman" w:hAnsi="Calibri" w:cs="Calibri"/>
          <w:color w:val="000000"/>
          <w:kern w:val="0"/>
          <w:sz w:val="22"/>
          <w:szCs w:val="22"/>
          <w:lang w:eastAsia="en-CA"/>
          <w14:ligatures w14:val="none"/>
        </w:rPr>
        <w:t>ProQOL</w:t>
      </w:r>
      <w:proofErr w:type="spellEnd"/>
      <w:r w:rsidRPr="00D8123C">
        <w:rPr>
          <w:rFonts w:ascii="Calibri" w:eastAsia="Times New Roman" w:hAnsi="Calibri" w:cs="Calibri"/>
          <w:color w:val="000000"/>
          <w:kern w:val="0"/>
          <w:sz w:val="22"/>
          <w:szCs w:val="22"/>
          <w:lang w:eastAsia="en-CA"/>
          <w14:ligatures w14:val="none"/>
        </w:rPr>
        <w:t xml:space="preserve"> instruments, n ≥ 20. The measurement infrastructure (</w:t>
      </w:r>
      <w:proofErr w:type="spellStart"/>
      <w:r w:rsidRPr="00D8123C">
        <w:rPr>
          <w:rFonts w:ascii="Calibri" w:eastAsia="Times New Roman" w:hAnsi="Calibri" w:cs="Calibri"/>
          <w:color w:val="000000"/>
          <w:kern w:val="0"/>
          <w:sz w:val="22"/>
          <w:szCs w:val="22"/>
          <w:lang w:eastAsia="en-CA"/>
          <w14:ligatures w14:val="none"/>
        </w:rPr>
        <w:t>ProQOL</w:t>
      </w:r>
      <w:proofErr w:type="spellEnd"/>
      <w:r w:rsidRPr="00D8123C">
        <w:rPr>
          <w:rFonts w:ascii="Calibri" w:eastAsia="Times New Roman" w:hAnsi="Calibri" w:cs="Calibri"/>
          <w:color w:val="000000"/>
          <w:kern w:val="0"/>
          <w:sz w:val="22"/>
          <w:szCs w:val="22"/>
          <w:lang w:eastAsia="en-CA"/>
          <w14:ligatures w14:val="none"/>
        </w:rPr>
        <w:t>, PSS-10, BAT, SAF, OCI at baseline, Days 14/28/42, D+30, D+90) is designed and ready to deploy. The recommended pilot is a 200-person cohort, 4-month cycle, with independent evaluation.</w:t>
      </w:r>
    </w:p>
    <w:p w14:paraId="27D40DF2" w14:textId="77777777" w:rsidR="00D8123C" w:rsidRPr="00D8123C" w:rsidRDefault="00D8123C" w:rsidP="00D8123C">
      <w:pPr>
        <w:spacing w:before="400" w:after="200" w:line="240" w:lineRule="auto"/>
        <w:outlineLvl w:val="1"/>
        <w:rPr>
          <w:rFonts w:ascii="Times New Roman" w:eastAsia="Times New Roman" w:hAnsi="Times New Roman" w:cs="Times New Roman"/>
          <w:b/>
          <w:bCs/>
          <w:kern w:val="0"/>
          <w:sz w:val="36"/>
          <w:szCs w:val="36"/>
          <w:lang w:eastAsia="en-CA"/>
          <w14:ligatures w14:val="none"/>
        </w:rPr>
      </w:pPr>
      <w:r w:rsidRPr="00D8123C">
        <w:rPr>
          <w:rFonts w:ascii="Calibri" w:eastAsia="Times New Roman" w:hAnsi="Calibri" w:cs="Calibri"/>
          <w:b/>
          <w:bCs/>
          <w:color w:val="2E74B5"/>
          <w:kern w:val="0"/>
          <w:sz w:val="26"/>
          <w:szCs w:val="26"/>
          <w:lang w:eastAsia="en-CA"/>
          <w14:ligatures w14:val="none"/>
        </w:rPr>
        <w:t>9. The Ask</w:t>
      </w:r>
    </w:p>
    <w:p w14:paraId="0D27C393"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We request that the WHMIS Oversight Committee and Health Canada consider the following for stakeholder consultation:</w:t>
      </w:r>
    </w:p>
    <w:p w14:paraId="49869CE4" w14:textId="77777777" w:rsidR="00D8123C" w:rsidRPr="00D8123C" w:rsidRDefault="00D8123C" w:rsidP="00D8123C">
      <w:pPr>
        <w:spacing w:after="1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1. </w:t>
      </w:r>
      <w:r w:rsidRPr="00D8123C">
        <w:rPr>
          <w:rFonts w:ascii="Calibri" w:eastAsia="Times New Roman" w:hAnsi="Calibri" w:cs="Calibri"/>
          <w:color w:val="000000"/>
          <w:kern w:val="0"/>
          <w:sz w:val="22"/>
          <w:szCs w:val="22"/>
          <w:lang w:eastAsia="en-CA"/>
          <w14:ligatures w14:val="none"/>
        </w:rPr>
        <w:t>Recognition of GREEN as an official WHMIS hazard category for psychological and emotional hazards — cumulative stress, vicarious trauma, compassion fatigue, and moral injury — anchored to CCOHS evidence, CSA Z1003, and the existing educational recognition in Chapter 6 of the Canadian Health and Safety Workplace Fundamentals textbook.</w:t>
      </w:r>
    </w:p>
    <w:p w14:paraId="4C3DC366" w14:textId="77777777" w:rsidR="00D8123C" w:rsidRPr="00D8123C" w:rsidRDefault="00D8123C" w:rsidP="00D8123C">
      <w:pPr>
        <w:spacing w:after="1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2. </w:t>
      </w:r>
      <w:r w:rsidRPr="00D8123C">
        <w:rPr>
          <w:rFonts w:ascii="Calibri" w:eastAsia="Times New Roman" w:hAnsi="Calibri" w:cs="Calibri"/>
          <w:color w:val="000000"/>
          <w:kern w:val="0"/>
          <w:sz w:val="22"/>
          <w:szCs w:val="22"/>
          <w:lang w:eastAsia="en-CA"/>
          <w14:ligatures w14:val="none"/>
        </w:rPr>
        <w:t>Formal expansion of the BLACK definition to include the psychological shadow dimension: the long-term chronic and archetypal weight of hazardous clinical work, alongside its existing biohazard/warning classification.</w:t>
      </w:r>
    </w:p>
    <w:p w14:paraId="787E0175" w14:textId="77777777" w:rsidR="00D8123C" w:rsidRPr="00D8123C" w:rsidRDefault="00D8123C" w:rsidP="00D8123C">
      <w:pPr>
        <w:spacing w:after="1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3. </w:t>
      </w:r>
      <w:r w:rsidRPr="00D8123C">
        <w:rPr>
          <w:rFonts w:ascii="Calibri" w:eastAsia="Times New Roman" w:hAnsi="Calibri" w:cs="Calibri"/>
          <w:color w:val="000000"/>
          <w:kern w:val="0"/>
          <w:sz w:val="22"/>
          <w:szCs w:val="22"/>
          <w:lang w:eastAsia="en-CA"/>
          <w14:ligatures w14:val="none"/>
        </w:rPr>
        <w:t>Initiation of the implementation timeline as outlined: 6 months stakeholder consultation, 6 months pictogram design and testing under ISO 7010, 12 months regulatory amendment process, 24 months education and industry transition.</w:t>
      </w:r>
    </w:p>
    <w:p w14:paraId="150AEACE" w14:textId="77777777" w:rsidR="00D8123C" w:rsidRPr="00D8123C" w:rsidRDefault="00D8123C" w:rsidP="00D8123C">
      <w:pPr>
        <w:spacing w:after="200" w:line="240" w:lineRule="auto"/>
        <w:ind w:left="720"/>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 xml:space="preserve">4. </w:t>
      </w:r>
      <w:r w:rsidRPr="00D8123C">
        <w:rPr>
          <w:rFonts w:ascii="Calibri" w:eastAsia="Times New Roman" w:hAnsi="Calibri" w:cs="Calibri"/>
          <w:color w:val="000000"/>
          <w:kern w:val="0"/>
          <w:sz w:val="22"/>
          <w:szCs w:val="22"/>
          <w:lang w:eastAsia="en-CA"/>
          <w14:ligatures w14:val="none"/>
        </w:rPr>
        <w:t>Access to the full 34-document HALO synthesis for technical review, including the algebraic foundation, worked clinical examples, cross-document gap audit, and measurement instrument specifications.</w:t>
      </w:r>
    </w:p>
    <w:p w14:paraId="5EDE99B4" w14:textId="77777777" w:rsidR="00D8123C" w:rsidRPr="00D8123C" w:rsidRDefault="00D8123C" w:rsidP="00D8123C">
      <w:pPr>
        <w:spacing w:before="400" w:after="200" w:line="240" w:lineRule="auto"/>
        <w:outlineLvl w:val="1"/>
        <w:rPr>
          <w:rFonts w:ascii="Times New Roman" w:eastAsia="Times New Roman" w:hAnsi="Times New Roman" w:cs="Times New Roman"/>
          <w:b/>
          <w:bCs/>
          <w:kern w:val="0"/>
          <w:sz w:val="36"/>
          <w:szCs w:val="36"/>
          <w:lang w:eastAsia="en-CA"/>
          <w14:ligatures w14:val="none"/>
        </w:rPr>
      </w:pPr>
      <w:r w:rsidRPr="00D8123C">
        <w:rPr>
          <w:rFonts w:ascii="Calibri" w:eastAsia="Times New Roman" w:hAnsi="Calibri" w:cs="Calibri"/>
          <w:b/>
          <w:bCs/>
          <w:color w:val="2E74B5"/>
          <w:kern w:val="0"/>
          <w:sz w:val="26"/>
          <w:szCs w:val="26"/>
          <w:lang w:eastAsia="en-CA"/>
          <w14:ligatures w14:val="none"/>
        </w:rPr>
        <w:t>10. Closing</w:t>
      </w:r>
    </w:p>
    <w:p w14:paraId="1CBB896D"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The colours that keep a worker safe with hazardous materials are proposed to describe the hazardous conditions within a person. This is not a new system replacing WHMIS — it is WHMIS completing itself. The educational system already teaches psycho-social hazards. The clinical evidence already documents them. The mathematics already quantifies their cost and the return on addressing them. What remains is for the regulatory system to catch up to what the evidence already demands.</w:t>
      </w:r>
    </w:p>
    <w:p w14:paraId="6193D7D0"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CENAPS tells the clinician what is coming. PAWS tells the clinician why. Neither tells the client. Neither tells the regulatory system. GREEN and expanded BLACK would close both gaps — giving the hazard a name that the worker recognizes, the client can navigate by, and the institution can fund against.</w:t>
      </w:r>
    </w:p>
    <w:p w14:paraId="7FCB2FC2" w14:textId="77777777" w:rsidR="00D8123C" w:rsidRPr="00D8123C" w:rsidRDefault="00D8123C" w:rsidP="00D8123C">
      <w:pPr>
        <w:spacing w:after="4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The full synthesis, source documentation, and measurement protocols are available for review upon request.</w:t>
      </w:r>
    </w:p>
    <w:p w14:paraId="30F42694" w14:textId="77777777" w:rsidR="00D8123C" w:rsidRPr="00D8123C" w:rsidRDefault="00D8123C" w:rsidP="00D8123C">
      <w:pPr>
        <w:spacing w:after="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Respectfully submitted,</w:t>
      </w:r>
    </w:p>
    <w:p w14:paraId="2178D468" w14:textId="77777777" w:rsidR="00D8123C" w:rsidRPr="00D8123C" w:rsidRDefault="00D8123C" w:rsidP="00D8123C">
      <w:pPr>
        <w:spacing w:before="400" w:after="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b/>
          <w:bCs/>
          <w:color w:val="000000"/>
          <w:kern w:val="0"/>
          <w:sz w:val="22"/>
          <w:szCs w:val="22"/>
          <w:lang w:eastAsia="en-CA"/>
          <w14:ligatures w14:val="none"/>
        </w:rPr>
        <w:t>Neil J. Schwab</w:t>
      </w:r>
    </w:p>
    <w:p w14:paraId="33796F0D" w14:textId="77777777" w:rsidR="00D8123C" w:rsidRPr="00D8123C" w:rsidRDefault="00D8123C" w:rsidP="00D8123C">
      <w:pPr>
        <w:spacing w:after="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Framework Architect</w:t>
      </w:r>
    </w:p>
    <w:p w14:paraId="54A61452" w14:textId="77777777" w:rsidR="00D8123C" w:rsidRPr="00D8123C" w:rsidRDefault="00D8123C" w:rsidP="00D8123C">
      <w:pPr>
        <w:spacing w:after="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HALO — Human Advocacy &amp; Liberative Operations</w:t>
      </w:r>
    </w:p>
    <w:p w14:paraId="02667C63" w14:textId="77777777" w:rsidR="00D8123C" w:rsidRPr="00D8123C" w:rsidRDefault="00D8123C" w:rsidP="00D8123C">
      <w:pPr>
        <w:spacing w:after="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2"/>
          <w:szCs w:val="22"/>
          <w:lang w:eastAsia="en-CA"/>
          <w14:ligatures w14:val="none"/>
        </w:rPr>
        <w:t>GSRT — Global Restoration Stewardship Trust</w:t>
      </w:r>
    </w:p>
    <w:p w14:paraId="30BE9957" w14:textId="77777777" w:rsidR="00D8123C" w:rsidRPr="00D8123C" w:rsidRDefault="00D8123C" w:rsidP="00D8123C">
      <w:pPr>
        <w:spacing w:after="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color w:val="555555"/>
          <w:kern w:val="0"/>
          <w:sz w:val="22"/>
          <w:szCs w:val="22"/>
          <w:lang w:eastAsia="en-CA"/>
          <w14:ligatures w14:val="none"/>
        </w:rPr>
        <w:t>neil.schwab@live.ca · +1 (905) 868-6985 · Newmarket, Ontario, Canada</w:t>
      </w:r>
    </w:p>
    <w:p w14:paraId="1B0D5B01" w14:textId="77777777" w:rsidR="00D8123C" w:rsidRPr="00D8123C" w:rsidRDefault="00D8123C" w:rsidP="00D8123C">
      <w:pPr>
        <w:spacing w:before="200" w:after="200" w:line="240" w:lineRule="auto"/>
        <w:outlineLvl w:val="1"/>
        <w:rPr>
          <w:rFonts w:ascii="Times New Roman" w:eastAsia="Times New Roman" w:hAnsi="Times New Roman" w:cs="Times New Roman"/>
          <w:b/>
          <w:bCs/>
          <w:kern w:val="0"/>
          <w:sz w:val="36"/>
          <w:szCs w:val="36"/>
          <w:lang w:eastAsia="en-CA"/>
          <w14:ligatures w14:val="none"/>
        </w:rPr>
      </w:pPr>
      <w:r w:rsidRPr="00D8123C">
        <w:rPr>
          <w:rFonts w:ascii="Calibri" w:eastAsia="Times New Roman" w:hAnsi="Calibri" w:cs="Calibri"/>
          <w:b/>
          <w:bCs/>
          <w:color w:val="2E74B5"/>
          <w:kern w:val="0"/>
          <w:sz w:val="26"/>
          <w:szCs w:val="26"/>
          <w:lang w:eastAsia="en-CA"/>
          <w14:ligatures w14:val="none"/>
        </w:rPr>
        <w:t>Appendix A — Referenced Source Documents (34)</w:t>
      </w:r>
    </w:p>
    <w:p w14:paraId="6A68E8E9" w14:textId="77777777" w:rsidR="00D8123C" w:rsidRPr="00D8123C" w:rsidRDefault="00D8123C" w:rsidP="00D8123C">
      <w:pPr>
        <w:spacing w:after="200" w:line="240" w:lineRule="auto"/>
        <w:rPr>
          <w:rFonts w:ascii="Times New Roman" w:eastAsia="Times New Roman" w:hAnsi="Times New Roman" w:cs="Times New Roman"/>
          <w:kern w:val="0"/>
          <w:lang w:eastAsia="en-CA"/>
          <w14:ligatures w14:val="none"/>
        </w:rPr>
      </w:pPr>
      <w:r w:rsidRPr="00D8123C">
        <w:rPr>
          <w:rFonts w:ascii="Calibri" w:eastAsia="Times New Roman" w:hAnsi="Calibri" w:cs="Calibri"/>
          <w:i/>
          <w:iCs/>
          <w:color w:val="000000"/>
          <w:kern w:val="0"/>
          <w:sz w:val="20"/>
          <w:szCs w:val="20"/>
          <w:lang w:eastAsia="en-CA"/>
          <w14:ligatures w14:val="none"/>
        </w:rPr>
        <w:t>The following documents form the evidence base referenced in this letter. Full copies are available upon request.</w:t>
      </w:r>
    </w:p>
    <w:p w14:paraId="55BC31A6"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WHMIS_Colour_System_MASTER.docx — Consolidated master reference: curriculum, colour architecture, R2 amendment</w:t>
      </w:r>
    </w:p>
    <w:p w14:paraId="2FC98293"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WHMIS_Colour_Curriculum_Standalone_CORRECTED_v1.docx — School-facing standalone with editorial locks</w:t>
      </w:r>
    </w:p>
    <w:p w14:paraId="60A31000"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WHMIS_Expansion_Amendment_R2_GSRT.docx — Formal regulatory amendment letter</w:t>
      </w:r>
    </w:p>
    <w:p w14:paraId="6AA9BE98"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Amendment GTT CEP IRF V2 WHIMS.docx — Complete R2 amendment integration</w:t>
      </w:r>
    </w:p>
    <w:p w14:paraId="0D01AAF5"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Global Restoration Stewardship Trust Initiative WHIMS AMDMT.docx — GSRT-framed amendment letter</w:t>
      </w:r>
    </w:p>
    <w:p w14:paraId="14083566"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Deeds_Peak_Alignment_DPA.html — GSRT Earthworks onboarding tool</w:t>
      </w:r>
    </w:p>
    <w:p w14:paraId="19F54CF8"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RWOB_Outreach_ColourMatch_TrackingV2.docx — 67-organization colour-match tracking</w:t>
      </w:r>
    </w:p>
    <w:p w14:paraId="7296816F"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RWOB_Ontario_Agency_Directory_2026.docx — Full outreach directory, 7 regions</w:t>
      </w:r>
    </w:p>
    <w:p w14:paraId="12F07A23"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gaps_clinical_backing_paper.docx — G.A.P.S. as CENAPS/PAWS translation layer</w:t>
      </w:r>
    </w:p>
    <w:p w14:paraId="2E8A391A"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gaps_framework_cross_reference__2.docx — MI-G.A.P.S. alignment, Ontario gap analysis</w:t>
      </w:r>
    </w:p>
    <w:p w14:paraId="07BD709E"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gaps_framework_cross_reference__20260711.docx — Updated cross-reference, five-stage comparison</w:t>
      </w:r>
    </w:p>
    <w:p w14:paraId="09960C88"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Stressor_Guide_Relationship_Map_CORRECTED.docx — Stressor-to-guide mapping, 7 identified gaps</w:t>
      </w:r>
    </w:p>
    <w:p w14:paraId="5C6B7A8C"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Use_Your_Own_Stressors_Worksheet.docx — Field tool for agencies</w:t>
      </w:r>
    </w:p>
    <w:p w14:paraId="22492F18"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gaps_alexia_crossreference_paper__20260506.docx — Alexia composite case, symptom-to-PAWS-to-G.A.P.S. chain</w:t>
      </w:r>
    </w:p>
    <w:p w14:paraId="6CA06436"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stressor_guide_relationship_map__20260408.docx — 22-row cross-document gap audit</w:t>
      </w:r>
    </w:p>
    <w:p w14:paraId="60316A2B"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xml:space="preserve">• lrp_academic_paper_full_scope.docx — LRP burnout prevention, scored 100% at </w:t>
      </w:r>
      <w:proofErr w:type="spellStart"/>
      <w:r w:rsidRPr="00D8123C">
        <w:rPr>
          <w:rFonts w:ascii="Calibri" w:eastAsia="Times New Roman" w:hAnsi="Calibri" w:cs="Calibri"/>
          <w:color w:val="000000"/>
          <w:kern w:val="0"/>
          <w:sz w:val="18"/>
          <w:szCs w:val="18"/>
          <w:lang w:eastAsia="en-CA"/>
          <w14:ligatures w14:val="none"/>
        </w:rPr>
        <w:t>triOS</w:t>
      </w:r>
      <w:proofErr w:type="spellEnd"/>
    </w:p>
    <w:p w14:paraId="62C2EBE1"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GAPS_Stressor_Guide_Full_Reference.docx — 29 worker stressors × 4 domains</w:t>
      </w:r>
    </w:p>
    <w:p w14:paraId="6AE00508"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PPDC_STRESSOR_TO_CONTENT_MAP.docx — LRP presentation content map</w:t>
      </w:r>
    </w:p>
    <w:p w14:paraId="2F2DEC22"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quarter_value_worker_persona_paper.docx — Daniel Merrick quarter-value stress test</w:t>
      </w:r>
    </w:p>
    <w:p w14:paraId="0FC8A14E"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GSRT_Stressor_Architecture_INTEGRATED.docx — Dual-track manual: Track A + Track B</w:t>
      </w:r>
    </w:p>
    <w:p w14:paraId="1EE0F5B8"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GAPS_Stressors_Modalities_Institutional_Value.docx — Four-section reference</w:t>
      </w:r>
    </w:p>
    <w:p w14:paraId="373F5927"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ppdc_lrp_stressor_relationship.docx — 29 worker stressors with LRP source documents</w:t>
      </w:r>
    </w:p>
    <w:p w14:paraId="144C07AF"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marcus_laura_pilot_simulation.docx — Marcus (n=20) and Laura (n=1) consistency proof</w:t>
      </w:r>
    </w:p>
    <w:p w14:paraId="43CF883C"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lighthouse_algebraic_equations.docx — All equations with worked examples</w:t>
      </w:r>
    </w:p>
    <w:p w14:paraId="0BAA4077"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lrp_standard_input_values.docx — Conservative benchmarks, burnout exposure equation</w:t>
      </w:r>
    </w:p>
    <w:p w14:paraId="1D77C077"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lrp_gaps_instutional_measurements.docx — Core equations, scaling, validated instruments</w:t>
      </w:r>
    </w:p>
    <w:p w14:paraId="161F67A8"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lrp_gaps_mathematical_case_study.docx — Verification-ready worked examples</w:t>
      </w:r>
    </w:p>
    <w:p w14:paraId="4DD84403"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fishing_rods_to_financial_equations__20260815.docx — Composite model, Marcus Stillwater pipeline</w:t>
      </w:r>
    </w:p>
    <w:p w14:paraId="7CB618D4"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gsrt_value_guide__2.docx — Audience presentation matrix, conservative floor, pricing models</w:t>
      </w:r>
    </w:p>
    <w:p w14:paraId="70E372E0"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halo_financial_equations_value_guide__20260717.docx — Variable reference table with instruments</w:t>
      </w:r>
    </w:p>
    <w:p w14:paraId="60BAF0F0"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halo_financial_human_value_reference_guider2.docx — Versioning corrections, open items log</w:t>
      </w:r>
    </w:p>
    <w:p w14:paraId="7EBA00E0"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gsrt_hma_integrated_master__20260304.docx — Unified master manual, 3-year timeline</w:t>
      </w:r>
    </w:p>
    <w:p w14:paraId="40C07B79"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master_manual_gaps_lrp_gsrt__2.docx — System architecture: 5-component pipeline</w:t>
      </w:r>
    </w:p>
    <w:p w14:paraId="334DB297" w14:textId="77777777" w:rsidR="00D8123C" w:rsidRPr="00D8123C" w:rsidRDefault="00D8123C" w:rsidP="00D8123C">
      <w:pPr>
        <w:spacing w:after="60" w:line="240" w:lineRule="auto"/>
        <w:ind w:left="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18"/>
          <w:szCs w:val="18"/>
          <w:lang w:eastAsia="en-CA"/>
          <w14:ligatures w14:val="none"/>
        </w:rPr>
        <w:t>• gsrt_master_manual_vol1_coreframework.pdf — Professional PDF edition Vol. 1</w:t>
      </w:r>
    </w:p>
    <w:p w14:paraId="46C91855" w14:textId="77777777" w:rsidR="00D8123C" w:rsidRPr="00D8123C" w:rsidRDefault="00D8123C" w:rsidP="00D8123C">
      <w:pPr>
        <w:spacing w:before="200" w:after="200" w:line="240" w:lineRule="auto"/>
        <w:outlineLvl w:val="1"/>
        <w:rPr>
          <w:rFonts w:ascii="Times New Roman" w:eastAsia="Times New Roman" w:hAnsi="Times New Roman" w:cs="Times New Roman"/>
          <w:b/>
          <w:bCs/>
          <w:kern w:val="0"/>
          <w:sz w:val="36"/>
          <w:szCs w:val="36"/>
          <w:lang w:eastAsia="en-CA"/>
          <w14:ligatures w14:val="none"/>
        </w:rPr>
      </w:pPr>
      <w:r w:rsidRPr="00D8123C">
        <w:rPr>
          <w:rFonts w:ascii="Calibri" w:eastAsia="Times New Roman" w:hAnsi="Calibri" w:cs="Calibri"/>
          <w:b/>
          <w:bCs/>
          <w:color w:val="2E74B5"/>
          <w:kern w:val="0"/>
          <w:sz w:val="26"/>
          <w:szCs w:val="26"/>
          <w:lang w:eastAsia="en-CA"/>
          <w14:ligatures w14:val="none"/>
        </w:rPr>
        <w:t>Appendix B — Academic References</w:t>
      </w:r>
    </w:p>
    <w:p w14:paraId="2BB747AD" w14:textId="77777777" w:rsidR="00D8123C" w:rsidRPr="00D8123C" w:rsidRDefault="00D8123C" w:rsidP="00D8123C">
      <w:pPr>
        <w:spacing w:after="100" w:line="240" w:lineRule="auto"/>
        <w:ind w:hanging="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0"/>
          <w:szCs w:val="20"/>
          <w:lang w:eastAsia="en-CA"/>
          <w14:ligatures w14:val="none"/>
        </w:rPr>
        <w:t>Bordin, E. S. (1979). The generalizability of the psychoanalytic concept of the working alliance. Psychotherapy: Theory, Research &amp; Practice, 16(3), 252–260.</w:t>
      </w:r>
    </w:p>
    <w:p w14:paraId="314586AC" w14:textId="77777777" w:rsidR="00D8123C" w:rsidRPr="00D8123C" w:rsidRDefault="00D8123C" w:rsidP="00D8123C">
      <w:pPr>
        <w:spacing w:after="100" w:line="240" w:lineRule="auto"/>
        <w:ind w:hanging="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0"/>
          <w:szCs w:val="20"/>
          <w:lang w:eastAsia="en-CA"/>
          <w14:ligatures w14:val="none"/>
        </w:rPr>
        <w:t>Gorski, T. T. (2013). Passages through recovery. Hazelden.</w:t>
      </w:r>
    </w:p>
    <w:p w14:paraId="534C519F" w14:textId="77777777" w:rsidR="00D8123C" w:rsidRPr="00D8123C" w:rsidRDefault="00D8123C" w:rsidP="00D8123C">
      <w:pPr>
        <w:spacing w:after="100" w:line="240" w:lineRule="auto"/>
        <w:ind w:hanging="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0"/>
          <w:szCs w:val="20"/>
          <w:lang w:eastAsia="en-CA"/>
          <w14:ligatures w14:val="none"/>
        </w:rPr>
        <w:t>Gorski, T. T., &amp; Miller, M. (1986). Staying sober. Independence Press.</w:t>
      </w:r>
    </w:p>
    <w:p w14:paraId="31E41223" w14:textId="77777777" w:rsidR="00D8123C" w:rsidRPr="00D8123C" w:rsidRDefault="00D8123C" w:rsidP="00D8123C">
      <w:pPr>
        <w:spacing w:after="100" w:line="240" w:lineRule="auto"/>
        <w:ind w:hanging="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0"/>
          <w:szCs w:val="20"/>
          <w:lang w:eastAsia="en-CA"/>
          <w14:ligatures w14:val="none"/>
        </w:rPr>
        <w:t>Horvath, A. O., &amp; Symonds, B. D. (1991). Relation between working alliance and outcome in psychotherapy: A meta-analysis. Journal of Counseling Psychology, 38(2), 139–149.</w:t>
      </w:r>
    </w:p>
    <w:p w14:paraId="1598863C" w14:textId="77777777" w:rsidR="00D8123C" w:rsidRPr="00D8123C" w:rsidRDefault="00D8123C" w:rsidP="00D8123C">
      <w:pPr>
        <w:spacing w:after="100" w:line="240" w:lineRule="auto"/>
        <w:ind w:hanging="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0"/>
          <w:szCs w:val="20"/>
          <w:lang w:eastAsia="en-CA"/>
          <w14:ligatures w14:val="none"/>
        </w:rPr>
        <w:t>Kroll, B. (2004). Living with an elephant: Growing up with parental substance misuse. Child and Family Social Work, 9(2), 129–140.</w:t>
      </w:r>
    </w:p>
    <w:p w14:paraId="17626425" w14:textId="77777777" w:rsidR="00D8123C" w:rsidRPr="00D8123C" w:rsidRDefault="00D8123C" w:rsidP="00D8123C">
      <w:pPr>
        <w:spacing w:after="100" w:line="240" w:lineRule="auto"/>
        <w:ind w:hanging="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0"/>
          <w:szCs w:val="20"/>
          <w:lang w:eastAsia="en-CA"/>
          <w14:ligatures w14:val="none"/>
        </w:rPr>
        <w:t>Marlatt, G. A., &amp; Donovan, D. M. (Eds.). (2005). Relapse prevention: Maintenance strategies in the treatment of addictive behaviors (2nd ed.). Guilford Press.</w:t>
      </w:r>
    </w:p>
    <w:p w14:paraId="34A8A9B2" w14:textId="77777777" w:rsidR="00D8123C" w:rsidRPr="00D8123C" w:rsidRDefault="00D8123C" w:rsidP="00D8123C">
      <w:pPr>
        <w:spacing w:after="100" w:line="240" w:lineRule="auto"/>
        <w:ind w:hanging="360"/>
        <w:rPr>
          <w:rFonts w:ascii="Times New Roman" w:eastAsia="Times New Roman" w:hAnsi="Times New Roman" w:cs="Times New Roman"/>
          <w:kern w:val="0"/>
          <w:lang w:eastAsia="en-CA"/>
          <w14:ligatures w14:val="none"/>
        </w:rPr>
      </w:pPr>
      <w:r w:rsidRPr="00D8123C">
        <w:rPr>
          <w:rFonts w:ascii="Calibri" w:eastAsia="Times New Roman" w:hAnsi="Calibri" w:cs="Calibri"/>
          <w:color w:val="000000"/>
          <w:kern w:val="0"/>
          <w:sz w:val="20"/>
          <w:szCs w:val="20"/>
          <w:lang w:eastAsia="en-CA"/>
          <w14:ligatures w14:val="none"/>
        </w:rPr>
        <w:t>Miller, W. R., &amp; Rollnick, S. (2023). Motivational interviewing: Helping people change and grow (4th ed.). Guilford Press.</w:t>
      </w:r>
    </w:p>
    <w:p w14:paraId="4582EBBA" w14:textId="77777777" w:rsidR="00D8123C" w:rsidRPr="00D8123C" w:rsidRDefault="00D8123C" w:rsidP="00D8123C">
      <w:pPr>
        <w:spacing w:after="100" w:line="240" w:lineRule="auto"/>
        <w:ind w:hanging="360"/>
        <w:rPr>
          <w:rFonts w:ascii="Times New Roman" w:eastAsia="Times New Roman" w:hAnsi="Times New Roman" w:cs="Times New Roman"/>
          <w:kern w:val="0"/>
          <w:lang w:eastAsia="en-CA"/>
          <w14:ligatures w14:val="none"/>
        </w:rPr>
      </w:pPr>
      <w:proofErr w:type="spellStart"/>
      <w:r w:rsidRPr="00D8123C">
        <w:rPr>
          <w:rFonts w:ascii="Calibri" w:eastAsia="Times New Roman" w:hAnsi="Calibri" w:cs="Calibri"/>
          <w:color w:val="000000"/>
          <w:kern w:val="0"/>
          <w:sz w:val="20"/>
          <w:szCs w:val="20"/>
          <w:lang w:eastAsia="en-CA"/>
          <w14:ligatures w14:val="none"/>
        </w:rPr>
        <w:t>Witkiewitz</w:t>
      </w:r>
      <w:proofErr w:type="spellEnd"/>
      <w:r w:rsidRPr="00D8123C">
        <w:rPr>
          <w:rFonts w:ascii="Calibri" w:eastAsia="Times New Roman" w:hAnsi="Calibri" w:cs="Calibri"/>
          <w:color w:val="000000"/>
          <w:kern w:val="0"/>
          <w:sz w:val="20"/>
          <w:szCs w:val="20"/>
          <w:lang w:eastAsia="en-CA"/>
          <w14:ligatures w14:val="none"/>
        </w:rPr>
        <w:t>, K., &amp; Marlatt, G. A. (2004). Relapse prevention for alcohol and drug problems: That was Zen, this is Tao. American Psychologist, 59(4), 224–235.</w:t>
      </w:r>
    </w:p>
    <w:p w14:paraId="13508A6D" w14:textId="77777777" w:rsidR="00CB28E1" w:rsidRDefault="00CB28E1"/>
    <w:sectPr w:rsidR="00CB28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23C"/>
    <w:rsid w:val="00203622"/>
    <w:rsid w:val="00307AF1"/>
    <w:rsid w:val="005F18C5"/>
    <w:rsid w:val="00807A8F"/>
    <w:rsid w:val="00C01FC2"/>
    <w:rsid w:val="00CB28E1"/>
    <w:rsid w:val="00D8123C"/>
    <w:rsid w:val="00E873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B4B9"/>
  <w15:chartTrackingRefBased/>
  <w15:docId w15:val="{4799C3FC-040A-47EA-B9E4-EA98656B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23C"/>
    <w:rPr>
      <w:rFonts w:eastAsiaTheme="majorEastAsia" w:cstheme="majorBidi"/>
      <w:color w:val="272727" w:themeColor="text1" w:themeTint="D8"/>
    </w:rPr>
  </w:style>
  <w:style w:type="paragraph" w:styleId="Title">
    <w:name w:val="Title"/>
    <w:basedOn w:val="Normal"/>
    <w:next w:val="Normal"/>
    <w:link w:val="TitleChar"/>
    <w:uiPriority w:val="10"/>
    <w:qFormat/>
    <w:rsid w:val="00D81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23C"/>
    <w:pPr>
      <w:spacing w:before="160"/>
      <w:jc w:val="center"/>
    </w:pPr>
    <w:rPr>
      <w:i/>
      <w:iCs/>
      <w:color w:val="404040" w:themeColor="text1" w:themeTint="BF"/>
    </w:rPr>
  </w:style>
  <w:style w:type="character" w:customStyle="1" w:styleId="QuoteChar">
    <w:name w:val="Quote Char"/>
    <w:basedOn w:val="DefaultParagraphFont"/>
    <w:link w:val="Quote"/>
    <w:uiPriority w:val="29"/>
    <w:rsid w:val="00D8123C"/>
    <w:rPr>
      <w:i/>
      <w:iCs/>
      <w:color w:val="404040" w:themeColor="text1" w:themeTint="BF"/>
    </w:rPr>
  </w:style>
  <w:style w:type="paragraph" w:styleId="ListParagraph">
    <w:name w:val="List Paragraph"/>
    <w:basedOn w:val="Normal"/>
    <w:uiPriority w:val="34"/>
    <w:qFormat/>
    <w:rsid w:val="00D8123C"/>
    <w:pPr>
      <w:ind w:left="720"/>
      <w:contextualSpacing/>
    </w:pPr>
  </w:style>
  <w:style w:type="character" w:styleId="IntenseEmphasis">
    <w:name w:val="Intense Emphasis"/>
    <w:basedOn w:val="DefaultParagraphFont"/>
    <w:uiPriority w:val="21"/>
    <w:qFormat/>
    <w:rsid w:val="00D8123C"/>
    <w:rPr>
      <w:i/>
      <w:iCs/>
      <w:color w:val="0F4761" w:themeColor="accent1" w:themeShade="BF"/>
    </w:rPr>
  </w:style>
  <w:style w:type="paragraph" w:styleId="IntenseQuote">
    <w:name w:val="Intense Quote"/>
    <w:basedOn w:val="Normal"/>
    <w:next w:val="Normal"/>
    <w:link w:val="IntenseQuoteChar"/>
    <w:uiPriority w:val="30"/>
    <w:qFormat/>
    <w:rsid w:val="00D81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23C"/>
    <w:rPr>
      <w:i/>
      <w:iCs/>
      <w:color w:val="0F4761" w:themeColor="accent1" w:themeShade="BF"/>
    </w:rPr>
  </w:style>
  <w:style w:type="character" w:styleId="IntenseReference">
    <w:name w:val="Intense Reference"/>
    <w:basedOn w:val="DefaultParagraphFont"/>
    <w:uiPriority w:val="32"/>
    <w:qFormat/>
    <w:rsid w:val="00D812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2892</Words>
  <Characters>16485</Characters>
  <Application>Microsoft Office Word</Application>
  <DocSecurity>0</DocSecurity>
  <Lines>137</Lines>
  <Paragraphs>38</Paragraphs>
  <ScaleCrop>false</ScaleCrop>
  <Company/>
  <LinksUpToDate>false</LinksUpToDate>
  <CharactersWithSpaces>19339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Schwab</dc:creator>
  <cp:keywords/>
  <dc:description/>
  <cp:lastModifiedBy>Neil J Schwab</cp:lastModifiedBy>
  <cp:revision>2</cp:revision>
  <dcterms:created xsi:type="dcterms:W3CDTF">2026-08-31T21:03:00Z</dcterms:created>
  <dcterms:modified xsi:type="dcterms:W3CDTF">2026-08-31T21:03:00Z</dcterms:modified>
</cp:coreProperties>
</file>