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THE WHMIS COLOUR SYSTEM</w:t>
      </w:r>
    </w:p>
    <w:p>
      <w:pPr>
        <w:pStyle w:val="Heading2"/>
        <w:spacing w:after="300"/>
      </w:pPr>
      <w:r>
        <w:t xml:space="preserve">Master Reference — Curriculum, Colour Architecture, and Proposed Regulatory Amendment (R2)</w:t>
      </w:r>
    </w:p>
    <w:p>
      <w:pPr>
        <w:spacing w:after="120"/>
      </w:pPr>
      <w:r>
        <w:rPr>
          <w:b/>
          <w:bCs/>
        </w:rPr>
        <w:t xml:space="preserve">Framework Architect: Neil J. Schwab</w:t>
      </w:r>
    </w:p>
    <w:p>
      <w:pPr>
        <w:spacing w:after="120"/>
      </w:pPr>
      <w:r>
        <w:t xml:space="preserve">neil.schwab@live.ca | +1 (905) 868-6985 | Newmarket, Ontario, Canada</w:t>
      </w:r>
    </w:p>
    <w:p>
      <w:pPr>
        <w:spacing w:after="120"/>
      </w:pPr>
      <w:r>
        <w:t xml:space="preserve">Consolidated edition — August 2026</w:t>
      </w:r>
    </w:p>
    <w:p>
      <w:pPr>
        <w:pBdr>
          <w:left w:val="single" w:color="888888" w:sz="12" w:space="8"/>
        </w:pBdr>
        <w:spacing w:after="200" w:before="100"/>
        <w:ind w:left="200"/>
      </w:pPr>
      <w:r>
        <w:rPr>
          <w:i/>
          <w:iCs/>
        </w:rPr>
        <w:t xml:space="preserve">This document consolidates five previously scattered copies (WHMIS_Colour_Curriculum_Standalone_CORRECTED_v1, WHMIS_Expansion_Amendment_R2_GSRT in .docx/.pdf, WHMIS_Amendment_Letter_R2.html, and WHMIS_Expansion_Amendment_POLISHED) plus an inline copy mislabeled “R1” in its own footer. All five were cross-checked and found consistent on every substantive point; this is now the single reference. Regulatory status throughout: prepared for submission to Health Canada / the WHMIS Oversight Committee — not yet submitted, not in force.</w:t>
      </w:r>
    </w:p>
    <w:p>
      <w:pPr>
        <w:pStyle w:val="Heading1"/>
        <w:spacing w:after="150" w:before="300"/>
      </w:pPr>
      <w:r>
        <w:t xml:space="preserve">Part 1 — Foundation</w:t>
      </w:r>
    </w:p>
    <w:p>
      <w:pPr>
        <w:spacing w:after="120"/>
      </w:pPr>
      <w:r>
        <w:t xml:space="preserve">The Workplace Hazardous Materials Information System has served Canadian workers since 1988.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7200"/>
            <w:shd w:fill="E8E8E8" w:val="clear"/>
          </w:tcPr>
          <w:p>
            <w:r>
              <w:rPr>
                <w:b/>
                <w:bCs/>
              </w:rPr>
              <w:t xml:space="preserve">Current WHMIS Meaning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RED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Fire hazard, flammability, immediate danger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BLUE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Health hazard, toxicity, corrosive materials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YELLOW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Reactivity hazard, instability, oxidizing materials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WHITE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Special hazards, general information, biohazard background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BLACK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Symbols, text, pictogram outlines — the warning itself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framework's unifying insight: the colours that keep a worker safe with hazardous materials are proposed to describe the hazardous conditions within a person, using the same progression for outer ecological restoration and inner psychological restoration.</w:t>
      </w:r>
    </w:p>
    <w:p>
      <w:pPr>
        <w:pStyle w:val="Heading1"/>
        <w:spacing w:after="150" w:before="300"/>
      </w:pPr>
      <w:r>
        <w:t xml:space="preserve">Part 2 — The Seven Colour Domains</w:t>
      </w:r>
    </w:p>
    <w:p>
      <w:pPr>
        <w:spacing w:after="120"/>
      </w:pPr>
      <w:r>
        <w:t xml:space="preserve">Five colours serve as identity Hues — WHITE, BLUE, GREEN, BLACK, GOLD — computed as Hue = argmax(W, B, G, Bl, Go), a weighted read of curiosity and inclination over time. Two further domains, YELLOW and RED, are response energies: certifiable work tiers every participant can train into and out of, never an identity anyone is assigned.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550"/>
        <w:gridCol w:w="3160"/>
      </w:tblGrid>
      <w:tr>
        <w:tc>
          <w:tcPr>
            <w:tcW w:type="dxa" w:w="2650"/>
            <w:shd w:fill="E8E8E8" w:val="clea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3550"/>
            <w:shd w:fill="E8E8E8" w:val="clear"/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3160"/>
            <w:shd w:fill="E8E8E8" w:val="clear"/>
          </w:tcPr>
          <w:p>
            <w:r>
              <w:rPr>
                <w:b/>
                <w:bCs/>
              </w:rPr>
              <w:t xml:space="preserve">WHMIS Status</w:t>
            </w:r>
          </w:p>
        </w:tc>
      </w:tr>
      <w:tr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WHITE — Identity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Materials sorting, basic stewardship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</w:rPr>
              <w:t xml:space="preserve">Current WHMIS category</w:t>
            </w:r>
          </w:p>
        </w:tc>
      </w:tr>
      <w:tr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BLUE — Identity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Waterway restoration, aquatic remediation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</w:rPr>
              <w:t xml:space="preserve">Current WHMIS category</w:t>
            </w:r>
          </w:p>
        </w:tc>
      </w:tr>
      <w:tr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GREEN — Identity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Terrestrial restoration, soil, reforestation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</w:rPr>
              <w:t xml:space="preserve">Proposed category — not yet submitted</w:t>
            </w:r>
          </w:p>
        </w:tc>
      </w:tr>
      <w:tr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YELLOW — Response energy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Reactivity/emergency response, animal rescue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</w:rPr>
              <w:t xml:space="preserve">Current WHMIS category</w:t>
            </w:r>
          </w:p>
        </w:tc>
      </w:tr>
      <w:tr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RED — Response energy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Fire/crisis response, first aid, CPR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</w:rPr>
              <w:t xml:space="preserve">Current WHMIS category</w:t>
            </w:r>
          </w:p>
        </w:tc>
      </w:tr>
      <w:tr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BLACK — Identity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Hazardous materials handling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</w:rPr>
              <w:t xml:space="preserve">Current WHMIS category</w:t>
            </w:r>
          </w:p>
        </w:tc>
      </w:tr>
      <w:tr>
        <w:tc>
          <w:tcPr>
            <w:tcW w:type="dxa" w:w="2650"/>
          </w:tcPr>
          <w:p>
            <w:r>
              <w:rPr>
                <w:b w:val="false"/>
                <w:bCs w:val="false"/>
              </w:rPr>
              <w:t xml:space="preserve">GOLD — Identity, elder tier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</w:rPr>
              <w:t xml:space="preserve">Ecosystem-scale leadership, mentorship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</w:rPr>
              <w:t xml:space="preserve">Not a WHMIS category — internal only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888888" w:sz="12" w:space="8"/>
        </w:pBdr>
        <w:spacing w:after="200" w:before="100"/>
        <w:ind w:left="200"/>
      </w:pPr>
      <w:r>
        <w:rPr>
          <w:i/>
          <w:iCs/>
        </w:rPr>
        <w:t xml:space="preserve">GOLD carries an age provision alongside its competency criteria: age 55+ grants automatic Elder-GOLD standing. GOLD is an elder-wisdom and mentorship tier, not solely a numeric threshold reached through tenure.</w:t>
      </w:r>
    </w:p>
    <w:p>
      <w:pPr>
        <w:pStyle w:val="Heading1"/>
        <w:spacing w:after="150" w:before="300"/>
      </w:pPr>
      <w:r>
        <w:t xml:space="preserve">Part 3 — The Four-Ring Curriculum Structure</w:t>
      </w:r>
    </w:p>
    <w:p>
      <w:pPr>
        <w:spacing w:after="120"/>
      </w:pPr>
      <w:r>
        <w:t xml:space="preserve">Every colour domain is taught through four concentric rings around a WHMIS anchor: the physical hazard meaning sits at the centre so learning is never abstract, wrapped by emotional literacy, then academic content building outward by 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shd w:fill="E8E8E8" w:val="clear"/>
          </w:tcPr>
          <w:p>
            <w:r>
              <w:rPr>
                <w:b/>
                <w:bCs/>
              </w:rPr>
              <w:t xml:space="preserve">Ring</w:t>
            </w:r>
          </w:p>
        </w:tc>
        <w:tc>
          <w:tcPr>
            <w:tcW w:type="dxa" w:w="5400"/>
            <w:shd w:fill="E8E8E8" w:val="clear"/>
          </w:tcPr>
          <w:p>
            <w:r>
              <w:rPr>
                <w:b/>
                <w:bCs/>
              </w:rPr>
              <w:t xml:space="preserve">Contains</w:t>
            </w:r>
          </w:p>
        </w:tc>
        <w:tc>
          <w:tcPr>
            <w:tcW w:type="dxa" w:w="2160"/>
            <w:shd w:fill="E8E8E8" w:val="clear"/>
          </w:tcPr>
          <w:p>
            <w:r>
              <w:rPr>
                <w:b/>
                <w:bCs/>
              </w:rPr>
              <w:t xml:space="preserve">Age Range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Centre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WHMIS definition — physical hazard meaning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All ages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Ring 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Feelings and emotions — emotional literacy layer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All ages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Ring 2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Elementary curriculum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Ages 5–11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Ring 3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High school curriculum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Ages 14–18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Ring 4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University / life curriculum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Ages 18+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Colour Progression in School — By 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060"/>
      </w:tblGrid>
      <w:tr>
        <w:tc>
          <w:tcPr>
            <w:tcW w:type="dxa" w:w="1500"/>
            <w:shd w:fill="E8E8E8" w:val="clear"/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200"/>
            <w:shd w:fill="E8E8E8" w:val="clear"/>
          </w:tcPr>
          <w:p>
            <w:r>
              <w:rPr>
                <w:b/>
                <w:bCs/>
              </w:rPr>
              <w:t xml:space="preserve">WHMIS Certification</w:t>
            </w:r>
          </w:p>
        </w:tc>
        <w:tc>
          <w:tcPr>
            <w:tcW w:type="dxa" w:w="2060"/>
            <w:shd w:fill="E8E8E8" w:val="clear"/>
          </w:tcPr>
          <w:p>
            <w:r>
              <w:rPr>
                <w:b/>
                <w:bCs/>
              </w:rPr>
              <w:t xml:space="preserve">Earnings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4–7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White Foundation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8–11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Blue/Green Emergence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12–15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Hue Formation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WHMIS general awareness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$10–20/month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16–18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Shade Deepening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Standard First Aid, CPR, WHMIS health/reactivity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$35–105/month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19–25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Tint Expression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Advanced certifications as needed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Full participant income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Gold Level certification (teaching, master-level safety oversight, curriculum design) becomes available at age 55+, consistent with the Elder-GOLD provision above.</w:t>
      </w:r>
    </w:p>
    <w:p>
      <w:pPr>
        <w:pStyle w:val="Heading1"/>
        <w:spacing w:after="150" w:before="300"/>
      </w:pPr>
      <w:r>
        <w:t xml:space="preserve">Part 4 — The WHMIS Spectrum — Inner and Outer as One System</w:t>
      </w:r>
    </w:p>
    <w:p>
      <w:pPr>
        <w:pBdr>
          <w:left w:val="single" w:color="888888" w:sz="12" w:space="8"/>
        </w:pBdr>
        <w:spacing w:after="200" w:before="100"/>
        <w:ind w:left="200"/>
      </w:pPr>
      <w:r>
        <w:rPr>
          <w:i/>
          <w:iCs/>
        </w:rPr>
        <w:t xml:space="preserve">This section proposes a metaphorical correspondence between restoration work and internal states. It is a design framework, not a validated clinical claim.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750"/>
        <w:gridCol w:w="2900"/>
        <w:gridCol w:w="2160"/>
      </w:tblGrid>
      <w:tr>
        <w:tc>
          <w:tcPr>
            <w:tcW w:type="dxa" w:w="1550"/>
            <w:shd w:fill="E8E8E8" w:val="clear"/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2750"/>
            <w:shd w:fill="E8E8E8" w:val="clear"/>
          </w:tcPr>
          <w:p>
            <w:r>
              <w:rPr>
                <w:b/>
                <w:bCs/>
              </w:rPr>
              <w:t xml:space="preserve">Outer (Practical)</w:t>
            </w:r>
          </w:p>
        </w:tc>
        <w:tc>
          <w:tcPr>
            <w:tcW w:type="dxa" w:w="2900"/>
            <w:shd w:fill="E8E8E8" w:val="clear"/>
          </w:tcPr>
          <w:p>
            <w:r>
              <w:rPr>
                <w:b/>
                <w:bCs/>
              </w:rPr>
              <w:t xml:space="preserve">Inner (Proposed)</w:t>
            </w:r>
          </w:p>
        </w:tc>
        <w:tc>
          <w:tcPr>
            <w:tcW w:type="dxa" w:w="2160"/>
            <w:shd w:fill="E8E8E8" w:val="clear"/>
          </w:tcPr>
          <w:p>
            <w:r>
              <w:rPr>
                <w:b/>
                <w:bCs/>
              </w:rPr>
              <w:t xml:space="preserve">D.O.S.E.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WHITE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</w:rPr>
              <w:t xml:space="preserve">Basic sorting, stewardship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Clarity, beginning, openness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Serotonin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BLUE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</w:rPr>
              <w:t xml:space="preserve">Waterway restoration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Flow, depth, reflection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Oxytocin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GREEN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</w:rPr>
              <w:t xml:space="preserve">Land and soil restoration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Growth, nurturing, healing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Serotonin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YELLOW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</w:rPr>
              <w:t xml:space="preserve">Emergency and animal care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Warmth, awareness, caution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Endorphins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RED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</w:rPr>
              <w:t xml:space="preserve">Fire/crisis response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Panic, urgency, the body alarm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Cortisol regulation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BLACK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</w:rPr>
              <w:t xml:space="preserve">Hazardous materials handling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Gravity, transformation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All four</w:t>
            </w:r>
          </w:p>
        </w:tc>
      </w:tr>
      <w:tr>
        <w:tc>
          <w:tcPr>
            <w:tcW w:type="dxa" w:w="1550"/>
          </w:tcPr>
          <w:p>
            <w:r>
              <w:rPr>
                <w:b w:val="false"/>
                <w:bCs w:val="false"/>
              </w:rPr>
              <w:t xml:space="preserve">GOLD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</w:rPr>
              <w:t xml:space="preserve">Ecosystem and legacy leadership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Wisdom, mastery, illumination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All four, sustained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Proposed stressor mapping (worker-facing, via the Lighthouse Resilience Program): WHITE = burnout/rescuer trap; BLUE = enmeshment/vicarious trauma; GREEN = moral injury/cynicism; BLACK = cortisol dominance/nervous-system collapse; GOLD = sovereign mastery.</w:t>
      </w:r>
    </w:p>
    <w:p>
      <w:pPr>
        <w:pStyle w:val="Heading1"/>
        <w:spacing w:after="150" w:before="300"/>
      </w:pPr>
      <w:r>
        <w:t xml:space="preserve">Part 5 — Proposed WHMIS Amendments (R2)</w:t>
      </w:r>
    </w:p>
    <w:p>
      <w:pPr>
        <w:pBdr>
          <w:left w:val="single" w:color="888888" w:sz="12" w:space="8"/>
        </w:pBdr>
        <w:spacing w:after="200" w:before="100"/>
        <w:ind w:left="200"/>
      </w:pPr>
      <w:r>
        <w:rPr>
          <w:i/>
          <w:iCs/>
        </w:rPr>
        <w:t xml:space="preserve">Status: prepared for submission to the WHMIS Oversight Committee / Health Canada. Not yet submitted. Not in force.</w:t>
      </w:r>
    </w:p>
    <w:p>
      <w:pPr>
        <w:pStyle w:val="Heading2"/>
        <w:spacing w:after="100" w:before="200"/>
      </w:pPr>
      <w:r>
        <w:t xml:space="preserve">Amendment 1 — GREEN as a New Hazard Category</w:t>
      </w:r>
    </w:p>
    <w:p>
      <w:pPr>
        <w:spacing w:after="120"/>
      </w:pPr>
      <w:r>
        <w:t xml:space="preserve">Proposes GREEN as an official WHMIS category for psychological and emotional hazard — cumulative stress, vicarious trauma, compassion fatigue, moral injury — particularly for emergency response, hazmat, and environmental cleanup workers. Rationale draws on Chapter 6 of the Canadian Health and Safety Workplace Fundamentals textbook, which already addresses psycho-social hazards educationally; this amendment proposes matching regulatory recognition.</w:t>
      </w:r>
    </w:p>
    <w:p>
      <w:pPr>
        <w:pStyle w:val="Heading2"/>
        <w:spacing w:after="100" w:before="200"/>
      </w:pPr>
      <w:r>
        <w:t xml:space="preserve">Amendment 2 — Expanded BLACK Definition</w:t>
      </w:r>
    </w:p>
    <w:p>
      <w:pPr>
        <w:spacing w:after="120"/>
      </w:pPr>
      <w:r>
        <w:t xml:space="preserve">Proposes recognizing BLACK's existing biohazard/warning meaning alongside a named psychological-shadow dimension: the long-term chronic psychological weight carried by workers who spend years in BLACK-level hazardous environments.</w:t>
      </w:r>
    </w:p>
    <w:p>
      <w:pPr>
        <w:pStyle w:val="Heading2"/>
        <w:spacing w:after="100" w:before="200"/>
      </w:pPr>
      <w:r>
        <w:t xml:space="preserve">Amendment 3 — Label Colour: Fluorescent Orange (All Earthbound Labels)</w:t>
      </w:r>
    </w:p>
    <w:p>
      <w:pPr>
        <w:spacing w:after="120"/>
      </w:pPr>
      <w:r>
        <w:t xml:space="preserve">Proposes fluorescent orange as the standard text/symbol colour across all earthbound WHMIS labels, every colour tier, for improved recognition under low-light and high-stress conditions.</w:t>
      </w:r>
    </w:p>
    <w:p>
      <w:pPr>
        <w:pStyle w:val="Heading2"/>
        <w:spacing w:after="100" w:before="200"/>
      </w:pPr>
      <w:r>
        <w:t xml:space="preserve">Amendment 4 — Label Colour: Fluorescent Yellow (Black Label, Space Only)</w:t>
      </w:r>
    </w:p>
    <w:p>
      <w:pPr>
        <w:spacing w:after="120"/>
      </w:pPr>
      <w:r>
        <w:t xml:space="preserve">Proposes fluorescent yellow reserved exclusively for the Black Label on space and orbital operations — the Black Yellow Label. Earthbound Black Label work continues under fluorescent orange (the Black Orange Label), consistent with every other domain. This distinction — orange for earthbound, yellow reserved for space — is confirmed consistently across this framework's full document history and should not be reversed.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4200"/>
            <w:shd w:fill="E8E8E8" w:val="clear"/>
          </w:tcPr>
          <w:p>
            <w:r>
              <w:rPr>
                <w:b/>
                <w:bCs/>
              </w:rPr>
              <w:t xml:space="preserve">Physical Meaning</w:t>
            </w:r>
          </w:p>
        </w:tc>
        <w:tc>
          <w:tcPr>
            <w:tcW w:type="dxa" w:w="2760"/>
            <w:shd w:fill="E8E8E8" w:val="clear"/>
          </w:tcPr>
          <w:p>
            <w:r>
              <w:rPr>
                <w:b/>
                <w:bCs/>
              </w:rPr>
              <w:t xml:space="preserve">Label Font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Fire, explosion, immediate danger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Fluorescent Orange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BLUE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Health hazard, toxicity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Fluorescent Orange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YELLOW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Reactivity, instability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Fluorescent Orange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WHITE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Special hazards, general information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Fluorescent Orange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BLACK (Earth)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Symbols, biohazard, the warning itself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Fluorescent Orange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BLACK (Space)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Orbital hazard, frontier operations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Fluorescent Yellow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GREEN (proposed)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Psychological hazard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Fluorescent Orange</w:t>
            </w:r>
          </w:p>
        </w:tc>
      </w:tr>
    </w:tbl>
    <w:p>
      <w:pPr>
        <w:pStyle w:val="Heading1"/>
        <w:spacing w:after="150" w:before="300"/>
      </w:pPr>
      <w:r>
        <w:t xml:space="preserve">Part 6 — Proposed Implementation and Compensation</w:t>
      </w:r>
    </w:p>
    <w:p>
      <w:pPr>
        <w:pStyle w:val="Heading2"/>
        <w:spacing w:after="100" w:before="200"/>
      </w:pPr>
      <w:r>
        <w:t xml:space="preserve">Implementation Timeline (Proposed)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00"/>
        <w:gridCol w:w="2060"/>
      </w:tblGrid>
      <w:tr>
        <w:tc>
          <w:tcPr>
            <w:tcW w:type="dxa" w:w="1200"/>
            <w:shd w:fill="E8E8E8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00"/>
            <w:shd w:fill="E8E8E8" w:val="clear"/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2060"/>
            <w:shd w:fill="E8E8E8" w:val="clear"/>
          </w:tcPr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Stakeholder consultation — emergency services, hazmat workers, mental health professionals, labour unions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6 months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Pictogram design and testing under ISO 7010 standards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6 months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Regulatory amendment process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12 months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Education and industry transition period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24 months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Full implementation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</w:rPr>
              <w:t xml:space="preserve">Ongoing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Proposed Compensation Structure</w:t>
      </w:r>
    </w:p>
    <w:p>
      <w:pPr>
        <w:spacing w:after="120"/>
      </w:pPr>
      <w:r>
        <w:t xml:space="preserve">Proposes that WHMIS's original institutional stewards and contributing researchers be formally compensated through the GSRT revenue waterfall, on the principle that their work is load-bearing infrastructure this proposal builds on, not background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Stream</w:t>
            </w:r>
          </w:p>
        </w:tc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Recipient</w:t>
            </w:r>
          </w:p>
        </w:tc>
        <w:tc>
          <w:tcPr>
            <w:tcW w:type="dxa" w:w="2360"/>
            <w:shd w:fill="E8E8E8" w:val="clear"/>
          </w:tcPr>
          <w:p>
            <w:r>
              <w:rPr>
                <w:b/>
                <w:bCs/>
              </w:rPr>
              <w:t xml:space="preserve">Basis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Licensing Acknowledgment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Community &amp; Culture (20%)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WHMIS institutional stewards, original researchers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</w:rPr>
              <w:t xml:space="preserve">Formal licensing for use/extension of WHMIS framework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Participant Credit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Participant Income (40%)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Living contributors directly operationalized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</w:rPr>
              <w:t xml:space="preserve">Proportional to contribution depth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Research Recognition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Progression (10%)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Occupational health researchers informing GREEN/BLACK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</w:rPr>
              <w:t xml:space="preserve">Ongoing royalty as framework scales</w:t>
            </w:r>
          </w:p>
        </w:tc>
      </w:tr>
    </w:tbl>
    <w:p>
      <w:pPr>
        <w:pStyle w:val="Heading1"/>
        <w:spacing w:after="150" w:before="300"/>
      </w:pPr>
      <w:r>
        <w:t xml:space="preserve">Closing</w:t>
      </w:r>
    </w:p>
    <w:p>
      <w:pPr>
        <w:spacing w:after="120"/>
      </w:pPr>
      <w:r>
        <w:t xml:space="preserve">This document is the single reference for the WHMIS colour architecture across the framework's curriculum and its proposed regulatory amendment. Earlier drafts — including any copy labeled “R1” — describe the same underlying proposal and are superseded by this consolidation. Nothing described here is in force; GREEN, the expanded BLACK definition, and the fluorescent label amendments remain proposals prepared for submission and stakeholder consultation.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Neil J. Schwab — Framework Architect, GSRT</w:t>
      </w:r>
    </w:p>
    <w:p>
      <w:pPr>
        <w:spacing w:after="120"/>
      </w:pPr>
      <w:r>
        <w:t xml:space="preserve">neil.schwab@live.ca | +1 (905) 868-6985 | Newmarket, Ontario, Canada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2026-08-09T06:33:40.275Z</dcterms:created>
  <dcterms:modified xsi:type="dcterms:W3CDTF">2026-08-09T06:33:40.275Z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