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CBDFA">
      <w:pPr>
        <w:pStyle w:val="31"/>
        <w:jc w:val="center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Hopf 振荡器在智能助行车 CPG 变导纳控制中的应用说明</w:t>
      </w:r>
    </w:p>
    <w:p w14:paraId="2D730F36">
      <w:pPr>
        <w:jc w:val="center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  <w:color w:val="555555"/>
          <w:sz w:val="20"/>
        </w:rPr>
        <w:t>SmartRollator 工程技术说明 | 基于当前代码与 Hopf 振荡器资料整理</w:t>
      </w:r>
    </w:p>
    <w:p w14:paraId="71401529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结论：当前工程中的 CPG 控制核心符合 Hopf 振荡器数学结构。它在标准 Hopf 振荡器的 x 通道加入外力耦合项 εF_ext，因此工程上更准确的表述是“受迫 Hopf 振荡器驱动的 CPG 变导纳控制器”。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8F8B7E">
        <w:trPr>
          <w:jc w:val="center"/>
        </w:trPr>
        <w:tc>
          <w:tcPr>
            <w:tcW w:w="9360" w:type="dxa"/>
            <w:shd w:val="clear" w:color="auto" w:fill="F4F6F9"/>
            <w:vAlign w:val="center"/>
          </w:tcPr>
          <w:p w14:paraId="356757BB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sz w:val="19"/>
              </w:rPr>
              <w:t>用途定位：Hopf 振荡器不直接控制电机，而是产生节律状态 x/y；工程中使用 x 在线调制导纳阻尼 D_current，再由导纳模型把人手作用力转换为助行车目标速度。</w:t>
            </w:r>
          </w:p>
        </w:tc>
      </w:tr>
    </w:tbl>
    <w:p w14:paraId="42962240">
      <w:pPr>
        <w:rPr>
          <w:rFonts w:hint="default" w:ascii="Times New Roman Regular" w:hAnsi="Times New Roman Regular" w:eastAsia="仿宋_GB2312" w:cs="Times New Roman Regular"/>
        </w:rPr>
      </w:pPr>
    </w:p>
    <w:p w14:paraId="52AF24E5">
      <w:pPr>
        <w:pStyle w:val="3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1. 为什么在助行车里使用 Hopf 振荡器</w:t>
      </w:r>
    </w:p>
    <w:p w14:paraId="65340A80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智能助行车面对的是人机物理交互问题：用户推动车把产生力，车辆应顺从用户意图运动，同时不能因为瞬时噪声或突变力而产生不稳定响应。传统固定导纳控制只使用固定虚拟质量 M 和阻尼 D，响应特性恒定；而人的步态是周期性的，助行车更适合按人的步频节律改变“顺从程度”。</w:t>
      </w:r>
    </w:p>
    <w:p w14:paraId="2CB21740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Hopf 振荡器适合这个场景，原因有三点：</w:t>
      </w:r>
    </w:p>
    <w:p w14:paraId="40C4F3F6">
      <w:pPr>
        <w:pStyle w:val="16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它具有稳定极限环：状态偏离后会回到稳定周期轨道，适合作为节律源。</w:t>
      </w:r>
    </w:p>
    <w:p w14:paraId="7295ED1A">
      <w:pPr>
        <w:pStyle w:val="16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振幅参数 mu 和频率参数 omega 相对独立：步幅/响应强度和步频可以分开调。</w:t>
      </w:r>
    </w:p>
    <w:p w14:paraId="6EDEC78D">
      <w:pPr>
        <w:pStyle w:val="16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可以自然加入外部反馈：力传感器、动捕步频、视觉/安全约束都可以作为调制输入，而不必重写整个控制框架。</w:t>
      </w:r>
    </w:p>
    <w:p w14:paraId="57BF2EAB">
      <w:pPr>
        <w:pStyle w:val="3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2. Hopf 振荡器公式的含义</w:t>
      </w:r>
    </w:p>
    <w:p w14:paraId="6A82EEA9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你的文档给出的标准 Hopf 振荡器形式为：</w:t>
      </w:r>
    </w:p>
    <w:p w14:paraId="5C54874A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  <m:oMathPara>
        <m:oMath>
          <m:acc>
            <m:accPr>
              <m:chr m:val="̇"/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acc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x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</m:acc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=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α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μ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−</m:t>
          </m:r>
          <m:sSup>
            <m:sSup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x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24"/>
                </w:rPr>
                <m:t>2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−</m:t>
          </m:r>
          <m:sSup>
            <m:sSup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y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24"/>
                </w:rPr>
                <m:t>2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)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−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ωy</m:t>
          </m:r>
        </m:oMath>
      </m:oMathPara>
    </w:p>
    <w:p w14:paraId="19E71496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</w:p>
    <w:p w14:paraId="37C4565B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  <m:oMathPara>
        <m:oMath>
          <m:acc>
            <m:accPr>
              <m:chr m:val="̇"/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acc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y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</m:acc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=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α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μ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−</m:t>
          </m:r>
          <m:sSup>
            <m:sSup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x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24"/>
                </w:rPr>
                <m:t>2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−</m:t>
          </m:r>
          <m:sSup>
            <m:sSup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y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24"/>
                </w:rPr>
                <m:t>2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)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y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+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ωx</m:t>
          </m:r>
        </m:oMath>
      </m:oMathPara>
    </w:p>
    <w:p w14:paraId="15CD2474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</w:p>
    <w:p w14:paraId="53A94E36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令 r² = x² + y²，则 α(μ-r²) 是径向收敛项。当 r² &lt; μ 时，该项把状态向外推；当 r² &gt; μ 时，该项把状态向内拉。因此系统最终稳定在半径约为 √μ 的极限环上。-ωy 和 +ωx 是旋转项，决定状态沿极限环转动的角速度。</w:t>
      </w:r>
    </w:p>
    <w:p w14:paraId="36D89681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在当前工程中，公式被扩展为：</w:t>
      </w:r>
    </w:p>
    <w:p w14:paraId="6DCB5C5A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  <m:oMathPara>
        <m:oMath>
          <m:acc>
            <m:accPr>
              <m:chr m:val="̇"/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acc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x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</m:acc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=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α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μ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−(</m:t>
          </m:r>
          <m:sSup>
            <m:sSup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x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24"/>
                </w:rPr>
                <m:t>2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+</m:t>
          </m:r>
          <m:sSup>
            <m:sSup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y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24"/>
                </w:rPr>
                <m:t>2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))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−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ωy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+ϵ</m:t>
          </m:r>
          <m:sSub>
            <m:sSub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F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ext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b>
          </m:sSub>
        </m:oMath>
      </m:oMathPara>
    </w:p>
    <w:p w14:paraId="2EA311CE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</w:p>
    <w:p w14:paraId="07A31A90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  <m:oMathPara>
        <m:oMath>
          <m:acc>
            <m:accPr>
              <m:chr m:val="̇"/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acc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y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</m:acc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=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α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μ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−(</m:t>
          </m:r>
          <m:sSup>
            <m:sSup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x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24"/>
                </w:rPr>
                <m:t>2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+</m:t>
          </m:r>
          <m:sSup>
            <m:sSup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y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24"/>
                </w:rPr>
                <m:t>2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))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y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+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ωx</m:t>
          </m:r>
        </m:oMath>
      </m:oMathPara>
    </w:p>
    <w:p w14:paraId="59B8F50C">
      <w:pPr>
        <w:spacing w:before="60" w:after="120"/>
        <w:jc w:val="both"/>
        <w:rPr>
          <w:rFonts w:hint="default" w:ascii="Times New Roman Regular" w:hAnsi="Times New Roman Regular" w:eastAsia="仿宋_GB2312" w:cs="Times New Roman Regular"/>
          <w:color w:val="0B2545"/>
          <w:sz w:val="24"/>
        </w:rPr>
      </w:pPr>
    </w:p>
    <w:p w14:paraId="3F4422E7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 xml:space="preserve">其中 </w:t>
      </w:r>
      <m:oMath>
        <m:r>
          <m:rPr>
            <m:nor/>
            <m:sty m:val="p"/>
          </m:rPr>
          <w:rPr>
            <w:rFonts w:hint="default" w:ascii="DejaVu Math TeX Gyre" w:hAnsi="DejaVu Math TeX Gyre" w:eastAsia="仿宋_GB2312" w:cs="Times New Roman Regular"/>
            <w:b w:val="0"/>
            <w:i w:val="0"/>
            <w:sz w:val="24"/>
          </w:rPr>
          <m:t>ϵ</m:t>
        </m:r>
        <m:sSub>
          <m:sSubPr>
            <m:ctrlPr>
              <w:rPr>
                <w:rFonts w:hint="default" w:ascii="DejaVu Math TeX Gyre" w:hAnsi="DejaVu Math TeX Gyre" w:eastAsia="仿宋_GB2312" w:cs="Times New Roman Regular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DejaVu Math TeX Gyre" w:hAnsi="DejaVu Math TeX Gyre" w:eastAsia="仿宋_GB2312" w:cs="Times New Roman Regular"/>
                <w:i/>
                <w:sz w:val="24"/>
              </w:rPr>
              <m:t>F</m:t>
            </m:r>
            <m:ctrlPr>
              <w:rPr>
                <w:rFonts w:hint="default" w:ascii="DejaVu Math TeX Gyre" w:hAnsi="DejaVu Math TeX Gyre" w:eastAsia="仿宋_GB2312" w:cs="Times New Roman Regular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DejaVu Math TeX Gyre" w:hAnsi="DejaVu Math TeX Gyre" w:eastAsia="仿宋_GB2312" w:cs="Times New Roman Regular"/>
                <w:i/>
                <w:sz w:val="24"/>
              </w:rPr>
              <m:t>ext</m:t>
            </m:r>
            <m:ctrlPr>
              <w:rPr>
                <w:rFonts w:hint="default" w:ascii="DejaVu Math TeX Gyre" w:hAnsi="DejaVu Math TeX Gyre" w:eastAsia="仿宋_GB2312" w:cs="Times New Roman Regular"/>
                <w:sz w:val="24"/>
              </w:rPr>
            </m:ctrlPr>
          </m:sub>
        </m:sSub>
      </m:oMath>
      <w:r>
        <w:rPr>
          <w:rFonts w:hint="default" w:ascii="Times New Roman Regular" w:hAnsi="Times New Roman Regular" w:eastAsia="仿宋_GB2312" w:cs="Times New Roman Regular"/>
        </w:rPr>
        <w:t xml:space="preserve"> 是外力耦合项。它使用户施加在把手上的力能够轻微影响振荡器状态，相当于把人的交互意图注入 CPG 节律。因为耦合系数 ε 很小，系统仍保留 Hopf 极限环的稳定性特征。</w:t>
      </w:r>
    </w:p>
    <w:p w14:paraId="54AF9FD1">
      <w:pPr>
        <w:rPr>
          <w:rFonts w:hint="default" w:ascii="Times New Roman Regular" w:hAnsi="Times New Roman Regular" w:eastAsia="仿宋_GB2312" w:cs="Times New Roman Regular"/>
          <w:b/>
          <w:bCs/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eastAsia="仿宋_GB2312" w:cs="Times New Roman Regular"/>
          <w:b/>
          <w:bCs/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  <w:t>3. 参数对应关系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440"/>
        <w:gridCol w:w="1944"/>
        <w:gridCol w:w="4320"/>
      </w:tblGrid>
      <w:tr w14:paraId="4AB3AEEF">
        <w:trPr>
          <w:jc w:val="center"/>
        </w:trPr>
        <w:tc>
          <w:tcPr>
            <w:tcW w:w="1296" w:type="dxa"/>
            <w:shd w:val="clear" w:color="auto" w:fill="E8EEF5"/>
            <w:vAlign w:val="center"/>
          </w:tcPr>
          <w:p w14:paraId="1D811119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color w:val="0B2545"/>
                <w:sz w:val="19"/>
              </w:rPr>
              <w:t>参数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50B7DB07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color w:val="0B2545"/>
                <w:sz w:val="19"/>
              </w:rPr>
              <w:t>当前值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2C8BE768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color w:val="0B2545"/>
                <w:sz w:val="19"/>
              </w:rPr>
              <w:t>物理/控制意义</w:t>
            </w:r>
          </w:p>
        </w:tc>
        <w:tc>
          <w:tcPr>
            <w:tcW w:w="4320" w:type="dxa"/>
            <w:shd w:val="clear" w:color="auto" w:fill="E8EEF5"/>
            <w:vAlign w:val="center"/>
          </w:tcPr>
          <w:p w14:paraId="0A9172D4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color w:val="0B2545"/>
                <w:sz w:val="19"/>
              </w:rPr>
              <w:t>在助行车中的作用</w:t>
            </w:r>
          </w:p>
        </w:tc>
      </w:tr>
      <w:tr w14:paraId="1D18B01C">
        <w:trPr>
          <w:jc w:val="center"/>
        </w:trPr>
        <w:tc>
          <w:tcPr>
            <w:tcW w:w="1296" w:type="dxa"/>
            <w:vAlign w:val="center"/>
          </w:tcPr>
          <w:p w14:paraId="0B2C272A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alpha</w:t>
            </w:r>
          </w:p>
        </w:tc>
        <w:tc>
          <w:tcPr>
            <w:tcW w:w="1440" w:type="dxa"/>
            <w:vAlign w:val="center"/>
          </w:tcPr>
          <w:p w14:paraId="77C31CE1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10.0</w:t>
            </w:r>
          </w:p>
        </w:tc>
        <w:tc>
          <w:tcPr>
            <w:tcW w:w="1944" w:type="dxa"/>
            <w:vAlign w:val="center"/>
          </w:tcPr>
          <w:p w14:paraId="7E2713FB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收敛速度</w:t>
            </w:r>
          </w:p>
        </w:tc>
        <w:tc>
          <w:tcPr>
            <w:tcW w:w="4320" w:type="dxa"/>
            <w:vAlign w:val="center"/>
          </w:tcPr>
          <w:p w14:paraId="68FA1B59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越大，x/y 偏离极限环后恢复越快；过大可能使欧拉积分更敏感。</w:t>
            </w:r>
          </w:p>
        </w:tc>
      </w:tr>
      <w:tr w14:paraId="00D58A85">
        <w:trPr>
          <w:jc w:val="center"/>
        </w:trPr>
        <w:tc>
          <w:tcPr>
            <w:tcW w:w="1296" w:type="dxa"/>
            <w:vAlign w:val="center"/>
          </w:tcPr>
          <w:p w14:paraId="1C2B1C2F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mu</w:t>
            </w:r>
          </w:p>
        </w:tc>
        <w:tc>
          <w:tcPr>
            <w:tcW w:w="1440" w:type="dxa"/>
            <w:vAlign w:val="center"/>
          </w:tcPr>
          <w:p w14:paraId="45C98A07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1.0</w:t>
            </w:r>
          </w:p>
        </w:tc>
        <w:tc>
          <w:tcPr>
            <w:tcW w:w="1944" w:type="dxa"/>
            <w:vAlign w:val="center"/>
          </w:tcPr>
          <w:p w14:paraId="7BF714A8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极限环幅值平方</w:t>
            </w:r>
          </w:p>
        </w:tc>
        <w:tc>
          <w:tcPr>
            <w:tcW w:w="4320" w:type="dxa"/>
            <w:vAlign w:val="center"/>
          </w:tcPr>
          <w:p w14:paraId="49E6CC20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稳定振幅约为 sqrt(mu)=1，决定 CPG 状态 x/y 的幅值尺度。</w:t>
            </w:r>
          </w:p>
        </w:tc>
      </w:tr>
      <w:tr w14:paraId="61299EC0">
        <w:trPr>
          <w:jc w:val="center"/>
        </w:trPr>
        <w:tc>
          <w:tcPr>
            <w:tcW w:w="1296" w:type="dxa"/>
            <w:vAlign w:val="center"/>
          </w:tcPr>
          <w:p w14:paraId="035859DE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omega</w:t>
            </w:r>
          </w:p>
        </w:tc>
        <w:tc>
          <w:tcPr>
            <w:tcW w:w="1440" w:type="dxa"/>
            <w:vAlign w:val="center"/>
          </w:tcPr>
          <w:p w14:paraId="7D66E524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2*pi*0.9</w:t>
            </w:r>
          </w:p>
        </w:tc>
        <w:tc>
          <w:tcPr>
            <w:tcW w:w="1944" w:type="dxa"/>
            <w:vAlign w:val="center"/>
          </w:tcPr>
          <w:p w14:paraId="6C879569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固有角频率</w:t>
            </w:r>
          </w:p>
        </w:tc>
        <w:tc>
          <w:tcPr>
            <w:tcW w:w="4320" w:type="dxa"/>
            <w:vAlign w:val="center"/>
          </w:tcPr>
          <w:p w14:paraId="0BEFEF70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默认 0.9 Hz，对应慢走/跟随节律；后续可由动捕步频更新。</w:t>
            </w:r>
          </w:p>
        </w:tc>
      </w:tr>
      <w:tr w14:paraId="1F1CF3A5">
        <w:trPr>
          <w:jc w:val="center"/>
        </w:trPr>
        <w:tc>
          <w:tcPr>
            <w:tcW w:w="1296" w:type="dxa"/>
            <w:vAlign w:val="center"/>
          </w:tcPr>
          <w:p w14:paraId="27142152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epsilon</w:t>
            </w:r>
          </w:p>
        </w:tc>
        <w:tc>
          <w:tcPr>
            <w:tcW w:w="1440" w:type="dxa"/>
            <w:vAlign w:val="center"/>
          </w:tcPr>
          <w:p w14:paraId="0137676E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0.01</w:t>
            </w:r>
          </w:p>
        </w:tc>
        <w:tc>
          <w:tcPr>
            <w:tcW w:w="1944" w:type="dxa"/>
            <w:vAlign w:val="center"/>
          </w:tcPr>
          <w:p w14:paraId="1AEB5A33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外力耦合系数</w:t>
            </w:r>
          </w:p>
        </w:tc>
        <w:tc>
          <w:tcPr>
            <w:tcW w:w="4320" w:type="dxa"/>
            <w:vAlign w:val="center"/>
          </w:tcPr>
          <w:p w14:paraId="6BD63603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把 F_ext 注入 x 通道导数项；小值用于避免外力破坏极限环稳定性。</w:t>
            </w:r>
          </w:p>
        </w:tc>
      </w:tr>
      <w:tr w14:paraId="2722C97A">
        <w:trPr>
          <w:jc w:val="center"/>
        </w:trPr>
        <w:tc>
          <w:tcPr>
            <w:tcW w:w="1296" w:type="dxa"/>
            <w:vAlign w:val="center"/>
          </w:tcPr>
          <w:p w14:paraId="14D73720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x</w:t>
            </w:r>
          </w:p>
        </w:tc>
        <w:tc>
          <w:tcPr>
            <w:tcW w:w="1440" w:type="dxa"/>
            <w:vAlign w:val="center"/>
          </w:tcPr>
          <w:p w14:paraId="78A58292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0.1</w:t>
            </w:r>
          </w:p>
        </w:tc>
        <w:tc>
          <w:tcPr>
            <w:tcW w:w="1944" w:type="dxa"/>
            <w:vAlign w:val="center"/>
          </w:tcPr>
          <w:p w14:paraId="29240266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主振荡状态</w:t>
            </w:r>
          </w:p>
        </w:tc>
        <w:tc>
          <w:tcPr>
            <w:tcW w:w="4320" w:type="dxa"/>
            <w:vAlign w:val="center"/>
          </w:tcPr>
          <w:p w14:paraId="6BD5797D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当前工程用 x 调制阻尼 D_current。</w:t>
            </w:r>
          </w:p>
        </w:tc>
      </w:tr>
      <w:tr w14:paraId="1BCCB882">
        <w:trPr>
          <w:jc w:val="center"/>
        </w:trPr>
        <w:tc>
          <w:tcPr>
            <w:tcW w:w="1296" w:type="dxa"/>
            <w:vAlign w:val="center"/>
          </w:tcPr>
          <w:p w14:paraId="07D5E22F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y</w:t>
            </w:r>
          </w:p>
        </w:tc>
        <w:tc>
          <w:tcPr>
            <w:tcW w:w="1440" w:type="dxa"/>
            <w:vAlign w:val="center"/>
          </w:tcPr>
          <w:p w14:paraId="79F88035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0.0</w:t>
            </w:r>
          </w:p>
        </w:tc>
        <w:tc>
          <w:tcPr>
            <w:tcW w:w="1944" w:type="dxa"/>
            <w:vAlign w:val="center"/>
          </w:tcPr>
          <w:p w14:paraId="6F1EBABF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辅助状态</w:t>
            </w:r>
          </w:p>
        </w:tc>
        <w:tc>
          <w:tcPr>
            <w:tcW w:w="4320" w:type="dxa"/>
            <w:vAlign w:val="center"/>
          </w:tcPr>
          <w:p w14:paraId="4CBCCEF2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与 x 共同形成二维旋转系统，使输出成为周期信号。</w:t>
            </w:r>
          </w:p>
        </w:tc>
      </w:tr>
      <w:tr w14:paraId="18894CFE">
        <w:trPr>
          <w:jc w:val="center"/>
        </w:trPr>
        <w:tc>
          <w:tcPr>
            <w:tcW w:w="1296" w:type="dxa"/>
            <w:vAlign w:val="center"/>
          </w:tcPr>
          <w:p w14:paraId="263ED785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M</w:t>
            </w:r>
          </w:p>
        </w:tc>
        <w:tc>
          <w:tcPr>
            <w:tcW w:w="1440" w:type="dxa"/>
            <w:vAlign w:val="center"/>
          </w:tcPr>
          <w:p w14:paraId="6408D763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15.0</w:t>
            </w:r>
          </w:p>
        </w:tc>
        <w:tc>
          <w:tcPr>
            <w:tcW w:w="1944" w:type="dxa"/>
            <w:vAlign w:val="center"/>
          </w:tcPr>
          <w:p w14:paraId="0362143F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虚拟质量</w:t>
            </w:r>
          </w:p>
        </w:tc>
        <w:tc>
          <w:tcPr>
            <w:tcW w:w="4320" w:type="dxa"/>
            <w:vAlign w:val="center"/>
          </w:tcPr>
          <w:p w14:paraId="4BECDF87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导纳模型惯性项；越大速度变化越慢。</w:t>
            </w:r>
          </w:p>
        </w:tc>
      </w:tr>
      <w:tr w14:paraId="4CDDF47F">
        <w:trPr>
          <w:jc w:val="center"/>
        </w:trPr>
        <w:tc>
          <w:tcPr>
            <w:tcW w:w="1296" w:type="dxa"/>
            <w:vAlign w:val="center"/>
          </w:tcPr>
          <w:p w14:paraId="7760FF5E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D_base</w:t>
            </w:r>
          </w:p>
        </w:tc>
        <w:tc>
          <w:tcPr>
            <w:tcW w:w="1440" w:type="dxa"/>
            <w:vAlign w:val="center"/>
          </w:tcPr>
          <w:p w14:paraId="39B79D8D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40.0</w:t>
            </w:r>
          </w:p>
        </w:tc>
        <w:tc>
          <w:tcPr>
            <w:tcW w:w="1944" w:type="dxa"/>
            <w:vAlign w:val="center"/>
          </w:tcPr>
          <w:p w14:paraId="705CB0AB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基础阻尼</w:t>
            </w:r>
          </w:p>
        </w:tc>
        <w:tc>
          <w:tcPr>
            <w:tcW w:w="4320" w:type="dxa"/>
            <w:vAlign w:val="center"/>
          </w:tcPr>
          <w:p w14:paraId="628C4D04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没有 CPG 调制时的基准阻尼。</w:t>
            </w:r>
          </w:p>
        </w:tc>
      </w:tr>
      <w:tr w14:paraId="6BA8C57D">
        <w:trPr>
          <w:jc w:val="center"/>
        </w:trPr>
        <w:tc>
          <w:tcPr>
            <w:tcW w:w="1296" w:type="dxa"/>
            <w:vAlign w:val="center"/>
          </w:tcPr>
          <w:p w14:paraId="371B7C6F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lambda</w:t>
            </w:r>
          </w:p>
        </w:tc>
        <w:tc>
          <w:tcPr>
            <w:tcW w:w="1440" w:type="dxa"/>
            <w:vAlign w:val="center"/>
          </w:tcPr>
          <w:p w14:paraId="4845E5ED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20.0</w:t>
            </w:r>
          </w:p>
        </w:tc>
        <w:tc>
          <w:tcPr>
            <w:tcW w:w="1944" w:type="dxa"/>
            <w:vAlign w:val="center"/>
          </w:tcPr>
          <w:p w14:paraId="1B61AF8F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阻尼调制增益</w:t>
            </w:r>
          </w:p>
        </w:tc>
        <w:tc>
          <w:tcPr>
            <w:tcW w:w="4320" w:type="dxa"/>
            <w:vAlign w:val="center"/>
          </w:tcPr>
          <w:p w14:paraId="181C67C6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x 对阻尼的影响强度：D_current = D_base - lambda*x。</w:t>
            </w:r>
          </w:p>
        </w:tc>
      </w:tr>
      <w:tr w14:paraId="49BD740A">
        <w:trPr>
          <w:jc w:val="center"/>
        </w:trPr>
        <w:tc>
          <w:tcPr>
            <w:tcW w:w="1296" w:type="dxa"/>
            <w:vAlign w:val="center"/>
          </w:tcPr>
          <w:p w14:paraId="4B829746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v_c</w:t>
            </w:r>
          </w:p>
        </w:tc>
        <w:tc>
          <w:tcPr>
            <w:tcW w:w="1440" w:type="dxa"/>
            <w:vAlign w:val="center"/>
          </w:tcPr>
          <w:p w14:paraId="6D6ECBFD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0.0</w:t>
            </w:r>
          </w:p>
        </w:tc>
        <w:tc>
          <w:tcPr>
            <w:tcW w:w="1944" w:type="dxa"/>
            <w:vAlign w:val="center"/>
          </w:tcPr>
          <w:p w14:paraId="1A5DDDCA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导纳输出速度</w:t>
            </w:r>
          </w:p>
        </w:tc>
        <w:tc>
          <w:tcPr>
            <w:tcW w:w="4320" w:type="dxa"/>
            <w:vAlign w:val="center"/>
          </w:tcPr>
          <w:p w14:paraId="48E340C6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导纳积分后的车体目标线速度，单位 m/s。</w:t>
            </w:r>
          </w:p>
        </w:tc>
      </w:tr>
    </w:tbl>
    <w:p w14:paraId="4E8CEE8C">
      <w:pPr>
        <w:rPr>
          <w:rFonts w:hint="default" w:ascii="Times New Roman Regular" w:hAnsi="Times New Roman Regular" w:eastAsia="仿宋_GB2312" w:cs="Times New Roman Regular"/>
        </w:rPr>
      </w:pPr>
    </w:p>
    <w:p w14:paraId="1647E3A2">
      <w:pPr>
        <w:pStyle w:val="3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4. 公式如何变成助行车控制律</w:t>
      </w:r>
    </w:p>
    <w:p w14:paraId="332BD3F0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当前工程不是把 Hopf 振荡器输出直接当作电机速度，而是让它调制导纳控制的阻尼。控制链条如下：</w:t>
      </w:r>
    </w:p>
    <w:p w14:paraId="5A6D6E31">
      <w:pPr>
        <w:pStyle w:val="14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力传感器得到用户作用力 F_ext。当前代码使用 force-&gt;fx 作为 F_ext。</w:t>
      </w:r>
    </w:p>
    <w:p w14:paraId="52D98D51">
      <w:pPr>
        <w:pStyle w:val="14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CPG_Step() 根据 Hopf 方程更新 x/y。</w:t>
      </w:r>
    </w:p>
    <w:p w14:paraId="60F016FC">
      <w:pPr>
        <w:pStyle w:val="14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用 x 计算动态阻尼 D_current = D_base - lambda*x，并限制在 15 到 80 之间。</w:t>
      </w:r>
    </w:p>
    <w:p w14:paraId="24C51CDE">
      <w:pPr>
        <w:pStyle w:val="14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用导纳模型 a_c = (F_ext - D_current*v_c)/M 计算加速度。</w:t>
      </w:r>
    </w:p>
    <w:p w14:paraId="1DFA3475">
      <w:pPr>
        <w:pStyle w:val="14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积分得到 v_c，并限制在 -0.5 到 1.2 m/s。</w:t>
      </w:r>
    </w:p>
    <w:p w14:paraId="56998835">
      <w:pPr>
        <w:pStyle w:val="14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Controller_Run() 将 v_c 换算成 rpm，MotorTxTask 再通过 CAN 下发左右轮速度。</w:t>
      </w:r>
    </w:p>
    <w:p w14:paraId="0CF0C47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仿宋_GB2312" w:cs="Times New Roman Regular"/>
        </w:rPr>
      </w:pPr>
    </w:p>
    <w:p w14:paraId="78D81FCE">
      <w:pPr>
        <w:jc w:val="center"/>
        <w:rPr>
          <w:rFonts w:hint="default" w:ascii="Times New Roman Regular" w:hAnsi="Times New Roman Regular" w:eastAsia="仿宋_GB2312" w:cs="Times New Roman Regular"/>
        </w:rPr>
      </w:pPr>
    </w:p>
    <w:p w14:paraId="222CDC86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仿宋_GB2312" w:cs="Times New Roman Regular"/>
        </w:rPr>
      </w:pPr>
    </w:p>
    <w:p w14:paraId="71C2D745">
      <w:pPr>
        <w:pStyle w:val="3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drawing>
          <wp:inline distT="0" distB="0" distL="114300" distR="114300">
            <wp:extent cx="5943600" cy="42100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A034">
      <w:pPr>
        <w:pStyle w:val="3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5. 代码中如何体现 Hopf 振荡器</w:t>
      </w:r>
    </w:p>
    <w:p w14:paraId="64522EB3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核心实现在 MDK-ARM/cpg_control.c。以下片段是 Hopf 振荡器本体：</w:t>
      </w:r>
    </w:p>
    <w:p w14:paraId="21DD0F30">
      <w:pPr>
        <w:spacing w:after="0"/>
        <w:ind w:left="360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  <w:color w:val="202020"/>
          <w:sz w:val="18"/>
        </w:rPr>
        <w:t>r2 = hcpg-&gt;x * hcpg-&gt;x + hcpg-&gt;y * hcpg-&gt;y;</w:t>
      </w:r>
    </w:p>
    <w:p w14:paraId="1E042704">
      <w:pPr>
        <w:spacing w:after="0"/>
        <w:ind w:left="360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  <w:color w:val="202020"/>
          <w:sz w:val="18"/>
        </w:rPr>
        <w:t>dx = hcpg-&gt;alpha * (hcpg-&gt;mu - r2) * hcpg-&gt;x</w:t>
      </w:r>
    </w:p>
    <w:p w14:paraId="7FB47896">
      <w:pPr>
        <w:spacing w:after="0"/>
        <w:ind w:left="360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  <w:color w:val="202020"/>
          <w:sz w:val="18"/>
        </w:rPr>
        <w:t xml:space="preserve">   - hcpg-&gt;omega * hcpg-&gt;y</w:t>
      </w:r>
    </w:p>
    <w:p w14:paraId="66FAE0C8">
      <w:pPr>
        <w:spacing w:after="0"/>
        <w:ind w:left="360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  <w:color w:val="202020"/>
          <w:sz w:val="18"/>
        </w:rPr>
        <w:t xml:space="preserve">   + hcpg-&gt;epsilon * F_ext;</w:t>
      </w:r>
    </w:p>
    <w:p w14:paraId="3A28168E">
      <w:pPr>
        <w:spacing w:after="0"/>
        <w:ind w:left="360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  <w:color w:val="202020"/>
          <w:sz w:val="18"/>
        </w:rPr>
        <w:t>dy = hcpg-&gt;alpha * (hcpg-&gt;mu - r2) * hcpg-&gt;y</w:t>
      </w:r>
    </w:p>
    <w:p w14:paraId="4C2DF8C1">
      <w:pPr>
        <w:spacing w:after="0"/>
        <w:ind w:left="360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  <w:color w:val="202020"/>
          <w:sz w:val="18"/>
        </w:rPr>
        <w:t xml:space="preserve">   + hcpg-&gt;omega * hcpg-&gt;x;</w:t>
      </w:r>
    </w:p>
    <w:p w14:paraId="28A85631">
      <w:pPr>
        <w:spacing w:after="0"/>
        <w:ind w:left="360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  <w:color w:val="202020"/>
          <w:sz w:val="18"/>
        </w:rPr>
        <w:t>hcpg-&gt;x += dx * dt;</w:t>
      </w:r>
    </w:p>
    <w:p w14:paraId="18080C8E">
      <w:pPr>
        <w:spacing w:after="0"/>
        <w:ind w:left="360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  <w:color w:val="202020"/>
          <w:sz w:val="18"/>
        </w:rPr>
        <w:t>hcpg-&gt;y += dy * dt;</w:t>
      </w:r>
    </w:p>
    <w:p w14:paraId="3998CB17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其中 r² 对应 x²+y²；α(μ-r²) 对应极限环收敛；ω 对应节律频率；</w:t>
      </w:r>
      <m:oMath>
        <m:r>
          <m:rPr>
            <m:nor/>
            <m:sty m:val="p"/>
          </m:rPr>
          <w:rPr>
            <w:rFonts w:hint="default" w:ascii="DejaVu Math TeX Gyre" w:hAnsi="DejaVu Math TeX Gyre" w:eastAsia="仿宋_GB2312" w:cs="Times New Roman Regular"/>
            <w:b w:val="0"/>
            <w:i w:val="0"/>
            <w:sz w:val="24"/>
          </w:rPr>
          <m:t>ϵ</m:t>
        </m:r>
        <m:sSub>
          <m:sSubPr>
            <m:ctrlPr>
              <w:rPr>
                <w:rFonts w:hint="default" w:ascii="DejaVu Math TeX Gyre" w:hAnsi="DejaVu Math TeX Gyre" w:eastAsia="仿宋_GB2312" w:cs="Times New Roman Regular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DejaVu Math TeX Gyre" w:hAnsi="DejaVu Math TeX Gyre" w:eastAsia="仿宋_GB2312" w:cs="Times New Roman Regular"/>
                <w:i/>
                <w:sz w:val="24"/>
              </w:rPr>
              <m:t>F</m:t>
            </m:r>
            <m:ctrlPr>
              <w:rPr>
                <w:rFonts w:hint="default" w:ascii="DejaVu Math TeX Gyre" w:hAnsi="DejaVu Math TeX Gyre" w:eastAsia="仿宋_GB2312" w:cs="Times New Roman Regular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DejaVu Math TeX Gyre" w:hAnsi="DejaVu Math TeX Gyre" w:eastAsia="仿宋_GB2312" w:cs="Times New Roman Regular"/>
                <w:i/>
                <w:sz w:val="24"/>
              </w:rPr>
              <m:t>ext</m:t>
            </m:r>
            <m:ctrlPr>
              <w:rPr>
                <w:rFonts w:hint="default" w:ascii="DejaVu Math TeX Gyre" w:hAnsi="DejaVu Math TeX Gyre" w:eastAsia="仿宋_GB2312" w:cs="Times New Roman Regular"/>
                <w:sz w:val="24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 w:eastAsia="仿宋_GB2312" w:cs="Times New Roman Regular"/>
            <w:sz w:val="21"/>
            <w:szCs w:val="22"/>
            <w:lang w:val="en-US" w:bidi="ar-SA"/>
          </w:rPr>
          <m:t xml:space="preserve"> </m:t>
        </m:r>
      </m:oMath>
      <w:r>
        <w:rPr>
          <w:rFonts w:hint="default" w:ascii="Times New Roman Regular" w:hAnsi="Times New Roman Regular" w:eastAsia="仿宋_GB2312" w:cs="Times New Roman Regular"/>
        </w:rPr>
        <w:t>对应外部力反馈。</w:t>
      </w:r>
    </w:p>
    <w:p w14:paraId="4F59A683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动态阻尼和导纳模型对应的公式为：</w:t>
      </w:r>
    </w:p>
    <w:p w14:paraId="313C8425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D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current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=</m:t>
          </m:r>
          <m:sSub>
            <m:sSub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D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base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−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λx</m:t>
          </m:r>
        </m:oMath>
      </m:oMathPara>
    </w:p>
    <w:p w14:paraId="586E15D7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</w:p>
    <w:p w14:paraId="1978EF31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sz w:val="24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a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c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=</m:t>
          </m:r>
          <m:f>
            <m:f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DejaVu Math TeX Gyre" w:hAnsi="DejaVu Math TeX Gyre" w:eastAsia="仿宋_GB2312" w:cs="Times New Roman Regular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DejaVu Math TeX Gyre" w:hAnsi="DejaVu Math TeX Gyre" w:eastAsia="仿宋_GB2312" w:cs="Times New Roman Regular"/>
                      <w:i/>
                      <w:sz w:val="24"/>
                    </w:rPr>
                    <m:t>F</m:t>
                  </m:r>
                  <m:ctrlPr>
                    <w:rPr>
                      <w:rFonts w:hint="default" w:ascii="DejaVu Math TeX Gyre" w:hAnsi="DejaVu Math TeX Gyre" w:eastAsia="仿宋_GB2312" w:cs="Times New Roman Regular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DejaVu Math TeX Gyre" w:hAnsi="DejaVu Math TeX Gyre" w:eastAsia="仿宋_GB2312" w:cs="Times New Roman Regular"/>
                      <w:i/>
                      <w:sz w:val="24"/>
                    </w:rPr>
                    <m:t>ext</m:t>
                  </m:r>
                  <m:ctrlPr>
                    <w:rPr>
                      <w:rFonts w:hint="default" w:ascii="DejaVu Math TeX Gyre" w:hAnsi="DejaVu Math TeX Gyre" w:eastAsia="仿宋_GB2312" w:cs="Times New Roman Regular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 w:eastAsia="仿宋_GB2312" w:cs="Times New Roman Regular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DejaVu Math TeX Gyre" w:hAnsi="DejaVu Math TeX Gyre" w:eastAsia="仿宋_GB2312" w:cs="Times New Roman Regular"/>
                      <w:i/>
                      <w:sz w:val="24"/>
                    </w:rPr>
                    <m:t>D</m:t>
                  </m:r>
                  <m:ctrlPr>
                    <w:rPr>
                      <w:rFonts w:hint="default" w:ascii="DejaVu Math TeX Gyre" w:hAnsi="DejaVu Math TeX Gyre" w:eastAsia="仿宋_GB2312" w:cs="Times New Roman Regular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DejaVu Math TeX Gyre" w:hAnsi="DejaVu Math TeX Gyre" w:eastAsia="仿宋_GB2312" w:cs="Times New Roman Regular"/>
                      <w:i/>
                      <w:sz w:val="24"/>
                    </w:rPr>
                    <m:t>current</m:t>
                  </m:r>
                  <m:ctrlPr>
                    <w:rPr>
                      <w:rFonts w:hint="default" w:ascii="DejaVu Math TeX Gyre" w:hAnsi="DejaVu Math TeX Gyre" w:eastAsia="仿宋_GB2312" w:cs="Times New Roman Regular"/>
                      <w:sz w:val="24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eastAsia="仿宋_GB2312" w:cs="Times New Roman Regular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DejaVu Math TeX Gyre" w:hAnsi="DejaVu Math TeX Gyre" w:eastAsia="仿宋_GB2312" w:cs="Times New Roman Regular"/>
                      <w:i/>
                      <w:sz w:val="24"/>
                    </w:rPr>
                    <m:t>v</m:t>
                  </m:r>
                  <m:ctrlPr>
                    <w:rPr>
                      <w:rFonts w:hint="default" w:ascii="DejaVu Math TeX Gyre" w:hAnsi="DejaVu Math TeX Gyre" w:eastAsia="仿宋_GB2312" w:cs="Times New Roman Regular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DejaVu Math TeX Gyre" w:hAnsi="DejaVu Math TeX Gyre" w:eastAsia="仿宋_GB2312" w:cs="Times New Roman Regular"/>
                      <w:i/>
                      <w:sz w:val="24"/>
                    </w:rPr>
                    <m:t>c</m:t>
                  </m:r>
                  <m:ctrlPr>
                    <w:rPr>
                      <w:rFonts w:hint="default" w:ascii="DejaVu Math TeX Gyre" w:hAnsi="DejaVu Math TeX Gyre" w:eastAsia="仿宋_GB2312" w:cs="Times New Roman Regular"/>
                      <w:sz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num>
            <m:den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M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den>
          </m:f>
        </m:oMath>
      </m:oMathPara>
    </w:p>
    <w:p w14:paraId="6575E4A2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sz w:val="24"/>
          <w:lang w:val="en-US"/>
        </w:rPr>
      </w:pPr>
    </w:p>
    <w:p w14:paraId="51E490D4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v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c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k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+1)=</m:t>
          </m:r>
          <m:sSub>
            <m:sSub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v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c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b>
          </m:sSub>
          <w:bookmarkStart w:id="0" w:name="_GoBack"/>
          <w:bookmarkEnd w:id="0"/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k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)+</m:t>
          </m:r>
          <m:sSub>
            <m:sSubP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a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24"/>
                </w:rPr>
                <m:t>c</m:t>
              </m:r>
              <m:ctrlPr>
                <w:rPr>
                  <w:rFonts w:hint="default" w:ascii="DejaVu Math TeX Gyre" w:hAnsi="DejaVu Math TeX Gyre" w:eastAsia="仿宋_GB2312" w:cs="Times New Roman Regular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Δ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t</m:t>
          </m:r>
        </m:oMath>
      </m:oMathPara>
    </w:p>
    <w:p w14:paraId="677D010C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</w:p>
    <w:p w14:paraId="78EDDD81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</w:p>
    <w:p w14:paraId="2A885925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代码实现为：</w:t>
      </w:r>
    </w:p>
    <w:p w14:paraId="29EE1B44">
      <w:pPr>
        <w:spacing w:after="0"/>
        <w:ind w:left="360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  <w:color w:val="202020"/>
          <w:sz w:val="18"/>
        </w:rPr>
        <w:t>D_current = hcpg-&gt;D_base - hcpg-&gt;lambda * hcpg-&gt;x;</w:t>
      </w:r>
    </w:p>
    <w:p w14:paraId="40C23C5C">
      <w:pPr>
        <w:spacing w:after="0"/>
        <w:ind w:left="360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  <w:color w:val="202020"/>
          <w:sz w:val="18"/>
        </w:rPr>
        <w:t>D_current = CPG_ClampFinite(D_current, CPG_D_MIN, CPG_D_MAX, hcpg-&gt;D_base);</w:t>
      </w:r>
    </w:p>
    <w:p w14:paraId="4DD8F348">
      <w:pPr>
        <w:spacing w:after="0"/>
        <w:ind w:left="360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  <w:color w:val="202020"/>
          <w:sz w:val="18"/>
        </w:rPr>
        <w:t>a_c = (F_ext - D_current * hcpg-&gt;v_c) / hcpg-&gt;M;</w:t>
      </w:r>
    </w:p>
    <w:p w14:paraId="150F1020">
      <w:pPr>
        <w:spacing w:after="0"/>
        <w:ind w:left="360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  <w:color w:val="202020"/>
          <w:sz w:val="18"/>
        </w:rPr>
        <w:t>hcpg-&gt;v_c += a_c * dt;</w:t>
      </w:r>
    </w:p>
    <w:p w14:paraId="5AACBEAC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这部分不是 Hopf 振荡器本身，而是“Hopf 状态调制导纳参数”的工程应用。</w:t>
      </w:r>
    </w:p>
    <w:p w14:paraId="22B67C3E">
      <w:pPr>
        <w:pStyle w:val="3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6. 动捕步频更新 omega</w:t>
      </w:r>
    </w:p>
    <w:p w14:paraId="2A763B5F">
      <w:pPr>
        <w:rPr>
          <w:rFonts w:hint="default" w:ascii="Times New Roman Regular" w:hAnsi="Times New Roman Regular" w:eastAsia="仿宋_GB2312" w:cs="Times New Roman Regular"/>
          <w:i w:val="0"/>
          <w:sz w:val="21"/>
          <w:szCs w:val="22"/>
          <w:lang w:val="en-US" w:bidi="ar-SA"/>
        </w:rPr>
      </w:pPr>
      <w:r>
        <w:rPr>
          <w:rFonts w:hint="default" w:ascii="Times New Roman Regular" w:hAnsi="Times New Roman Regular" w:eastAsia="仿宋_GB2312" w:cs="Times New Roman Regular"/>
        </w:rPr>
        <w:t xml:space="preserve">Hopf 振荡器中的 </w:t>
      </w:r>
      <m:oMath>
        <m:r>
          <m:rPr>
            <m:nor/>
          </m:rPr>
          <w:rPr>
            <w:rFonts w:hint="default" w:ascii="DejaVu Math TeX Gyre" w:hAnsi="DejaVu Math TeX Gyre" w:eastAsia="仿宋_GB2312" w:cs="Times New Roman Regular"/>
            <w:i/>
            <w:sz w:val="21"/>
          </w:rPr>
          <m:t>omega</m:t>
        </m:r>
      </m:oMath>
      <w:r>
        <w:rPr>
          <w:rFonts w:hint="default" w:ascii="Times New Roman Regular" w:hAnsi="Times New Roman Regular" w:eastAsia="仿宋_GB2312" w:cs="Times New Roman Regular"/>
        </w:rPr>
        <w:t xml:space="preserve"> 是角频率，单位 rad/s。步频 freq_hz 的单位是 Hz，即 </w:t>
      </w:r>
      <m:oMath>
        <m:r>
          <m:rPr>
            <m:nor/>
          </m:rPr>
          <w:rPr>
            <w:rFonts w:hint="default" w:ascii="DejaVu Math TeX Gyre" w:hAnsi="DejaVu Math TeX Gyre" w:eastAsia="仿宋_GB2312" w:cs="Times New Roman Regular"/>
            <w:i/>
            <w:sz w:val="21"/>
          </w:rPr>
          <m:t>cycles</m:t>
        </m:r>
        <m:r>
          <m:rPr>
            <m:nor/>
            <m:sty m:val="p"/>
          </m:rPr>
          <w:rPr>
            <w:rFonts w:hint="default" w:ascii="DejaVu Math TeX Gyre" w:hAnsi="DejaVu Math TeX Gyre" w:eastAsia="仿宋_GB2312" w:cs="Times New Roman Regular"/>
            <w:i w:val="0"/>
            <w:sz w:val="21"/>
          </w:rPr>
          <m:t>/</m:t>
        </m:r>
        <m:r>
          <m:rPr>
            <m:nor/>
          </m:rPr>
          <w:rPr>
            <w:rFonts w:hint="default" w:ascii="DejaVu Math TeX Gyre" w:hAnsi="DejaVu Math TeX Gyre" w:eastAsia="仿宋_GB2312" w:cs="Times New Roman Regular"/>
            <w:i/>
            <w:sz w:val="21"/>
          </w:rPr>
          <m:t>s</m:t>
        </m:r>
      </m:oMath>
    </w:p>
    <w:p w14:paraId="15E96594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。两者关系为：</w:t>
      </w:r>
    </w:p>
    <w:p w14:paraId="614FA023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  <m:oMathPara>
        <m:oMath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ω</m:t>
          </m:r>
          <m:r>
            <m:rPr>
              <m:nor/>
              <m:sty m:val="p"/>
            </m:rPr>
            <w:rPr>
              <w:rFonts w:hint="default" w:ascii="DejaVu Math TeX Gyre" w:hAnsi="DejaVu Math TeX Gyre" w:eastAsia="仿宋_GB2312" w:cs="Times New Roman Regular"/>
              <w:i w:val="0"/>
              <w:sz w:val="24"/>
            </w:rPr>
            <m:t>=2</m:t>
          </m:r>
          <m:r>
            <m:rPr>
              <m:nor/>
            </m:rPr>
            <w:rPr>
              <w:rFonts w:hint="default" w:ascii="DejaVu Math TeX Gyre" w:hAnsi="DejaVu Math TeX Gyre" w:eastAsia="仿宋_GB2312" w:cs="Times New Roman Regular"/>
              <w:i/>
              <w:sz w:val="24"/>
            </w:rPr>
            <m:t>πf</m:t>
          </m:r>
        </m:oMath>
      </m:oMathPara>
    </w:p>
    <w:p w14:paraId="2ABEAEDF">
      <w:pPr>
        <w:spacing w:before="60" w:after="120"/>
        <w:jc w:val="center"/>
        <w:rPr>
          <w:rFonts w:hint="default" w:ascii="Times New Roman Regular" w:hAnsi="Times New Roman Regular" w:eastAsia="仿宋_GB2312" w:cs="Times New Roman Regular"/>
          <w:i w:val="0"/>
          <w:color w:val="0B2545"/>
          <w:sz w:val="24"/>
          <w:szCs w:val="22"/>
          <w:lang w:val="en-US" w:bidi="ar-SA"/>
        </w:rPr>
      </w:pPr>
    </w:p>
    <w:p w14:paraId="6250EA39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因此 CPG_Update_Frequency() 在接收到 0.3 到 2.0 Hz 的合理人体步频后更新 omega。这样，振荡器节律会跟随人的实时步频，而导纳阻尼也会随人的步态节律变化。</w:t>
      </w:r>
    </w:p>
    <w:p w14:paraId="710F0930">
      <w:pPr>
        <w:pStyle w:val="3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7. 与标准 Hopf 的符合性判断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440"/>
        <w:gridCol w:w="4752"/>
      </w:tblGrid>
      <w:tr w14:paraId="441417E5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14:paraId="56EE6766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color w:val="0B2545"/>
                <w:sz w:val="19"/>
              </w:rPr>
              <w:t>检查项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2C3686A5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color w:val="0B2545"/>
                <w:sz w:val="19"/>
              </w:rPr>
              <w:t>结论</w:t>
            </w:r>
          </w:p>
        </w:tc>
        <w:tc>
          <w:tcPr>
            <w:tcW w:w="4752" w:type="dxa"/>
            <w:shd w:val="clear" w:color="auto" w:fill="E8EEF5"/>
            <w:vAlign w:val="center"/>
          </w:tcPr>
          <w:p w14:paraId="7C25CF9B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color w:val="0B2545"/>
                <w:sz w:val="19"/>
              </w:rPr>
              <w:t>说明</w:t>
            </w:r>
          </w:p>
        </w:tc>
      </w:tr>
      <w:tr w14:paraId="50D1F220">
        <w:trPr>
          <w:jc w:val="center"/>
        </w:trPr>
        <w:tc>
          <w:tcPr>
            <w:tcW w:w="2880" w:type="dxa"/>
            <w:vAlign w:val="center"/>
          </w:tcPr>
          <w:p w14:paraId="0B9A32A3">
            <w:pPr>
              <w:spacing w:after="0"/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sz w:val="19"/>
                <w:szCs w:val="22"/>
                <w:lang w:val="en-US" w:bidi="ar-SA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 xml:space="preserve">极限环项 </w:t>
            </w:r>
            <m:oMath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19"/>
                </w:rPr>
                <m:t>alp</m:t>
              </m:r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19"/>
                </w:rPr>
                <m:t>h</m:t>
              </m:r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19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19"/>
                </w:rPr>
                <m:t>∗(</m:t>
              </m:r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19"/>
                </w:rPr>
                <m:t>mu</m:t>
              </m:r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19"/>
                </w:rPr>
                <m:t>−</m:t>
              </m:r>
              <m:sSup>
                <m:sSupPr>
                  <m:ctrlPr>
                    <w:rPr>
                      <w:rFonts w:hint="default" w:ascii="DejaVu Math TeX Gyre" w:hAnsi="DejaVu Math TeX Gyre" w:eastAsia="仿宋_GB2312" w:cs="Times New Roman Regular"/>
                      <w:sz w:val="19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DejaVu Math TeX Gyre" w:hAnsi="DejaVu Math TeX Gyre" w:eastAsia="仿宋_GB2312" w:cs="Times New Roman Regular"/>
                      <w:i/>
                      <w:sz w:val="19"/>
                    </w:rPr>
                    <m:t>r</m:t>
                  </m:r>
                  <m:ctrlPr>
                    <w:rPr>
                      <w:rFonts w:hint="default" w:ascii="DejaVu Math TeX Gyre" w:hAnsi="DejaVu Math TeX Gyre" w:eastAsia="仿宋_GB2312" w:cs="Times New Roman Regular"/>
                      <w:sz w:val="19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DejaVu Math TeX Gyre" w:hAnsi="DejaVu Math TeX Gyre" w:eastAsia="仿宋_GB2312" w:cs="Times New Roman Regular"/>
                      <w:i w:val="0"/>
                      <w:sz w:val="19"/>
                    </w:rPr>
                    <m:t>2</m:t>
                  </m:r>
                  <m:ctrlPr>
                    <w:rPr>
                      <w:rFonts w:hint="default" w:ascii="DejaVu Math TeX Gyre" w:hAnsi="DejaVu Math TeX Gyre" w:eastAsia="仿宋_GB2312" w:cs="Times New Roman Regular"/>
                      <w:sz w:val="19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19"/>
                </w:rPr>
                <m:t>)</m:t>
              </m:r>
            </m:oMath>
          </w:p>
        </w:tc>
        <w:tc>
          <w:tcPr>
            <w:tcW w:w="1440" w:type="dxa"/>
            <w:vAlign w:val="center"/>
          </w:tcPr>
          <w:p w14:paraId="3E686918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符合</w:t>
            </w:r>
          </w:p>
        </w:tc>
        <w:tc>
          <w:tcPr>
            <w:tcW w:w="4752" w:type="dxa"/>
            <w:vAlign w:val="center"/>
          </w:tcPr>
          <w:p w14:paraId="7F818FFD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代码中完整保留。</w:t>
            </w:r>
          </w:p>
        </w:tc>
      </w:tr>
      <w:tr w14:paraId="5CC8EE03">
        <w:trPr>
          <w:jc w:val="center"/>
        </w:trPr>
        <w:tc>
          <w:tcPr>
            <w:tcW w:w="2880" w:type="dxa"/>
            <w:vAlign w:val="center"/>
          </w:tcPr>
          <w:p w14:paraId="61719E73">
            <w:pPr>
              <w:spacing w:after="0"/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sz w:val="19"/>
                <w:szCs w:val="22"/>
                <w:lang w:val="en-US" w:bidi="ar-SA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 xml:space="preserve">二维状态 </w:t>
            </w:r>
            <m:oMath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19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19"/>
                </w:rPr>
                <m:t>/</m:t>
              </m:r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19"/>
                </w:rPr>
                <m:t>y</m:t>
              </m:r>
            </m:oMath>
          </w:p>
        </w:tc>
        <w:tc>
          <w:tcPr>
            <w:tcW w:w="1440" w:type="dxa"/>
            <w:vAlign w:val="center"/>
          </w:tcPr>
          <w:p w14:paraId="64293CB2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符合</w:t>
            </w:r>
          </w:p>
        </w:tc>
        <w:tc>
          <w:tcPr>
            <w:tcW w:w="4752" w:type="dxa"/>
            <w:vAlign w:val="center"/>
          </w:tcPr>
          <w:p w14:paraId="2C3FCB29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x 为主输出，y 为辅助状态。</w:t>
            </w:r>
          </w:p>
        </w:tc>
      </w:tr>
      <w:tr w14:paraId="5D2AFAEC">
        <w:trPr>
          <w:jc w:val="center"/>
        </w:trPr>
        <w:tc>
          <w:tcPr>
            <w:tcW w:w="2880" w:type="dxa"/>
            <w:vAlign w:val="center"/>
          </w:tcPr>
          <w:p w14:paraId="3756F45F">
            <w:pPr>
              <w:spacing w:after="0"/>
              <w:rPr>
                <w:rFonts w:hint="default" w:ascii="Times New Roman Regular" w:hAnsi="Times New Roman Regular" w:eastAsia="仿宋_GB2312" w:cs="Times New Roman Regular"/>
                <w:b w:val="0"/>
                <w:sz w:val="19"/>
                <w:szCs w:val="22"/>
                <w:lang w:val="en-US" w:bidi="ar-SA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频率旋转项</w:t>
            </w:r>
            <m:oMath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19"/>
                </w:rPr>
                <m:t>−</m:t>
              </m:r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19"/>
                </w:rPr>
                <m:t>omega</m:t>
              </m:r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19"/>
                </w:rPr>
                <m:t>∗</m:t>
              </m:r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19"/>
                </w:rPr>
                <m:t>y</m:t>
              </m:r>
            </m:oMath>
          </w:p>
          <w:p w14:paraId="64767FC0">
            <w:pPr>
              <w:spacing w:after="0"/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sz w:val="19"/>
                <w:szCs w:val="22"/>
                <w:lang w:val="en-US" w:bidi="ar-SA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b w:val="0"/>
                  <w:i w:val="0"/>
                  <w:sz w:val="19"/>
                  <w:szCs w:val="22"/>
                  <w:lang w:val="en-US" w:bidi="ar-SA"/>
                </w:rPr>
                <m:t xml:space="preserve"> </m:t>
              </m:r>
            </m:oMath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 xml:space="preserve">和 </w:t>
            </w:r>
            <m:oMath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19"/>
                </w:rPr>
                <m:t>+</m:t>
              </m:r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19"/>
                </w:rPr>
                <m:t>omega</m:t>
              </m:r>
              <m:r>
                <m:rPr>
                  <m:nor/>
                  <m:sty m:val="p"/>
                </m:rPr>
                <w:rPr>
                  <w:rFonts w:hint="default" w:ascii="DejaVu Math TeX Gyre" w:hAnsi="DejaVu Math TeX Gyre" w:eastAsia="仿宋_GB2312" w:cs="Times New Roman Regular"/>
                  <w:i w:val="0"/>
                  <w:sz w:val="19"/>
                </w:rPr>
                <m:t>∗</m:t>
              </m:r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19"/>
                </w:rPr>
                <m:t>x</m:t>
              </m:r>
            </m:oMath>
          </w:p>
        </w:tc>
        <w:tc>
          <w:tcPr>
            <w:tcW w:w="1440" w:type="dxa"/>
            <w:vAlign w:val="center"/>
          </w:tcPr>
          <w:p w14:paraId="52866D6D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符合</w:t>
            </w:r>
          </w:p>
        </w:tc>
        <w:tc>
          <w:tcPr>
            <w:tcW w:w="4752" w:type="dxa"/>
            <w:vAlign w:val="center"/>
          </w:tcPr>
          <w:p w14:paraId="673F684D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与文档公式一致。</w:t>
            </w:r>
          </w:p>
        </w:tc>
      </w:tr>
      <w:tr w14:paraId="1AD623E4">
        <w:trPr>
          <w:jc w:val="center"/>
        </w:trPr>
        <w:tc>
          <w:tcPr>
            <w:tcW w:w="2880" w:type="dxa"/>
            <w:vAlign w:val="center"/>
          </w:tcPr>
          <w:p w14:paraId="5887F01D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 xml:space="preserve">振幅由 </w:t>
            </w:r>
            <m:oMath>
              <m:r>
                <m:rPr>
                  <m:nor/>
                </m:rPr>
                <w:rPr>
                  <w:rFonts w:hint="default" w:ascii="DejaVu Math TeX Gyre" w:hAnsi="DejaVu Math TeX Gyre" w:eastAsia="仿宋_GB2312" w:cs="Times New Roman Regular"/>
                  <w:i/>
                  <w:sz w:val="19"/>
                </w:rPr>
                <m:t>mu</m:t>
              </m:r>
            </m:oMath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 xml:space="preserve"> 决定</w:t>
            </w:r>
          </w:p>
        </w:tc>
        <w:tc>
          <w:tcPr>
            <w:tcW w:w="1440" w:type="dxa"/>
            <w:vAlign w:val="center"/>
          </w:tcPr>
          <w:p w14:paraId="7092E816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符合</w:t>
            </w:r>
          </w:p>
        </w:tc>
        <w:tc>
          <w:tcPr>
            <w:tcW w:w="4752" w:type="dxa"/>
            <w:vAlign w:val="center"/>
          </w:tcPr>
          <w:p w14:paraId="5FA9BC52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mu=1.0，稳定半径约为 1。</w:t>
            </w:r>
          </w:p>
        </w:tc>
      </w:tr>
      <w:tr w14:paraId="1E1CB890">
        <w:trPr>
          <w:jc w:val="center"/>
        </w:trPr>
        <w:tc>
          <w:tcPr>
            <w:tcW w:w="2880" w:type="dxa"/>
            <w:vAlign w:val="center"/>
          </w:tcPr>
          <w:p w14:paraId="68D74163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外部输入项</w:t>
            </w:r>
          </w:p>
        </w:tc>
        <w:tc>
          <w:tcPr>
            <w:tcW w:w="1440" w:type="dxa"/>
            <w:vAlign w:val="center"/>
          </w:tcPr>
          <w:p w14:paraId="435E6283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扩展</w:t>
            </w:r>
          </w:p>
        </w:tc>
        <w:tc>
          <w:tcPr>
            <w:tcW w:w="4752" w:type="dxa"/>
            <w:vAlign w:val="center"/>
          </w:tcPr>
          <w:p w14:paraId="1EDCB41B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文档标准公式没有；代码加入 εF_ext，属于受迫 Hopf。</w:t>
            </w:r>
          </w:p>
        </w:tc>
      </w:tr>
      <w:tr w14:paraId="6EFA5B63">
        <w:trPr>
          <w:jc w:val="center"/>
        </w:trPr>
        <w:tc>
          <w:tcPr>
            <w:tcW w:w="2880" w:type="dxa"/>
            <w:vAlign w:val="center"/>
          </w:tcPr>
          <w:p w14:paraId="66C6BED8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多振荡器耦合网络</w:t>
            </w:r>
          </w:p>
        </w:tc>
        <w:tc>
          <w:tcPr>
            <w:tcW w:w="1440" w:type="dxa"/>
            <w:vAlign w:val="center"/>
          </w:tcPr>
          <w:p w14:paraId="2DC6412F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未实现</w:t>
            </w:r>
          </w:p>
        </w:tc>
        <w:tc>
          <w:tcPr>
            <w:tcW w:w="4752" w:type="dxa"/>
            <w:vAlign w:val="center"/>
          </w:tcPr>
          <w:p w14:paraId="5B9EAB26">
            <w:pPr>
              <w:spacing w:after="0"/>
              <w:rPr>
                <w:rFonts w:hint="default" w:ascii="Times New Roman Regular" w:hAnsi="Times New Roman Regular" w:eastAsia="仿宋_GB2312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19"/>
              </w:rPr>
              <w:t>当前是单 Hopf 振荡器，不是多腿/多关节 CPG 网络。</w:t>
            </w:r>
          </w:p>
        </w:tc>
      </w:tr>
    </w:tbl>
    <w:p w14:paraId="1D39F163">
      <w:pPr>
        <w:rPr>
          <w:rFonts w:hint="default" w:ascii="Times New Roman Regular" w:hAnsi="Times New Roman Regular" w:eastAsia="仿宋_GB2312" w:cs="Times New Roman Regular"/>
        </w:rPr>
      </w:pPr>
    </w:p>
    <w:p w14:paraId="64367436">
      <w:pPr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因此，当前工程算法的严谨命名应为：基于受迫 Hopf 振荡器的 CPG 变导纳控制。</w:t>
      </w:r>
    </w:p>
    <w:p w14:paraId="686F8A4E">
      <w:pPr>
        <w:pStyle w:val="3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8. 工程注意事项与建议</w:t>
      </w:r>
    </w:p>
    <w:p w14:paraId="3832B0A4">
      <w:pPr>
        <w:pStyle w:val="16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确认 F_ext 方向：当前使用 force-&gt;fx。如果右把手前进方向实际对应 fz，需要改为 force-&gt;fz。</w:t>
      </w:r>
    </w:p>
    <w:p w14:paraId="4FFA9F56">
      <w:pPr>
        <w:pStyle w:val="16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确认轮半径：Controller.c 中 WHEEL_RADIUS_M 当前为 0.075 m，实际轮径不同会导致 rpm 换算偏差。</w:t>
      </w:r>
    </w:p>
    <w:p w14:paraId="3A352CEB">
      <w:pPr>
        <w:pStyle w:val="16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确认 1 ms 周期：CPG_Step 使用 dt=0.001f，FreeRTOS 控制任务也已设置为 1 ms；上板需确认任务调度和 CAN 下发频率稳定。</w:t>
      </w:r>
    </w:p>
    <w:p w14:paraId="0357228B">
      <w:pPr>
        <w:pStyle w:val="16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调参顺序建议：先固定 omega 和 epsilon，仅调 M/D_base/lambda；确认导纳稳定后再接入动捕步频更新 omega。</w:t>
      </w:r>
    </w:p>
    <w:p w14:paraId="178CC742">
      <w:pPr>
        <w:pStyle w:val="16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如果后续加入视觉测距安全约束，建议不要直接改 Hopf 方程，而是在导纳输出 v_c 后增加距离限速/停车层。</w:t>
      </w:r>
    </w:p>
    <w:p w14:paraId="7944499E">
      <w:pPr>
        <w:pStyle w:val="3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9. 参考资料</w:t>
      </w:r>
    </w:p>
    <w:p w14:paraId="5D357879">
      <w:pPr>
        <w:pStyle w:val="16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用户文档：Hopf 振荡器.docx，/Users/neil/项目/SmartRollator/Hopf 振荡器.docx。</w:t>
      </w:r>
    </w:p>
    <w:p w14:paraId="7C34E103">
      <w:pPr>
        <w:pStyle w:val="16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Gang Wang, Xi Chen, Shi-Kai Han. Central pattern generator and feedforward neural network-based self-adaptive gait control for a crab-like robot locomoting on complex terrain. International Journal of Advanced Robotic Systems, 2017. https://journals.sagepub.com/doi/10.1177/1729881417723440</w:t>
      </w:r>
    </w:p>
    <w:p w14:paraId="5D53E55B">
      <w:pPr>
        <w:pStyle w:val="16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Auke Jan Ijspeert. Central pattern generators for locomotion control in animals and robots: a review. Neural Networks, 2008. PubMed: https://pubmed.ncbi.nlm.nih.gov/18555958/</w:t>
      </w:r>
    </w:p>
    <w:p w14:paraId="71DF5FBC">
      <w:pPr>
        <w:pStyle w:val="16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Human-Robot Interaction: A Review and Analysis on Variable Admittance Control, Safety, and Perspectives. Machines, 2022. https://www.mdpi.com/2075-1702/10/7/591</w:t>
      </w:r>
    </w:p>
    <w:p w14:paraId="6A5F250E">
      <w:pPr>
        <w:pStyle w:val="16"/>
        <w:rPr>
          <w:rFonts w:hint="default" w:ascii="Times New Roman Regular" w:hAnsi="Times New Roman Regular" w:eastAsia="仿宋_GB2312" w:cs="Times New Roman Regular"/>
        </w:rPr>
      </w:pPr>
      <w:r>
        <w:rPr>
          <w:rFonts w:hint="default" w:ascii="Times New Roman Regular" w:hAnsi="Times New Roman Regular" w:eastAsia="仿宋_GB2312" w:cs="Times New Roman Regular"/>
        </w:rPr>
        <w:t>Arvid Q. L. Keemink, Herman van der Kooij, Arno H. A. Stienen. Admittance control for physical human-robot interaction. The International Journal of Robotics Research, 2018. https://journals.sagepub.com/doi/full/10.1177/0278364918768950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_GB2312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9BE01">
    <w:pPr>
      <w:pStyle w:val="24"/>
      <w:jc w:val="right"/>
    </w:pPr>
    <w:r>
      <w:rPr>
        <w:rFonts w:ascii="微软雅黑" w:hAnsi="微软雅黑" w:eastAsia="微软雅黑"/>
        <w:color w:val="646464"/>
        <w:sz w:val="16"/>
      </w:rPr>
      <w:t>SmartRollator Hopf-CPG 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B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Codex</dc:creator>
  <dc:description>generated by python-docx</dc:description>
  <cp:keywords>Hopf oscillator, CPG, admittance control, SmartRollator</cp:keywords>
  <cp:lastModifiedBy>Neil·Bauman</cp:lastModifiedBy>
  <dcterms:modified xsi:type="dcterms:W3CDTF">2026-05-14T17:31:27Z</dcterms:modified>
  <dc:subject>SmartRollator Hopf-CPG variable admittance control</dc:subject>
  <dc:title>Hopf 振荡器在智能助行车 CPG 变导纳控制中的应用说明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844FCB51D75BCB756F96056AD914211E_42</vt:lpwstr>
  </property>
</Properties>
</file>