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8473C6">
      <w:pPr>
        <w:pStyle w:val="31"/>
        <w:jc w:val="center"/>
      </w:pPr>
      <w:r>
        <w:rPr>
          <w:rFonts w:ascii="微软雅黑" w:hAnsi="微软雅黑" w:eastAsia="微软雅黑"/>
          <w:b/>
          <w:color w:val="0B2545"/>
          <w:sz w:val="44"/>
        </w:rPr>
        <w:t>Hopf 振荡器在智能助行车中的应用研究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64"/>
      </w:tblGrid>
      <w:tr w14:paraId="30AD7BC2">
        <w:trPr>
          <w:jc w:val="center"/>
        </w:trPr>
        <w:tc>
          <w:tcPr>
            <w:tcW w:w="9764" w:type="dxa"/>
            <w:shd w:val="clear" w:color="auto" w:fill="ECFDF5"/>
          </w:tcPr>
          <w:p w14:paraId="438820BD">
            <w:pPr>
              <w:spacing w:after="80"/>
            </w:pPr>
            <w:r>
              <w:rPr>
                <w:rFonts w:ascii="微软雅黑" w:hAnsi="微软雅黑" w:eastAsia="微软雅黑"/>
                <w:b/>
                <w:color w:val="0F8B6C"/>
                <w:sz w:val="22"/>
              </w:rPr>
              <w:t>一句话结论</w:t>
            </w:r>
          </w:p>
          <w:p w14:paraId="5D3CB795">
            <w:pPr>
              <w:spacing w:after="0"/>
            </w:pPr>
            <w:r>
              <w:rPr>
                <w:rFonts w:ascii="微软雅黑" w:hAnsi="微软雅黑" w:eastAsia="微软雅黑"/>
                <w:color w:val="0B2545"/>
                <w:sz w:val="20"/>
              </w:rPr>
              <w:t>我把 Hopf 振荡器作为 CPG 节律源引入智能助行车控制中，用振荡器状态 x 在线调制导纳阻尼 D_current，使助行车的顺从性能够跟随人的步态节律和把手力输入动态变化。</w:t>
            </w:r>
          </w:p>
        </w:tc>
      </w:tr>
    </w:tbl>
    <w:p w14:paraId="34D74C56"/>
    <w:p w14:paraId="6FEC7142">
      <w:pPr>
        <w:pStyle w:val="3"/>
      </w:pPr>
      <w:r>
        <w:t>0. 路线图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4"/>
        <w:gridCol w:w="1679"/>
        <w:gridCol w:w="6127"/>
        <w:gridCol w:w="1400"/>
      </w:tblGrid>
      <w:tr w14:paraId="365839DE">
        <w:trPr>
          <w:jc w:val="center"/>
        </w:trPr>
        <w:tc>
          <w:tcPr>
            <w:tcW w:w="792" w:type="dxa"/>
            <w:shd w:val="clear" w:color="auto" w:fill="E8EEF5"/>
            <w:vAlign w:val="center"/>
          </w:tcPr>
          <w:p w14:paraId="381282B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顺序</w:t>
            </w:r>
          </w:p>
        </w:tc>
        <w:tc>
          <w:tcPr>
            <w:tcW w:w="1728" w:type="dxa"/>
            <w:shd w:val="clear" w:color="auto" w:fill="E8EEF5"/>
            <w:vAlign w:val="center"/>
          </w:tcPr>
          <w:p w14:paraId="4ABDCCE2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主题</w:t>
            </w:r>
          </w:p>
        </w:tc>
        <w:tc>
          <w:tcPr>
            <w:tcW w:w="6336" w:type="dxa"/>
            <w:shd w:val="clear" w:color="auto" w:fill="E8EEF5"/>
            <w:vAlign w:val="center"/>
          </w:tcPr>
          <w:p w14:paraId="65D6415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讲解重点</w:t>
            </w:r>
          </w:p>
        </w:tc>
        <w:tc>
          <w:tcPr>
            <w:tcW w:w="1440" w:type="dxa"/>
            <w:shd w:val="clear" w:color="auto" w:fill="E8EEF5"/>
            <w:vAlign w:val="center"/>
          </w:tcPr>
          <w:p w14:paraId="481DB9C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建议时间</w:t>
            </w:r>
          </w:p>
        </w:tc>
      </w:tr>
      <w:tr w14:paraId="2A57F5A3">
        <w:trPr>
          <w:jc w:val="center"/>
        </w:trPr>
        <w:tc>
          <w:tcPr>
            <w:tcW w:w="792" w:type="dxa"/>
            <w:vAlign w:val="center"/>
          </w:tcPr>
          <w:p w14:paraId="59A8CF3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11EB857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研究问题</w:t>
            </w:r>
          </w:p>
        </w:tc>
        <w:tc>
          <w:tcPr>
            <w:tcW w:w="6336" w:type="dxa"/>
            <w:vAlign w:val="center"/>
          </w:tcPr>
          <w:p w14:paraId="3849CC1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为什么固定导纳不够，为什么需要节律信息</w:t>
            </w:r>
          </w:p>
        </w:tc>
        <w:tc>
          <w:tcPr>
            <w:tcW w:w="1440" w:type="dxa"/>
            <w:vAlign w:val="center"/>
          </w:tcPr>
          <w:p w14:paraId="14F7928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1-2 min</w:t>
            </w:r>
          </w:p>
        </w:tc>
      </w:tr>
      <w:tr w14:paraId="7BB9CB03">
        <w:trPr>
          <w:jc w:val="center"/>
        </w:trPr>
        <w:tc>
          <w:tcPr>
            <w:tcW w:w="792" w:type="dxa"/>
            <w:vAlign w:val="center"/>
          </w:tcPr>
          <w:p w14:paraId="282E6F5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2</w:t>
            </w:r>
          </w:p>
        </w:tc>
        <w:tc>
          <w:tcPr>
            <w:tcW w:w="1728" w:type="dxa"/>
            <w:vAlign w:val="center"/>
          </w:tcPr>
          <w:p w14:paraId="331B2C0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Hopf 基础</w:t>
            </w:r>
          </w:p>
        </w:tc>
        <w:tc>
          <w:tcPr>
            <w:tcW w:w="6336" w:type="dxa"/>
            <w:vAlign w:val="center"/>
          </w:tcPr>
          <w:p w14:paraId="4897D74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极限环、参数含义、频率/幅值解耦</w:t>
            </w:r>
          </w:p>
        </w:tc>
        <w:tc>
          <w:tcPr>
            <w:tcW w:w="1440" w:type="dxa"/>
            <w:vAlign w:val="center"/>
          </w:tcPr>
          <w:p w14:paraId="1061DFD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3-4 min</w:t>
            </w:r>
          </w:p>
        </w:tc>
      </w:tr>
      <w:tr w14:paraId="70FBEE0D">
        <w:trPr>
          <w:jc w:val="center"/>
        </w:trPr>
        <w:tc>
          <w:tcPr>
            <w:tcW w:w="792" w:type="dxa"/>
            <w:vAlign w:val="center"/>
          </w:tcPr>
          <w:p w14:paraId="2870FC6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3</w:t>
            </w:r>
          </w:p>
        </w:tc>
        <w:tc>
          <w:tcPr>
            <w:tcW w:w="1728" w:type="dxa"/>
            <w:vAlign w:val="center"/>
          </w:tcPr>
          <w:p w14:paraId="20BD486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工程方案</w:t>
            </w:r>
          </w:p>
        </w:tc>
        <w:tc>
          <w:tcPr>
            <w:tcW w:w="6336" w:type="dxa"/>
            <w:vAlign w:val="center"/>
          </w:tcPr>
          <w:p w14:paraId="1D136F8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受迫 Hopf-CPG + 变导纳控制链路</w:t>
            </w:r>
          </w:p>
        </w:tc>
        <w:tc>
          <w:tcPr>
            <w:tcW w:w="1440" w:type="dxa"/>
            <w:vAlign w:val="center"/>
          </w:tcPr>
          <w:p w14:paraId="6D6468B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4-5 min</w:t>
            </w:r>
          </w:p>
        </w:tc>
      </w:tr>
      <w:tr w14:paraId="4D69C03E">
        <w:trPr>
          <w:jc w:val="center"/>
        </w:trPr>
        <w:tc>
          <w:tcPr>
            <w:tcW w:w="792" w:type="dxa"/>
            <w:vAlign w:val="center"/>
          </w:tcPr>
          <w:p w14:paraId="125F5B9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4</w:t>
            </w:r>
          </w:p>
        </w:tc>
        <w:tc>
          <w:tcPr>
            <w:tcW w:w="1728" w:type="dxa"/>
            <w:vAlign w:val="center"/>
          </w:tcPr>
          <w:p w14:paraId="4F3DDAF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代码落地</w:t>
            </w:r>
          </w:p>
        </w:tc>
        <w:tc>
          <w:tcPr>
            <w:tcW w:w="6336" w:type="dxa"/>
            <w:vAlign w:val="center"/>
          </w:tcPr>
          <w:p w14:paraId="37FBE9F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cpg_control.c、Controller_Run、CAN 下发</w:t>
            </w:r>
          </w:p>
        </w:tc>
        <w:tc>
          <w:tcPr>
            <w:tcW w:w="1440" w:type="dxa"/>
            <w:vAlign w:val="center"/>
          </w:tcPr>
          <w:p w14:paraId="7F43ACF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3-4 min</w:t>
            </w:r>
          </w:p>
        </w:tc>
      </w:tr>
      <w:tr w14:paraId="204504EA">
        <w:trPr>
          <w:jc w:val="center"/>
        </w:trPr>
        <w:tc>
          <w:tcPr>
            <w:tcW w:w="792" w:type="dxa"/>
            <w:vAlign w:val="center"/>
          </w:tcPr>
          <w:p w14:paraId="7042036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5</w:t>
            </w:r>
          </w:p>
        </w:tc>
        <w:tc>
          <w:tcPr>
            <w:tcW w:w="1728" w:type="dxa"/>
            <w:vAlign w:val="center"/>
          </w:tcPr>
          <w:p w14:paraId="42BB760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前端演示</w:t>
            </w:r>
          </w:p>
        </w:tc>
        <w:tc>
          <w:tcPr>
            <w:tcW w:w="6336" w:type="dxa"/>
            <w:vAlign w:val="center"/>
          </w:tcPr>
          <w:p w14:paraId="51269BF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动态展示极限环、阻尼、速度、rpm</w:t>
            </w:r>
          </w:p>
        </w:tc>
        <w:tc>
          <w:tcPr>
            <w:tcW w:w="1440" w:type="dxa"/>
            <w:vAlign w:val="center"/>
          </w:tcPr>
          <w:p w14:paraId="1CF9952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3-4 min</w:t>
            </w:r>
          </w:p>
        </w:tc>
      </w:tr>
      <w:tr w14:paraId="6A871E83">
        <w:trPr>
          <w:jc w:val="center"/>
        </w:trPr>
        <w:tc>
          <w:tcPr>
            <w:tcW w:w="792" w:type="dxa"/>
            <w:vAlign w:val="center"/>
          </w:tcPr>
          <w:p w14:paraId="2C00DA6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6</w:t>
            </w:r>
          </w:p>
        </w:tc>
        <w:tc>
          <w:tcPr>
            <w:tcW w:w="1728" w:type="dxa"/>
            <w:vAlign w:val="center"/>
          </w:tcPr>
          <w:p w14:paraId="0BC7198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问题与下一步</w:t>
            </w:r>
          </w:p>
        </w:tc>
        <w:tc>
          <w:tcPr>
            <w:tcW w:w="6336" w:type="dxa"/>
            <w:vAlign w:val="center"/>
          </w:tcPr>
          <w:p w14:paraId="1AE3129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rpm 方向、参数校准、动捕/视觉接入</w:t>
            </w:r>
          </w:p>
        </w:tc>
        <w:tc>
          <w:tcPr>
            <w:tcW w:w="1440" w:type="dxa"/>
            <w:vAlign w:val="center"/>
          </w:tcPr>
          <w:p w14:paraId="5ED164F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2-3 min</w:t>
            </w:r>
          </w:p>
        </w:tc>
      </w:tr>
    </w:tbl>
    <w:p w14:paraId="01ED49B4"/>
    <w:p w14:paraId="58DD2C68">
      <w:pPr>
        <w:pStyle w:val="3"/>
      </w:pPr>
      <w:r>
        <w:t>1. 研究问题：为什么助行车需要 Hopf-CPG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64"/>
      </w:tblGrid>
      <w:tr w14:paraId="3076A287">
        <w:trPr>
          <w:jc w:val="center"/>
        </w:trPr>
        <w:tc>
          <w:tcPr>
            <w:tcW w:w="9764" w:type="dxa"/>
            <w:shd w:val="clear" w:color="auto" w:fill="F4F6F9"/>
          </w:tcPr>
          <w:p w14:paraId="1683870F">
            <w:pPr>
              <w:spacing w:after="0"/>
            </w:pPr>
            <w:r>
              <w:rPr>
                <w:rFonts w:ascii="微软雅黑" w:hAnsi="微软雅黑" w:eastAsia="微软雅黑"/>
                <w:color w:val="0B2545"/>
                <w:sz w:val="20"/>
              </w:rPr>
              <w:t>智能助行车是一个人机物理交互系统。用户通过把手给车施加力，车辆需要理解这个力并顺从运动。但人的行走本身具有周期性，</w:t>
            </w:r>
            <w:r>
              <w:rPr>
                <w:rFonts w:ascii="微软雅黑" w:hAnsi="微软雅黑" w:eastAsia="微软雅黑"/>
                <w:b/>
                <w:bCs/>
                <w:color w:val="0B2545"/>
                <w:sz w:val="20"/>
              </w:rPr>
              <w:t>如果控制器只用固定质量和固定阻尼，助行车响应就会比较单一，不能体现人步态节律对助力的影响。</w:t>
            </w:r>
          </w:p>
        </w:tc>
      </w:tr>
    </w:tbl>
    <w:p w14:paraId="295AC22A"/>
    <w:p w14:paraId="239F9EA4">
      <w:r>
        <w:rPr>
          <w:rFonts w:ascii="微软雅黑" w:hAnsi="微软雅黑" w:eastAsia="微软雅黑"/>
          <w:b w:val="0"/>
        </w:rPr>
        <w:t>研究目标可以概括为三点：</w:t>
      </w:r>
    </w:p>
    <w:p w14:paraId="442588A4">
      <w:pPr>
        <w:pStyle w:val="16"/>
      </w:pPr>
      <w:r>
        <w:rPr>
          <w:rFonts w:ascii="微软雅黑" w:hAnsi="微软雅黑" w:eastAsia="微软雅黑"/>
        </w:rPr>
        <w:t>保留导纳控制的安全性和直观性：力输入经过虚拟质量、阻尼后变成速度命令。</w:t>
      </w:r>
    </w:p>
    <w:p w14:paraId="2A0B95E3">
      <w:pPr>
        <w:pStyle w:val="16"/>
      </w:pPr>
      <w:r>
        <w:rPr>
          <w:rFonts w:ascii="微软雅黑" w:hAnsi="微软雅黑" w:eastAsia="微软雅黑"/>
        </w:rPr>
        <w:t>引入 Hopf 振荡器作为 CPG 节律源：让控制器具有稳定周期状态。</w:t>
      </w:r>
    </w:p>
    <w:p w14:paraId="7C79D3EA">
      <w:pPr>
        <w:pStyle w:val="16"/>
      </w:pPr>
      <w:r>
        <w:rPr>
          <w:rFonts w:ascii="微软雅黑" w:hAnsi="微软雅黑" w:eastAsia="微软雅黑"/>
        </w:rPr>
        <w:t>通过 Hopf 状态调制导纳阻尼：让助行车顺从性不再固定，而是随步态节律变化。</w:t>
      </w:r>
    </w:p>
    <w:p w14:paraId="7D65D8B3">
      <w:pPr>
        <w:pStyle w:val="3"/>
      </w:pPr>
    </w:p>
    <w:p w14:paraId="4203733C">
      <w:pPr>
        <w:pStyle w:val="3"/>
      </w:pPr>
    </w:p>
    <w:p w14:paraId="5EDE6AF6"/>
    <w:p w14:paraId="4DCC9631">
      <w:pPr>
        <w:pStyle w:val="3"/>
      </w:pPr>
      <w:r>
        <w:t>2. Hopf 振荡器：从极限环讲</w:t>
      </w:r>
    </w:p>
    <w:p w14:paraId="34625B60">
      <w:pPr>
        <w:rPr>
          <w:rFonts w:ascii="微软雅黑" w:hAnsi="微软雅黑" w:eastAsia="微软雅黑"/>
          <w:b w:val="0"/>
        </w:rPr>
      </w:pPr>
    </w:p>
    <w:p w14:paraId="35798F1A">
      <w:pPr>
        <w:spacing w:before="60" w:after="140"/>
        <w:jc w:val="center"/>
        <w:rPr>
          <w:rFonts w:hAnsi="DejaVu Math TeX Gyre" w:eastAsia="Cambria Math" w:cstheme="minorBidi"/>
          <w:i w:val="0"/>
          <w:color w:val="0B2545"/>
          <w:sz w:val="25"/>
          <w:szCs w:val="22"/>
          <w:lang w:val="en-US" w:bidi="ar-SA"/>
        </w:rPr>
      </w:pPr>
      <m:oMathPara>
        <m:oMath>
          <m:acc>
            <m:accPr>
              <m:chr m:val="̇"/>
              <m:ctrlPr>
                <w:rPr>
                  <w:rFonts w:hint="default" w:ascii="DejaVu Math TeX Gyre" w:hAnsi="DejaVu Math TeX Gyre" w:eastAsia="Cambria Math"/>
                  <w:sz w:val="25"/>
                </w:rPr>
              </m:ctrlPr>
            </m:accPr>
            <m:e>
              <m:r>
                <m:rPr/>
                <w:rPr>
                  <w:rFonts w:hint="default" w:ascii="DejaVu Math TeX Gyre" w:hAnsi="DejaVu Math TeX Gyre" w:eastAsia="Cambria Math"/>
                  <w:sz w:val="25"/>
                </w:rPr>
                <m:t>x</m:t>
              </m:r>
              <m:ctrlPr>
                <w:rPr>
                  <w:rFonts w:ascii="DejaVu Math TeX Gyre" w:hAnsi="DejaVu Math TeX Gyre" w:eastAsia="Cambria Math"/>
                  <w:sz w:val="25"/>
                </w:rPr>
              </m:ctrlPr>
            </m:e>
          </m:acc>
          <m:r>
            <m:rPr/>
            <w:rPr>
              <w:rFonts w:hint="default" w:ascii="DejaVu Math TeX Gyre" w:hAnsi="DejaVu Math TeX Gyre" w:eastAsia="Cambria Math"/>
              <w:sz w:val="25"/>
            </w:rPr>
            <m:t>=α(μ−</m:t>
          </m:r>
          <m:sSup>
            <m:sSupPr>
              <m:ctrlPr>
                <w:rPr>
                  <w:rFonts w:hint="default" w:ascii="DejaVu Math TeX Gyre" w:hAnsi="DejaVu Math TeX Gyre" w:eastAsia="Cambria Math"/>
                  <w:sz w:val="25"/>
                </w:rPr>
              </m:ctrlPr>
            </m:sSupPr>
            <m:e>
              <m:r>
                <m:rPr/>
                <w:rPr>
                  <w:rFonts w:hint="default" w:ascii="DejaVu Math TeX Gyre" w:hAnsi="DejaVu Math TeX Gyre" w:eastAsia="Cambria Math"/>
                  <w:sz w:val="25"/>
                </w:rPr>
                <m:t>x</m:t>
              </m:r>
              <m:ctrlPr>
                <w:rPr>
                  <w:rFonts w:ascii="DejaVu Math TeX Gyre" w:hAnsi="DejaVu Math TeX Gyre" w:eastAsia="Cambria Math"/>
                  <w:sz w:val="25"/>
                </w:rPr>
              </m:ctrlPr>
            </m:e>
            <m:sup>
              <m:r>
                <m:rPr/>
                <w:rPr>
                  <w:rFonts w:hint="default" w:ascii="DejaVu Math TeX Gyre" w:hAnsi="DejaVu Math TeX Gyre" w:eastAsia="Cambria Math"/>
                  <w:sz w:val="25"/>
                </w:rPr>
                <m:t>2</m:t>
              </m:r>
              <m:ctrlPr>
                <w:rPr>
                  <w:rFonts w:ascii="DejaVu Math TeX Gyre" w:hAnsi="DejaVu Math TeX Gyre" w:eastAsia="Cambria Math"/>
                  <w:sz w:val="25"/>
                </w:rPr>
              </m:ctrlPr>
            </m:sup>
          </m:sSup>
          <m:r>
            <m:rPr/>
            <w:rPr>
              <w:rFonts w:hint="default" w:ascii="DejaVu Math TeX Gyre" w:hAnsi="DejaVu Math TeX Gyre" w:eastAsia="Cambria Math"/>
              <w:sz w:val="25"/>
            </w:rPr>
            <m:t>−</m:t>
          </m:r>
          <m:sSup>
            <m:sSupPr>
              <m:ctrlPr>
                <w:rPr>
                  <w:rFonts w:hint="default" w:ascii="DejaVu Math TeX Gyre" w:hAnsi="DejaVu Math TeX Gyre" w:eastAsia="Cambria Math"/>
                  <w:sz w:val="25"/>
                </w:rPr>
              </m:ctrlPr>
            </m:sSupPr>
            <m:e>
              <m:r>
                <m:rPr/>
                <w:rPr>
                  <w:rFonts w:hint="default" w:ascii="DejaVu Math TeX Gyre" w:hAnsi="DejaVu Math TeX Gyre" w:eastAsia="Cambria Math"/>
                  <w:sz w:val="25"/>
                </w:rPr>
                <m:t>y</m:t>
              </m:r>
              <m:ctrlPr>
                <w:rPr>
                  <w:rFonts w:ascii="DejaVu Math TeX Gyre" w:hAnsi="DejaVu Math TeX Gyre" w:eastAsia="Cambria Math"/>
                  <w:sz w:val="25"/>
                </w:rPr>
              </m:ctrlPr>
            </m:e>
            <m:sup>
              <m:r>
                <m:rPr/>
                <w:rPr>
                  <w:rFonts w:hint="default" w:ascii="DejaVu Math TeX Gyre" w:hAnsi="DejaVu Math TeX Gyre" w:eastAsia="Cambria Math"/>
                  <w:sz w:val="25"/>
                </w:rPr>
                <m:t>2</m:t>
              </m:r>
              <m:ctrlPr>
                <w:rPr>
                  <w:rFonts w:ascii="DejaVu Math TeX Gyre" w:hAnsi="DejaVu Math TeX Gyre" w:eastAsia="Cambria Math"/>
                  <w:sz w:val="25"/>
                </w:rPr>
              </m:ctrlPr>
            </m:sup>
          </m:sSup>
          <m:r>
            <m:rPr/>
            <w:rPr>
              <w:rFonts w:hint="default" w:ascii="DejaVu Math TeX Gyre" w:hAnsi="DejaVu Math TeX Gyre" w:eastAsia="Cambria Math"/>
              <w:sz w:val="25"/>
            </w:rPr>
            <m:t>)x−ωy</m:t>
          </m:r>
        </m:oMath>
      </m:oMathPara>
    </w:p>
    <w:p w14:paraId="190B239D">
      <w:pPr>
        <w:spacing w:before="60" w:after="140"/>
        <w:jc w:val="center"/>
        <w:rPr>
          <w:rFonts w:hAnsi="DejaVu Math TeX Gyre" w:eastAsia="Cambria Math" w:cstheme="minorBidi"/>
          <w:i w:val="0"/>
          <w:color w:val="0B2545"/>
          <w:sz w:val="25"/>
          <w:szCs w:val="22"/>
          <w:lang w:val="en-US" w:bidi="ar-SA"/>
        </w:rPr>
      </w:pPr>
    </w:p>
    <w:p w14:paraId="09596349">
      <w:pPr>
        <w:spacing w:before="60" w:after="140"/>
        <w:jc w:val="center"/>
        <w:rPr>
          <w:rFonts w:hAnsi="DejaVu Math TeX Gyre" w:eastAsia="Cambria Math" w:cstheme="minorBidi"/>
          <w:i w:val="0"/>
          <w:color w:val="0B2545"/>
          <w:sz w:val="25"/>
          <w:szCs w:val="22"/>
          <w:lang w:val="en-US" w:bidi="ar-SA"/>
        </w:rPr>
      </w:pPr>
      <m:oMathPara>
        <m:oMath>
          <m:acc>
            <m:accPr>
              <m:chr m:val="̇"/>
              <m:ctrlPr>
                <w:rPr>
                  <w:rFonts w:hint="default" w:ascii="DejaVu Math TeX Gyre" w:hAnsi="DejaVu Math TeX Gyre" w:eastAsia="Cambria Math"/>
                  <w:sz w:val="25"/>
                </w:rPr>
              </m:ctrlPr>
            </m:accPr>
            <m:e>
              <m:r>
                <m:rPr/>
                <w:rPr>
                  <w:rFonts w:hint="default" w:ascii="DejaVu Math TeX Gyre" w:hAnsi="DejaVu Math TeX Gyre" w:eastAsia="Cambria Math"/>
                  <w:sz w:val="25"/>
                </w:rPr>
                <m:t>y</m:t>
              </m:r>
              <m:ctrlPr>
                <w:rPr>
                  <w:rFonts w:ascii="DejaVu Math TeX Gyre" w:hAnsi="DejaVu Math TeX Gyre" w:eastAsia="Cambria Math"/>
                  <w:sz w:val="25"/>
                </w:rPr>
              </m:ctrlPr>
            </m:e>
          </m:acc>
          <m:r>
            <m:rPr/>
            <w:rPr>
              <w:rFonts w:hint="default" w:ascii="DejaVu Math TeX Gyre" w:hAnsi="DejaVu Math TeX Gyre" w:eastAsia="Cambria Math"/>
              <w:sz w:val="25"/>
            </w:rPr>
            <m:t>=α(μ−</m:t>
          </m:r>
          <m:sSup>
            <m:sSupPr>
              <m:ctrlPr>
                <w:rPr>
                  <w:rFonts w:hint="default" w:ascii="DejaVu Math TeX Gyre" w:hAnsi="DejaVu Math TeX Gyre" w:eastAsia="Cambria Math"/>
                  <w:sz w:val="25"/>
                </w:rPr>
              </m:ctrlPr>
            </m:sSupPr>
            <m:e>
              <m:r>
                <m:rPr/>
                <w:rPr>
                  <w:rFonts w:hint="default" w:ascii="DejaVu Math TeX Gyre" w:hAnsi="DejaVu Math TeX Gyre" w:eastAsia="Cambria Math"/>
                  <w:sz w:val="25"/>
                </w:rPr>
                <m:t>x</m:t>
              </m:r>
              <m:ctrlPr>
                <w:rPr>
                  <w:rFonts w:ascii="DejaVu Math TeX Gyre" w:hAnsi="DejaVu Math TeX Gyre" w:eastAsia="Cambria Math"/>
                  <w:sz w:val="25"/>
                </w:rPr>
              </m:ctrlPr>
            </m:e>
            <m:sup>
              <m:r>
                <m:rPr/>
                <w:rPr>
                  <w:rFonts w:hint="default" w:ascii="DejaVu Math TeX Gyre" w:hAnsi="DejaVu Math TeX Gyre" w:eastAsia="Cambria Math"/>
                  <w:sz w:val="25"/>
                </w:rPr>
                <m:t>2</m:t>
              </m:r>
              <m:ctrlPr>
                <w:rPr>
                  <w:rFonts w:ascii="DejaVu Math TeX Gyre" w:hAnsi="DejaVu Math TeX Gyre" w:eastAsia="Cambria Math"/>
                  <w:sz w:val="25"/>
                </w:rPr>
              </m:ctrlPr>
            </m:sup>
          </m:sSup>
          <m:r>
            <m:rPr/>
            <w:rPr>
              <w:rFonts w:hint="default" w:ascii="DejaVu Math TeX Gyre" w:hAnsi="DejaVu Math TeX Gyre" w:eastAsia="Cambria Math"/>
              <w:sz w:val="25"/>
            </w:rPr>
            <m:t>−</m:t>
          </m:r>
          <m:sSup>
            <m:sSupPr>
              <m:ctrlPr>
                <w:rPr>
                  <w:rFonts w:hint="default" w:ascii="DejaVu Math TeX Gyre" w:hAnsi="DejaVu Math TeX Gyre" w:eastAsia="Cambria Math"/>
                  <w:sz w:val="25"/>
                </w:rPr>
              </m:ctrlPr>
            </m:sSupPr>
            <m:e>
              <m:r>
                <m:rPr/>
                <w:rPr>
                  <w:rFonts w:hint="default" w:ascii="DejaVu Math TeX Gyre" w:hAnsi="DejaVu Math TeX Gyre" w:eastAsia="Cambria Math"/>
                  <w:sz w:val="25"/>
                </w:rPr>
                <m:t>y</m:t>
              </m:r>
              <m:ctrlPr>
                <w:rPr>
                  <w:rFonts w:ascii="DejaVu Math TeX Gyre" w:hAnsi="DejaVu Math TeX Gyre" w:eastAsia="Cambria Math"/>
                  <w:sz w:val="25"/>
                </w:rPr>
              </m:ctrlPr>
            </m:e>
            <m:sup>
              <m:r>
                <m:rPr/>
                <w:rPr>
                  <w:rFonts w:hint="default" w:ascii="DejaVu Math TeX Gyre" w:hAnsi="DejaVu Math TeX Gyre" w:eastAsia="Cambria Math"/>
                  <w:sz w:val="25"/>
                </w:rPr>
                <m:t>2</m:t>
              </m:r>
              <m:ctrlPr>
                <w:rPr>
                  <w:rFonts w:ascii="DejaVu Math TeX Gyre" w:hAnsi="DejaVu Math TeX Gyre" w:eastAsia="Cambria Math"/>
                  <w:sz w:val="25"/>
                </w:rPr>
              </m:ctrlPr>
            </m:sup>
          </m:sSup>
          <m:r>
            <m:rPr/>
            <w:rPr>
              <w:rFonts w:hint="default" w:ascii="DejaVu Math TeX Gyre" w:hAnsi="DejaVu Math TeX Gyre" w:eastAsia="Cambria Math"/>
              <w:sz w:val="25"/>
            </w:rPr>
            <m:t>)y+ωx</m:t>
          </m:r>
        </m:oMath>
      </m:oMathPara>
    </w:p>
    <w:p w14:paraId="3B8A8E1B">
      <w:pPr>
        <w:spacing w:before="60" w:after="140"/>
        <w:jc w:val="center"/>
        <w:rPr>
          <w:rFonts w:hAnsi="DejaVu Math TeX Gyre" w:eastAsia="Cambria Math" w:cstheme="minorBidi"/>
          <w:i w:val="0"/>
          <w:color w:val="0B2545"/>
          <w:sz w:val="25"/>
          <w:szCs w:val="22"/>
          <w:lang w:val="en-US" w:bidi="ar-SA"/>
        </w:rPr>
      </w:pPr>
    </w:p>
    <w:p w14:paraId="4402EB1E">
      <w:r>
        <w:rPr>
          <w:rFonts w:ascii="微软雅黑" w:hAnsi="微软雅黑" w:eastAsia="微软雅黑"/>
          <w:b w:val="0"/>
        </w:rPr>
        <w:t>讲解逻辑：</w:t>
      </w:r>
    </w:p>
    <w:p w14:paraId="678D4ECF">
      <w:pPr>
        <w:pStyle w:val="14"/>
      </w:pPr>
      <w:r>
        <w:rPr>
          <w:rFonts w:ascii="微软雅黑" w:hAnsi="微软雅黑" w:eastAsia="微软雅黑"/>
        </w:rPr>
        <w:t>定义 r² = x² + y²，表示当前状态点距离原点的半径平方。</w:t>
      </w:r>
    </w:p>
    <w:p w14:paraId="2E818E21">
      <w:pPr>
        <w:pStyle w:val="14"/>
      </w:pPr>
      <w:r>
        <w:rPr>
          <w:rFonts w:ascii="微软雅黑" w:hAnsi="微软雅黑" w:eastAsia="微软雅黑"/>
        </w:rPr>
        <w:t>α(μ-r²) 是收敛项：当 r² &lt; μ 时把点向外推，当 r² &gt; μ 时把点向内拉。</w:t>
      </w:r>
    </w:p>
    <w:p w14:paraId="4C14B13A">
      <w:pPr>
        <w:pStyle w:val="14"/>
      </w:pPr>
      <w:r>
        <w:rPr>
          <w:rFonts w:ascii="微软雅黑" w:hAnsi="微软雅黑" w:eastAsia="微软雅黑"/>
        </w:rPr>
        <w:t>因此系统最终不会发散，而是稳定在半径 √μ 的圆形极限环附近。</w:t>
      </w:r>
    </w:p>
    <w:p w14:paraId="7E7F3D92">
      <w:pPr>
        <w:pStyle w:val="14"/>
      </w:pPr>
      <w:r>
        <w:rPr>
          <w:rFonts w:ascii="微软雅黑" w:hAnsi="微软雅黑" w:eastAsia="微软雅黑"/>
        </w:rPr>
        <w:t>-ωy 和 +ωx 是旋转项，决定状态点沿极限环转动的速度，也就是节律频率。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64"/>
      </w:tblGrid>
      <w:tr w14:paraId="7C83CFD2">
        <w:trPr>
          <w:jc w:val="center"/>
        </w:trPr>
        <w:tc>
          <w:tcPr>
            <w:tcW w:w="9764" w:type="dxa"/>
            <w:shd w:val="clear" w:color="auto" w:fill="EFF6FF"/>
          </w:tcPr>
          <w:p w14:paraId="33D5CFCC">
            <w:pPr>
              <w:spacing w:after="80"/>
            </w:pPr>
            <w:r>
              <w:rPr>
                <w:rFonts w:ascii="微软雅黑" w:hAnsi="微软雅黑" w:eastAsia="微软雅黑"/>
                <w:b/>
                <w:color w:val="2563B8"/>
                <w:sz w:val="22"/>
              </w:rPr>
              <w:t>强调</w:t>
            </w:r>
          </w:p>
          <w:p w14:paraId="3ABBDF61">
            <w:pPr>
              <w:spacing w:after="0"/>
            </w:pPr>
            <w:r>
              <w:rPr>
                <w:rFonts w:ascii="微软雅黑" w:hAnsi="微软雅黑" w:eastAsia="微软雅黑"/>
                <w:color w:val="0B2545"/>
                <w:sz w:val="20"/>
              </w:rPr>
              <w:t>Hopf 振荡器最有价值的性质是：振幅主要由 μ 决定，频率主要由 ω 决定，两者相对解耦。这正适合后续让动捕步频更新 ω。</w:t>
            </w:r>
          </w:p>
        </w:tc>
      </w:tr>
    </w:tbl>
    <w:p w14:paraId="55317424"/>
    <w:p w14:paraId="5265F488">
      <w:pPr>
        <w:pStyle w:val="3"/>
      </w:pPr>
      <w:r>
        <w:t>3. 从纯 Hopf 到助行车中的受迫 Hopf</w:t>
      </w:r>
    </w:p>
    <w:p w14:paraId="255DF65A">
      <w:pPr>
        <w:rPr>
          <w:rFonts w:ascii="微软雅黑" w:hAnsi="微软雅黑" w:eastAsia="微软雅黑"/>
          <w:b w:val="0"/>
        </w:rPr>
      </w:pPr>
      <w:r>
        <w:rPr>
          <w:rFonts w:ascii="微软雅黑" w:hAnsi="微软雅黑" w:eastAsia="微软雅黑"/>
          <w:b w:val="0"/>
        </w:rPr>
        <w:t>工程中不是直接使用无输入 Hopf，而是加入用户力输入。</w:t>
      </w:r>
    </w:p>
    <w:p w14:paraId="43092B1F">
      <w:pPr>
        <w:rPr>
          <w:rFonts w:ascii="微软雅黑" w:hAnsi="微软雅黑" w:eastAsia="微软雅黑"/>
          <w:b w:val="0"/>
        </w:rPr>
      </w:pPr>
    </w:p>
    <w:p w14:paraId="5ED1E0AB">
      <w:pPr>
        <w:spacing w:before="60" w:after="140"/>
        <w:jc w:val="center"/>
        <w:rPr>
          <w:rFonts w:hAnsi="DejaVu Math TeX Gyre" w:eastAsia="Cambria Math" w:cstheme="minorBidi"/>
          <w:i w:val="0"/>
          <w:color w:val="0B2545"/>
          <w:sz w:val="25"/>
          <w:szCs w:val="22"/>
          <w:lang w:val="en-US" w:bidi="ar-SA"/>
        </w:rPr>
      </w:pPr>
      <m:oMathPara>
        <m:oMath>
          <m:acc>
            <m:accPr>
              <m:chr m:val="̇"/>
              <m:ctrlPr>
                <w:rPr>
                  <w:rFonts w:hint="default" w:ascii="DejaVu Math TeX Gyre" w:hAnsi="DejaVu Math TeX Gyre" w:eastAsia="Cambria Math"/>
                  <w:sz w:val="25"/>
                </w:rPr>
              </m:ctrlPr>
            </m:accPr>
            <m:e>
              <m:r>
                <m:rPr/>
                <w:rPr>
                  <w:rFonts w:hint="default" w:ascii="DejaVu Math TeX Gyre" w:hAnsi="DejaVu Math TeX Gyre" w:eastAsia="Cambria Math"/>
                  <w:sz w:val="25"/>
                </w:rPr>
                <m:t>x</m:t>
              </m:r>
              <m:ctrlPr>
                <w:rPr>
                  <w:rFonts w:ascii="DejaVu Math TeX Gyre" w:hAnsi="DejaVu Math TeX Gyre" w:eastAsia="Cambria Math"/>
                  <w:sz w:val="25"/>
                </w:rPr>
              </m:ctrlPr>
            </m:e>
          </m:acc>
          <m:r>
            <m:rPr/>
            <w:rPr>
              <w:rFonts w:hint="default" w:ascii="DejaVu Math TeX Gyre" w:hAnsi="DejaVu Math TeX Gyre" w:eastAsia="Cambria Math"/>
              <w:sz w:val="25"/>
            </w:rPr>
            <m:t>=α(μ−(</m:t>
          </m:r>
          <m:sSup>
            <m:sSupPr>
              <m:ctrlPr>
                <w:rPr>
                  <w:rFonts w:hint="default" w:ascii="DejaVu Math TeX Gyre" w:hAnsi="DejaVu Math TeX Gyre" w:eastAsia="Cambria Math"/>
                  <w:sz w:val="25"/>
                </w:rPr>
              </m:ctrlPr>
            </m:sSupPr>
            <m:e>
              <m:r>
                <m:rPr/>
                <w:rPr>
                  <w:rFonts w:hint="default" w:ascii="DejaVu Math TeX Gyre" w:hAnsi="DejaVu Math TeX Gyre" w:eastAsia="Cambria Math"/>
                  <w:sz w:val="25"/>
                </w:rPr>
                <m:t>x</m:t>
              </m:r>
              <m:ctrlPr>
                <w:rPr>
                  <w:rFonts w:ascii="DejaVu Math TeX Gyre" w:hAnsi="DejaVu Math TeX Gyre" w:eastAsia="Cambria Math"/>
                  <w:sz w:val="25"/>
                </w:rPr>
              </m:ctrlPr>
            </m:e>
            <m:sup>
              <m:r>
                <m:rPr/>
                <w:rPr>
                  <w:rFonts w:hint="default" w:ascii="DejaVu Math TeX Gyre" w:hAnsi="DejaVu Math TeX Gyre" w:eastAsia="Cambria Math"/>
                  <w:sz w:val="25"/>
                </w:rPr>
                <m:t>2</m:t>
              </m:r>
              <m:ctrlPr>
                <w:rPr>
                  <w:rFonts w:ascii="DejaVu Math TeX Gyre" w:hAnsi="DejaVu Math TeX Gyre" w:eastAsia="Cambria Math"/>
                  <w:sz w:val="25"/>
                </w:rPr>
              </m:ctrlPr>
            </m:sup>
          </m:sSup>
          <m:r>
            <m:rPr/>
            <w:rPr>
              <w:rFonts w:hint="default" w:ascii="DejaVu Math TeX Gyre" w:hAnsi="DejaVu Math TeX Gyre" w:eastAsia="Cambria Math"/>
              <w:sz w:val="25"/>
            </w:rPr>
            <m:t>+</m:t>
          </m:r>
          <m:sSup>
            <m:sSupPr>
              <m:ctrlPr>
                <w:rPr>
                  <w:rFonts w:hint="default" w:ascii="DejaVu Math TeX Gyre" w:hAnsi="DejaVu Math TeX Gyre" w:eastAsia="Cambria Math"/>
                  <w:sz w:val="25"/>
                </w:rPr>
              </m:ctrlPr>
            </m:sSupPr>
            <m:e>
              <m:r>
                <m:rPr/>
                <w:rPr>
                  <w:rFonts w:hint="default" w:ascii="DejaVu Math TeX Gyre" w:hAnsi="DejaVu Math TeX Gyre" w:eastAsia="Cambria Math"/>
                  <w:sz w:val="25"/>
                </w:rPr>
                <m:t>y</m:t>
              </m:r>
              <m:ctrlPr>
                <w:rPr>
                  <w:rFonts w:ascii="DejaVu Math TeX Gyre" w:hAnsi="DejaVu Math TeX Gyre" w:eastAsia="Cambria Math"/>
                  <w:sz w:val="25"/>
                </w:rPr>
              </m:ctrlPr>
            </m:e>
            <m:sup>
              <m:r>
                <m:rPr/>
                <w:rPr>
                  <w:rFonts w:hint="default" w:ascii="DejaVu Math TeX Gyre" w:hAnsi="DejaVu Math TeX Gyre" w:eastAsia="Cambria Math"/>
                  <w:sz w:val="25"/>
                </w:rPr>
                <m:t>2</m:t>
              </m:r>
              <m:ctrlPr>
                <w:rPr>
                  <w:rFonts w:ascii="DejaVu Math TeX Gyre" w:hAnsi="DejaVu Math TeX Gyre" w:eastAsia="Cambria Math"/>
                  <w:sz w:val="25"/>
                </w:rPr>
              </m:ctrlPr>
            </m:sup>
          </m:sSup>
          <m:r>
            <m:rPr/>
            <w:rPr>
              <w:rFonts w:hint="default" w:ascii="DejaVu Math TeX Gyre" w:hAnsi="DejaVu Math TeX Gyre" w:eastAsia="Cambria Math"/>
              <w:sz w:val="25"/>
            </w:rPr>
            <m:t>))x−ωy+ϵ</m:t>
          </m:r>
          <m:sSub>
            <m:sSubPr>
              <m:ctrlPr>
                <w:rPr>
                  <w:rFonts w:hint="default" w:ascii="DejaVu Math TeX Gyre" w:hAnsi="DejaVu Math TeX Gyre" w:eastAsia="Cambria Math"/>
                  <w:sz w:val="25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="Cambria Math"/>
                  <w:sz w:val="25"/>
                </w:rPr>
                <m:t>F</m:t>
              </m:r>
              <m:ctrlPr>
                <w:rPr>
                  <w:rFonts w:ascii="DejaVu Math TeX Gyre" w:hAnsi="DejaVu Math TeX Gyre" w:eastAsia="Cambria Math"/>
                  <w:sz w:val="25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="Cambria Math"/>
                  <w:sz w:val="25"/>
                </w:rPr>
                <m:t>ext</m:t>
              </m:r>
              <m:ctrlPr>
                <w:rPr>
                  <w:rFonts w:ascii="DejaVu Math TeX Gyre" w:hAnsi="DejaVu Math TeX Gyre" w:eastAsia="Cambria Math"/>
                  <w:sz w:val="25"/>
                </w:rPr>
              </m:ctrlPr>
            </m:sub>
          </m:sSub>
        </m:oMath>
      </m:oMathPara>
    </w:p>
    <w:p w14:paraId="0920FCB0">
      <w:pPr>
        <w:spacing w:before="60" w:after="140"/>
        <w:jc w:val="center"/>
        <w:rPr>
          <w:rFonts w:hAnsi="DejaVu Math TeX Gyre" w:eastAsia="Cambria Math" w:cstheme="minorBidi"/>
          <w:i w:val="0"/>
          <w:color w:val="0B2545"/>
          <w:sz w:val="25"/>
          <w:szCs w:val="22"/>
          <w:lang w:val="en-US" w:bidi="ar-SA"/>
        </w:rPr>
      </w:pPr>
      <m:oMathPara>
        <m:oMath>
          <m:acc>
            <m:accPr>
              <m:chr m:val="̇"/>
              <m:ctrlPr>
                <w:rPr>
                  <w:rFonts w:hint="default" w:ascii="DejaVu Math TeX Gyre" w:hAnsi="DejaVu Math TeX Gyre" w:eastAsia="Cambria Math"/>
                  <w:sz w:val="25"/>
                </w:rPr>
              </m:ctrlPr>
            </m:accPr>
            <m:e>
              <m:r>
                <m:rPr/>
                <w:rPr>
                  <w:rFonts w:hint="default" w:ascii="DejaVu Math TeX Gyre" w:hAnsi="DejaVu Math TeX Gyre" w:eastAsia="Cambria Math"/>
                  <w:sz w:val="25"/>
                </w:rPr>
                <m:t>y</m:t>
              </m:r>
              <m:ctrlPr>
                <w:rPr>
                  <w:rFonts w:ascii="DejaVu Math TeX Gyre" w:hAnsi="DejaVu Math TeX Gyre" w:eastAsia="Cambria Math"/>
                  <w:sz w:val="25"/>
                </w:rPr>
              </m:ctrlPr>
            </m:e>
          </m:acc>
          <m:r>
            <m:rPr/>
            <w:rPr>
              <w:rFonts w:hint="default" w:ascii="DejaVu Math TeX Gyre" w:hAnsi="DejaVu Math TeX Gyre" w:eastAsia="Cambria Math"/>
              <w:sz w:val="25"/>
            </w:rPr>
            <m:t>=α(μ−(</m:t>
          </m:r>
          <m:sSup>
            <m:sSupPr>
              <m:ctrlPr>
                <w:rPr>
                  <w:rFonts w:hint="default" w:ascii="DejaVu Math TeX Gyre" w:hAnsi="DejaVu Math TeX Gyre" w:eastAsia="Cambria Math"/>
                  <w:sz w:val="25"/>
                </w:rPr>
              </m:ctrlPr>
            </m:sSupPr>
            <m:e>
              <m:r>
                <m:rPr/>
                <w:rPr>
                  <w:rFonts w:hint="default" w:ascii="DejaVu Math TeX Gyre" w:hAnsi="DejaVu Math TeX Gyre" w:eastAsia="Cambria Math"/>
                  <w:sz w:val="25"/>
                </w:rPr>
                <m:t>x</m:t>
              </m:r>
              <m:ctrlPr>
                <w:rPr>
                  <w:rFonts w:ascii="DejaVu Math TeX Gyre" w:hAnsi="DejaVu Math TeX Gyre" w:eastAsia="Cambria Math"/>
                  <w:sz w:val="25"/>
                </w:rPr>
              </m:ctrlPr>
            </m:e>
            <m:sup>
              <m:r>
                <m:rPr/>
                <w:rPr>
                  <w:rFonts w:hint="default" w:ascii="DejaVu Math TeX Gyre" w:hAnsi="DejaVu Math TeX Gyre" w:eastAsia="Cambria Math"/>
                  <w:sz w:val="25"/>
                </w:rPr>
                <m:t>2</m:t>
              </m:r>
              <m:ctrlPr>
                <w:rPr>
                  <w:rFonts w:ascii="DejaVu Math TeX Gyre" w:hAnsi="DejaVu Math TeX Gyre" w:eastAsia="Cambria Math"/>
                  <w:sz w:val="25"/>
                </w:rPr>
              </m:ctrlPr>
            </m:sup>
          </m:sSup>
          <m:r>
            <m:rPr/>
            <w:rPr>
              <w:rFonts w:hint="default" w:ascii="DejaVu Math TeX Gyre" w:hAnsi="DejaVu Math TeX Gyre" w:eastAsia="Cambria Math"/>
              <w:sz w:val="25"/>
            </w:rPr>
            <m:t>+</m:t>
          </m:r>
          <m:sSup>
            <m:sSupPr>
              <m:ctrlPr>
                <w:rPr>
                  <w:rFonts w:hint="default" w:ascii="DejaVu Math TeX Gyre" w:hAnsi="DejaVu Math TeX Gyre" w:eastAsia="Cambria Math"/>
                  <w:sz w:val="25"/>
                </w:rPr>
              </m:ctrlPr>
            </m:sSupPr>
            <m:e>
              <m:r>
                <m:rPr/>
                <w:rPr>
                  <w:rFonts w:hint="default" w:ascii="DejaVu Math TeX Gyre" w:hAnsi="DejaVu Math TeX Gyre" w:eastAsia="Cambria Math"/>
                  <w:sz w:val="25"/>
                </w:rPr>
                <m:t>y</m:t>
              </m:r>
              <m:ctrlPr>
                <w:rPr>
                  <w:rFonts w:ascii="DejaVu Math TeX Gyre" w:hAnsi="DejaVu Math TeX Gyre" w:eastAsia="Cambria Math"/>
                  <w:sz w:val="25"/>
                </w:rPr>
              </m:ctrlPr>
            </m:e>
            <m:sup>
              <m:r>
                <m:rPr/>
                <w:rPr>
                  <w:rFonts w:hint="default" w:ascii="DejaVu Math TeX Gyre" w:hAnsi="DejaVu Math TeX Gyre" w:eastAsia="Cambria Math"/>
                  <w:sz w:val="25"/>
                </w:rPr>
                <m:t>2</m:t>
              </m:r>
              <m:ctrlPr>
                <w:rPr>
                  <w:rFonts w:ascii="DejaVu Math TeX Gyre" w:hAnsi="DejaVu Math TeX Gyre" w:eastAsia="Cambria Math"/>
                  <w:sz w:val="25"/>
                </w:rPr>
              </m:ctrlPr>
            </m:sup>
          </m:sSup>
          <m:r>
            <m:rPr/>
            <w:rPr>
              <w:rFonts w:hint="default" w:ascii="DejaVu Math TeX Gyre" w:hAnsi="DejaVu Math TeX Gyre" w:eastAsia="Cambria Math"/>
              <w:sz w:val="25"/>
            </w:rPr>
            <m:t>))y+ωx</m:t>
          </m:r>
        </m:oMath>
      </m:oMathPara>
    </w:p>
    <w:p w14:paraId="0EDE487E">
      <w:pPr>
        <w:spacing w:before="60" w:after="140"/>
        <w:jc w:val="center"/>
        <w:rPr>
          <w:rFonts w:hAnsi="DejaVu Math TeX Gyre" w:eastAsia="Cambria Math" w:cstheme="minorBidi"/>
          <w:i w:val="0"/>
          <w:color w:val="0B2545"/>
          <w:sz w:val="25"/>
          <w:szCs w:val="22"/>
          <w:lang w:val="en-US" w:bidi="ar-SA"/>
        </w:rPr>
      </w:pPr>
    </w:p>
    <w:p w14:paraId="0108329D">
      <w:r>
        <w:rPr>
          <w:rFonts w:ascii="微软雅黑" w:hAnsi="微软雅黑" w:eastAsia="微软雅黑"/>
          <w:b w:val="0"/>
        </w:rPr>
        <w:t>这里 εF_ext 是外力耦合项。它的含义不是让力直接等于速度，而是让把手力轻微影响 Hopf 振荡器状态，使人的交互意图进入节律系统。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2880"/>
        <w:gridCol w:w="5760"/>
      </w:tblGrid>
      <w:tr w14:paraId="3C20698F">
        <w:trPr>
          <w:jc w:val="center"/>
        </w:trPr>
        <w:tc>
          <w:tcPr>
            <w:tcW w:w="1152" w:type="dxa"/>
            <w:shd w:val="clear" w:color="auto" w:fill="E8EEF5"/>
            <w:vAlign w:val="center"/>
          </w:tcPr>
          <w:p w14:paraId="23207FF8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参数</w:t>
            </w:r>
          </w:p>
        </w:tc>
        <w:tc>
          <w:tcPr>
            <w:tcW w:w="2880" w:type="dxa"/>
            <w:shd w:val="clear" w:color="auto" w:fill="E8EEF5"/>
            <w:vAlign w:val="center"/>
          </w:tcPr>
          <w:p w14:paraId="0098B4F5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理论含义</w:t>
            </w:r>
          </w:p>
        </w:tc>
        <w:tc>
          <w:tcPr>
            <w:tcW w:w="5760" w:type="dxa"/>
            <w:shd w:val="clear" w:color="auto" w:fill="E8EEF5"/>
            <w:vAlign w:val="center"/>
          </w:tcPr>
          <w:p w14:paraId="5BF085FB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在助行车中的解释</w:t>
            </w:r>
          </w:p>
        </w:tc>
      </w:tr>
      <w:tr w14:paraId="3A7CA941">
        <w:trPr>
          <w:trHeight w:val="90" w:hRule="atLeast"/>
          <w:jc w:val="center"/>
        </w:trPr>
        <w:tc>
          <w:tcPr>
            <w:tcW w:w="1152" w:type="dxa"/>
            <w:vAlign w:val="center"/>
          </w:tcPr>
          <w:p w14:paraId="65C938F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α</w:t>
            </w:r>
          </w:p>
        </w:tc>
        <w:tc>
          <w:tcPr>
            <w:tcW w:w="2880" w:type="dxa"/>
            <w:vAlign w:val="center"/>
          </w:tcPr>
          <w:p w14:paraId="5457795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收敛速度</w:t>
            </w:r>
          </w:p>
        </w:tc>
        <w:tc>
          <w:tcPr>
            <w:tcW w:w="5760" w:type="dxa"/>
            <w:vAlign w:val="center"/>
          </w:tcPr>
          <w:p w14:paraId="744BE64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偏离极限环后恢复多快</w:t>
            </w:r>
          </w:p>
        </w:tc>
      </w:tr>
      <w:tr w14:paraId="05C33C4E">
        <w:trPr>
          <w:jc w:val="center"/>
        </w:trPr>
        <w:tc>
          <w:tcPr>
            <w:tcW w:w="1152" w:type="dxa"/>
            <w:vAlign w:val="center"/>
          </w:tcPr>
          <w:p w14:paraId="410A1D9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μ</w:t>
            </w:r>
          </w:p>
        </w:tc>
        <w:tc>
          <w:tcPr>
            <w:tcW w:w="2880" w:type="dxa"/>
            <w:vAlign w:val="center"/>
          </w:tcPr>
          <w:p w14:paraId="011941C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极限环幅值平方</w:t>
            </w:r>
          </w:p>
        </w:tc>
        <w:tc>
          <w:tcPr>
            <w:tcW w:w="5760" w:type="dxa"/>
            <w:vAlign w:val="center"/>
          </w:tcPr>
          <w:p w14:paraId="2BD60DE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决定稳定半径 √μ</w:t>
            </w:r>
          </w:p>
        </w:tc>
      </w:tr>
      <w:tr w14:paraId="1DC79A6A">
        <w:trPr>
          <w:jc w:val="center"/>
        </w:trPr>
        <w:tc>
          <w:tcPr>
            <w:tcW w:w="1152" w:type="dxa"/>
            <w:vAlign w:val="center"/>
          </w:tcPr>
          <w:p w14:paraId="73A8EE9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ω</w:t>
            </w:r>
          </w:p>
        </w:tc>
        <w:tc>
          <w:tcPr>
            <w:tcW w:w="2880" w:type="dxa"/>
            <w:vAlign w:val="center"/>
          </w:tcPr>
          <w:p w14:paraId="66FDBC0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角频率</w:t>
            </w:r>
          </w:p>
        </w:tc>
        <w:tc>
          <w:tcPr>
            <w:tcW w:w="5760" w:type="dxa"/>
            <w:vAlign w:val="center"/>
          </w:tcPr>
          <w:p w14:paraId="3A4CA54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由默认步频或动捕步频决定</w:t>
            </w:r>
          </w:p>
        </w:tc>
      </w:tr>
      <w:tr w14:paraId="040BA99C">
        <w:trPr>
          <w:trHeight w:val="90" w:hRule="atLeast"/>
          <w:jc w:val="center"/>
        </w:trPr>
        <w:tc>
          <w:tcPr>
            <w:tcW w:w="1152" w:type="dxa"/>
            <w:vAlign w:val="center"/>
          </w:tcPr>
          <w:p w14:paraId="14F2F0C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ε</w:t>
            </w:r>
          </w:p>
        </w:tc>
        <w:tc>
          <w:tcPr>
            <w:tcW w:w="2880" w:type="dxa"/>
            <w:vAlign w:val="center"/>
          </w:tcPr>
          <w:p w14:paraId="66019CF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力耦合系数</w:t>
            </w:r>
          </w:p>
        </w:tc>
        <w:tc>
          <w:tcPr>
            <w:tcW w:w="5760" w:type="dxa"/>
            <w:vAlign w:val="center"/>
          </w:tcPr>
          <w:p w14:paraId="41F3952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控制 F_ext 对 Hopf 状态影响强弱</w:t>
            </w:r>
          </w:p>
        </w:tc>
      </w:tr>
      <w:tr w14:paraId="479ADAD5">
        <w:trPr>
          <w:jc w:val="center"/>
        </w:trPr>
        <w:tc>
          <w:tcPr>
            <w:tcW w:w="1152" w:type="dxa"/>
            <w:vAlign w:val="center"/>
          </w:tcPr>
          <w:p w14:paraId="4AEE169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x</w:t>
            </w:r>
          </w:p>
        </w:tc>
        <w:tc>
          <w:tcPr>
            <w:tcW w:w="2880" w:type="dxa"/>
            <w:vAlign w:val="center"/>
          </w:tcPr>
          <w:p w14:paraId="6EE4AD0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主状态</w:t>
            </w:r>
          </w:p>
        </w:tc>
        <w:tc>
          <w:tcPr>
            <w:tcW w:w="5760" w:type="dxa"/>
            <w:vAlign w:val="center"/>
          </w:tcPr>
          <w:p w14:paraId="414AAFA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工程中用于调制阻尼</w:t>
            </w:r>
          </w:p>
        </w:tc>
      </w:tr>
      <w:tr w14:paraId="4174D3A0">
        <w:trPr>
          <w:jc w:val="center"/>
        </w:trPr>
        <w:tc>
          <w:tcPr>
            <w:tcW w:w="1152" w:type="dxa"/>
            <w:vAlign w:val="center"/>
          </w:tcPr>
          <w:p w14:paraId="2FA8760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y</w:t>
            </w:r>
          </w:p>
        </w:tc>
        <w:tc>
          <w:tcPr>
            <w:tcW w:w="2880" w:type="dxa"/>
            <w:vAlign w:val="center"/>
          </w:tcPr>
          <w:p w14:paraId="4EF758E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辅助状态</w:t>
            </w:r>
          </w:p>
        </w:tc>
        <w:tc>
          <w:tcPr>
            <w:tcW w:w="5760" w:type="dxa"/>
            <w:vAlign w:val="center"/>
          </w:tcPr>
          <w:p w14:paraId="64B41A3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与 x 共同形成二维周期运动</w:t>
            </w:r>
          </w:p>
        </w:tc>
      </w:tr>
    </w:tbl>
    <w:p w14:paraId="62B43AA5"/>
    <w:p w14:paraId="3DB33177">
      <w:pPr>
        <w:pStyle w:val="3"/>
      </w:pPr>
      <w:r>
        <w:t>4. 完整工程链路：Hopf 状态如何影响助行车</w:t>
      </w:r>
    </w:p>
    <w:p w14:paraId="7D1077B8">
      <w:r>
        <w:rPr>
          <w:rFonts w:ascii="微软雅黑" w:hAnsi="微软雅黑" w:eastAsia="微软雅黑"/>
          <w:b w:val="0"/>
        </w:rPr>
        <w:t>配合图讲</w:t>
      </w:r>
      <w:r>
        <w:rPr>
          <w:rFonts w:hint="eastAsia"/>
          <w:b w:val="0"/>
          <w:lang w:eastAsia="zh-CN"/>
        </w:rPr>
        <w:t>，</w:t>
      </w:r>
      <w:r>
        <w:rPr>
          <w:rFonts w:ascii="微软雅黑" w:hAnsi="微软雅黑" w:eastAsia="微软雅黑"/>
          <w:b w:val="0"/>
        </w:rPr>
        <w:t>不是“Hopf 直接控制电机”，而是“Hopf 调制导纳阻尼”。</w:t>
      </w:r>
    </w:p>
    <w:p w14:paraId="43CDCEBC">
      <w:pPr>
        <w:jc w:val="center"/>
      </w:pPr>
      <w:bookmarkStart w:id="0" w:name="_GoBack"/>
      <w:r>
        <w:drawing>
          <wp:inline distT="0" distB="0" distL="114300" distR="114300">
            <wp:extent cx="6035040" cy="4274820"/>
            <wp:effectExtent l="0" t="0" r="10160" b="177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49F5437">
      <w:r>
        <w:rPr>
          <w:rFonts w:ascii="微软雅黑" w:hAnsi="微软雅黑" w:eastAsia="微软雅黑"/>
          <w:b w:val="0"/>
        </w:rPr>
        <w:t>控制律拆开看如下：</w:t>
      </w:r>
    </w:p>
    <w:p w14:paraId="748F5CD9">
      <w:pPr>
        <w:spacing w:before="60" w:after="140"/>
        <w:jc w:val="center"/>
        <w:rPr>
          <w:rFonts w:hAnsi="DejaVu Math TeX Gyre" w:eastAsia="Cambria Math" w:cstheme="minorBidi"/>
          <w:i w:val="0"/>
          <w:color w:val="0B2545"/>
          <w:sz w:val="25"/>
          <w:szCs w:val="22"/>
          <w:lang w:val="en-US" w:bidi="ar-SA"/>
        </w:rPr>
      </w:pPr>
      <m:oMathPara>
        <m:oMath>
          <m:sSub>
            <m:sSubPr>
              <m:ctrlPr>
                <w:rPr>
                  <w:rFonts w:hint="default" w:ascii="DejaVu Math TeX Gyre" w:hAnsi="DejaVu Math TeX Gyre" w:eastAsia="Cambria Math"/>
                  <w:sz w:val="25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="Cambria Math"/>
                  <w:sz w:val="25"/>
                </w:rPr>
                <m:t>D</m:t>
              </m:r>
              <m:ctrlPr>
                <w:rPr>
                  <w:rFonts w:ascii="DejaVu Math TeX Gyre" w:hAnsi="DejaVu Math TeX Gyre" w:eastAsia="Cambria Math"/>
                  <w:sz w:val="25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="Cambria Math"/>
                  <w:sz w:val="25"/>
                </w:rPr>
                <m:t>current</m:t>
              </m:r>
              <m:ctrlPr>
                <w:rPr>
                  <w:rFonts w:ascii="DejaVu Math TeX Gyre" w:hAnsi="DejaVu Math TeX Gyre" w:eastAsia="Cambria Math"/>
                  <w:sz w:val="25"/>
                </w:rPr>
              </m:ctrlPr>
            </m:sub>
          </m:sSub>
          <m:r>
            <m:rPr/>
            <w:rPr>
              <w:rFonts w:hint="default" w:ascii="DejaVu Math TeX Gyre" w:hAnsi="DejaVu Math TeX Gyre" w:eastAsia="Cambria Math"/>
              <w:sz w:val="25"/>
            </w:rPr>
            <m:t>=</m:t>
          </m:r>
          <m:sSub>
            <m:sSubPr>
              <m:ctrlPr>
                <w:rPr>
                  <w:rFonts w:hint="default" w:ascii="DejaVu Math TeX Gyre" w:hAnsi="DejaVu Math TeX Gyre" w:eastAsia="Cambria Math"/>
                  <w:sz w:val="25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="Cambria Math"/>
                  <w:sz w:val="25"/>
                </w:rPr>
                <m:t>D</m:t>
              </m:r>
              <m:ctrlPr>
                <w:rPr>
                  <w:rFonts w:ascii="DejaVu Math TeX Gyre" w:hAnsi="DejaVu Math TeX Gyre" w:eastAsia="Cambria Math"/>
                  <w:sz w:val="25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="Cambria Math"/>
                  <w:sz w:val="25"/>
                </w:rPr>
                <m:t>base</m:t>
              </m:r>
              <m:ctrlPr>
                <w:rPr>
                  <w:rFonts w:ascii="DejaVu Math TeX Gyre" w:hAnsi="DejaVu Math TeX Gyre" w:eastAsia="Cambria Math"/>
                  <w:sz w:val="25"/>
                </w:rPr>
              </m:ctrlPr>
            </m:sub>
          </m:sSub>
          <m:r>
            <m:rPr/>
            <w:rPr>
              <w:rFonts w:hint="default" w:ascii="DejaVu Math TeX Gyre" w:hAnsi="DejaVu Math TeX Gyre" w:eastAsia="Cambria Math"/>
              <w:sz w:val="25"/>
            </w:rPr>
            <m:t>−λx</m:t>
          </m:r>
        </m:oMath>
      </m:oMathPara>
    </w:p>
    <w:p w14:paraId="60CDC46A">
      <w:pPr>
        <w:spacing w:before="60" w:after="140"/>
        <w:jc w:val="center"/>
        <w:rPr>
          <w:rFonts w:hAnsi="DejaVu Math TeX Gyre" w:eastAsia="Cambria Math" w:cstheme="minorBidi"/>
          <w:i w:val="0"/>
          <w:color w:val="0B2545"/>
          <w:sz w:val="25"/>
          <w:szCs w:val="22"/>
          <w:lang w:val="en-US" w:bidi="ar-SA"/>
        </w:rPr>
      </w:pPr>
      <m:oMathPara>
        <m:oMath>
          <m:sSub>
            <m:sSubPr>
              <m:ctrlPr>
                <w:rPr>
                  <w:rFonts w:hint="default" w:ascii="DejaVu Math TeX Gyre" w:hAnsi="DejaVu Math TeX Gyre" w:eastAsia="Cambria Math"/>
                  <w:sz w:val="25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="Cambria Math"/>
                  <w:sz w:val="25"/>
                </w:rPr>
                <m:t>a</m:t>
              </m:r>
              <m:ctrlPr>
                <w:rPr>
                  <w:rFonts w:ascii="DejaVu Math TeX Gyre" w:hAnsi="DejaVu Math TeX Gyre" w:eastAsia="Cambria Math"/>
                  <w:sz w:val="25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="Cambria Math"/>
                  <w:sz w:val="25"/>
                </w:rPr>
                <m:t>c</m:t>
              </m:r>
              <m:ctrlPr>
                <w:rPr>
                  <w:rFonts w:ascii="DejaVu Math TeX Gyre" w:hAnsi="DejaVu Math TeX Gyre" w:eastAsia="Cambria Math"/>
                  <w:sz w:val="25"/>
                </w:rPr>
              </m:ctrlPr>
            </m:sub>
          </m:sSub>
          <m:r>
            <m:rPr/>
            <w:rPr>
              <w:rFonts w:hint="default" w:ascii="DejaVu Math TeX Gyre" w:hAnsi="DejaVu Math TeX Gyre" w:eastAsia="Cambria Math"/>
              <w:sz w:val="25"/>
            </w:rPr>
            <m:t>=</m:t>
          </m:r>
          <m:f>
            <m:fPr>
              <m:ctrlPr>
                <w:rPr>
                  <w:rFonts w:hint="default" w:ascii="DejaVu Math TeX Gyre" w:hAnsi="DejaVu Math TeX Gyre" w:eastAsia="Cambria Math"/>
                  <w:sz w:val="25"/>
                </w:rPr>
              </m:ctrlPr>
            </m:fPr>
            <m:num>
              <m:sSub>
                <m:sSubPr>
                  <m:ctrlPr>
                    <w:rPr>
                      <w:rFonts w:hint="default" w:ascii="DejaVu Math TeX Gyre" w:hAnsi="DejaVu Math TeX Gyre" w:eastAsia="Cambria Math"/>
                      <w:sz w:val="25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Cambria Math"/>
                      <w:sz w:val="25"/>
                    </w:rPr>
                    <m:t>F</m:t>
                  </m:r>
                  <m:ctrlPr>
                    <w:rPr>
                      <w:rFonts w:ascii="DejaVu Math TeX Gyre" w:hAnsi="DejaVu Math TeX Gyre" w:eastAsia="Cambria Math"/>
                      <w:sz w:val="25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Cambria Math"/>
                      <w:sz w:val="25"/>
                    </w:rPr>
                    <m:t>ext</m:t>
                  </m:r>
                  <m:ctrlPr>
                    <w:rPr>
                      <w:rFonts w:ascii="DejaVu Math TeX Gyre" w:hAnsi="DejaVu Math TeX Gyre" w:eastAsia="Cambria Math"/>
                      <w:sz w:val="25"/>
                    </w:rPr>
                  </m:ctrlPr>
                </m:sub>
              </m:sSub>
              <m:r>
                <m:rPr/>
                <w:rPr>
                  <w:rFonts w:hint="default" w:ascii="DejaVu Math TeX Gyre" w:hAnsi="DejaVu Math TeX Gyre" w:eastAsia="Cambria Math"/>
                  <w:sz w:val="25"/>
                </w:rPr>
                <m:t>−</m:t>
              </m:r>
              <m:sSub>
                <m:sSubPr>
                  <m:ctrlPr>
                    <w:rPr>
                      <w:rFonts w:hint="default" w:ascii="DejaVu Math TeX Gyre" w:hAnsi="DejaVu Math TeX Gyre" w:eastAsia="Cambria Math"/>
                      <w:sz w:val="25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Cambria Math"/>
                      <w:sz w:val="25"/>
                    </w:rPr>
                    <m:t>D</m:t>
                  </m:r>
                  <m:ctrlPr>
                    <w:rPr>
                      <w:rFonts w:ascii="DejaVu Math TeX Gyre" w:hAnsi="DejaVu Math TeX Gyre" w:eastAsia="Cambria Math"/>
                      <w:sz w:val="25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Cambria Math"/>
                      <w:sz w:val="25"/>
                    </w:rPr>
                    <m:t>current</m:t>
                  </m:r>
                  <m:ctrlPr>
                    <w:rPr>
                      <w:rFonts w:ascii="DejaVu Math TeX Gyre" w:hAnsi="DejaVu Math TeX Gyre" w:eastAsia="Cambria Math"/>
                      <w:sz w:val="25"/>
                    </w:rPr>
                  </m:ctrlPr>
                </m:sub>
              </m:sSub>
              <m:sSub>
                <m:sSubPr>
                  <m:ctrlPr>
                    <w:rPr>
                      <w:rFonts w:hint="default" w:ascii="DejaVu Math TeX Gyre" w:hAnsi="DejaVu Math TeX Gyre" w:eastAsia="Cambria Math"/>
                      <w:sz w:val="25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Cambria Math"/>
                      <w:sz w:val="25"/>
                    </w:rPr>
                    <m:t>v</m:t>
                  </m:r>
                  <m:ctrlPr>
                    <w:rPr>
                      <w:rFonts w:ascii="DejaVu Math TeX Gyre" w:hAnsi="DejaVu Math TeX Gyre" w:eastAsia="Cambria Math"/>
                      <w:sz w:val="25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Cambria Math"/>
                      <w:sz w:val="25"/>
                    </w:rPr>
                    <m:t>c</m:t>
                  </m:r>
                  <m:ctrlPr>
                    <w:rPr>
                      <w:rFonts w:ascii="DejaVu Math TeX Gyre" w:hAnsi="DejaVu Math TeX Gyre" w:eastAsia="Cambria Math"/>
                      <w:sz w:val="25"/>
                    </w:rPr>
                  </m:ctrlPr>
                </m:sub>
              </m:sSub>
              <m:ctrlPr>
                <w:rPr>
                  <w:rFonts w:hint="default" w:ascii="DejaVu Math TeX Gyre" w:hAnsi="DejaVu Math TeX Gyre" w:eastAsia="Cambria Math"/>
                  <w:sz w:val="25"/>
                </w:rPr>
              </m:ctrlPr>
            </m:num>
            <m:den>
              <m:r>
                <m:rPr/>
                <w:rPr>
                  <w:rFonts w:hint="default" w:ascii="DejaVu Math TeX Gyre" w:hAnsi="DejaVu Math TeX Gyre" w:eastAsia="Cambria Math"/>
                  <w:sz w:val="25"/>
                </w:rPr>
                <m:t>M</m:t>
              </m:r>
              <m:ctrlPr>
                <w:rPr>
                  <w:rFonts w:hint="default" w:ascii="DejaVu Math TeX Gyre" w:hAnsi="DejaVu Math TeX Gyre" w:eastAsia="Cambria Math"/>
                  <w:sz w:val="25"/>
                </w:rPr>
              </m:ctrlPr>
            </m:den>
          </m:f>
        </m:oMath>
      </m:oMathPara>
    </w:p>
    <w:p w14:paraId="09F22E0E">
      <w:pPr>
        <w:spacing w:before="60" w:after="140"/>
        <w:jc w:val="center"/>
        <w:rPr>
          <w:rFonts w:hAnsi="DejaVu Math TeX Gyre" w:eastAsia="Cambria Math" w:cstheme="minorBidi"/>
          <w:i w:val="0"/>
          <w:color w:val="0B2545"/>
          <w:sz w:val="25"/>
          <w:szCs w:val="22"/>
          <w:lang w:val="en-US" w:bidi="ar-SA"/>
        </w:rPr>
      </w:pPr>
      <m:oMathPara>
        <m:oMath>
          <m:sSub>
            <m:sSubPr>
              <m:ctrlPr>
                <w:rPr>
                  <w:rFonts w:hint="default" w:ascii="DejaVu Math TeX Gyre" w:hAnsi="DejaVu Math TeX Gyre" w:eastAsia="Cambria Math"/>
                  <w:sz w:val="25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="Cambria Math"/>
                  <w:sz w:val="25"/>
                </w:rPr>
                <m:t>v</m:t>
              </m:r>
              <m:ctrlPr>
                <w:rPr>
                  <w:rFonts w:ascii="DejaVu Math TeX Gyre" w:hAnsi="DejaVu Math TeX Gyre" w:eastAsia="Cambria Math"/>
                  <w:sz w:val="25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="Cambria Math"/>
                  <w:sz w:val="25"/>
                </w:rPr>
                <m:t>c</m:t>
              </m:r>
              <m:ctrlPr>
                <w:rPr>
                  <w:rFonts w:ascii="DejaVu Math TeX Gyre" w:hAnsi="DejaVu Math TeX Gyre" w:eastAsia="Cambria Math"/>
                  <w:sz w:val="25"/>
                </w:rPr>
              </m:ctrlPr>
            </m:sub>
          </m:sSub>
          <m:r>
            <m:rPr/>
            <w:rPr>
              <w:rFonts w:hint="default" w:ascii="DejaVu Math TeX Gyre" w:hAnsi="DejaVu Math TeX Gyre" w:eastAsia="Cambria Math"/>
              <w:sz w:val="25"/>
            </w:rPr>
            <m:t>(k+1)=</m:t>
          </m:r>
          <m:sSub>
            <m:sSubPr>
              <m:ctrlPr>
                <w:rPr>
                  <w:rFonts w:hint="default" w:ascii="DejaVu Math TeX Gyre" w:hAnsi="DejaVu Math TeX Gyre" w:eastAsia="Cambria Math"/>
                  <w:sz w:val="25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="Cambria Math"/>
                  <w:sz w:val="25"/>
                </w:rPr>
                <m:t>v</m:t>
              </m:r>
              <m:ctrlPr>
                <w:rPr>
                  <w:rFonts w:ascii="DejaVu Math TeX Gyre" w:hAnsi="DejaVu Math TeX Gyre" w:eastAsia="Cambria Math"/>
                  <w:sz w:val="25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="Cambria Math"/>
                  <w:sz w:val="25"/>
                </w:rPr>
                <m:t>c</m:t>
              </m:r>
              <m:ctrlPr>
                <w:rPr>
                  <w:rFonts w:ascii="DejaVu Math TeX Gyre" w:hAnsi="DejaVu Math TeX Gyre" w:eastAsia="Cambria Math"/>
                  <w:sz w:val="25"/>
                </w:rPr>
              </m:ctrlPr>
            </m:sub>
          </m:sSub>
          <m:r>
            <m:rPr/>
            <w:rPr>
              <w:rFonts w:hint="default" w:ascii="DejaVu Math TeX Gyre" w:hAnsi="DejaVu Math TeX Gyre" w:eastAsia="Cambria Math"/>
              <w:sz w:val="25"/>
            </w:rPr>
            <m:t>(k)+</m:t>
          </m:r>
          <m:sSub>
            <m:sSubPr>
              <m:ctrlPr>
                <w:rPr>
                  <w:rFonts w:hint="default" w:ascii="DejaVu Math TeX Gyre" w:hAnsi="DejaVu Math TeX Gyre" w:eastAsia="Cambria Math"/>
                  <w:sz w:val="25"/>
                </w:rPr>
              </m:ctrlPr>
            </m:sSubPr>
            <m:e>
              <m:r>
                <m:rPr/>
                <w:rPr>
                  <w:rFonts w:hint="default" w:ascii="DejaVu Math TeX Gyre" w:hAnsi="DejaVu Math TeX Gyre" w:eastAsia="Cambria Math"/>
                  <w:sz w:val="25"/>
                </w:rPr>
                <m:t>a</m:t>
              </m:r>
              <m:ctrlPr>
                <w:rPr>
                  <w:rFonts w:ascii="DejaVu Math TeX Gyre" w:hAnsi="DejaVu Math TeX Gyre" w:eastAsia="Cambria Math"/>
                  <w:sz w:val="25"/>
                </w:rPr>
              </m:ctrlPr>
            </m:e>
            <m:sub>
              <m:r>
                <m:rPr/>
                <w:rPr>
                  <w:rFonts w:hint="default" w:ascii="DejaVu Math TeX Gyre" w:hAnsi="DejaVu Math TeX Gyre" w:eastAsia="Cambria Math"/>
                  <w:sz w:val="25"/>
                </w:rPr>
                <m:t>c</m:t>
              </m:r>
              <m:ctrlPr>
                <w:rPr>
                  <w:rFonts w:ascii="DejaVu Math TeX Gyre" w:hAnsi="DejaVu Math TeX Gyre" w:eastAsia="Cambria Math"/>
                  <w:sz w:val="25"/>
                </w:rPr>
              </m:ctrlPr>
            </m:sub>
          </m:sSub>
          <m:r>
            <m:rPr/>
            <w:rPr>
              <w:rFonts w:hint="default" w:ascii="DejaVu Math TeX Gyre" w:hAnsi="DejaVu Math TeX Gyre" w:eastAsia="Cambria Math"/>
              <w:sz w:val="25"/>
            </w:rPr>
            <m:t>Δt</m:t>
          </m:r>
        </m:oMath>
      </m:oMathPara>
    </w:p>
    <w:p w14:paraId="307B9AD9">
      <w:pPr>
        <w:spacing w:before="60" w:after="140"/>
        <w:jc w:val="center"/>
        <w:rPr>
          <w:rFonts w:hAnsi="DejaVu Math TeX Gyre" w:eastAsia="Cambria Math" w:cstheme="minorBidi"/>
          <w:i w:val="0"/>
          <w:color w:val="0B2545"/>
          <w:sz w:val="25"/>
          <w:szCs w:val="22"/>
          <w:lang w:val="en-US" w:bidi="ar-SA"/>
        </w:rPr>
      </w:pPr>
    </w:p>
    <w:p w14:paraId="543D94A5">
      <w:r>
        <w:rPr>
          <w:rFonts w:ascii="微软雅黑" w:hAnsi="微软雅黑" w:eastAsia="微软雅黑"/>
          <w:b w:val="0"/>
        </w:rPr>
        <w:t>解释方式：x 是 Hopf 振荡器的节律状态；当 x 变化时，D_current 也周期性变化。阻尼变化后，同样的用户推力 F_ext 会得到不同的加速度响应，所以助行车的“顺从程度”变成动态的。</w:t>
      </w:r>
    </w:p>
    <w:p w14:paraId="7E77F70F">
      <w:pPr>
        <w:pStyle w:val="3"/>
      </w:pPr>
      <w:r>
        <w:t>5. 代码实现：从公式到工程文件</w:t>
      </w:r>
    </w:p>
    <w:p w14:paraId="5478318B">
      <w:r>
        <w:rPr>
          <w:rFonts w:ascii="微软雅黑" w:hAnsi="微软雅黑" w:eastAsia="微软雅黑"/>
          <w:b w:val="0"/>
        </w:rPr>
        <w:t>工程新增/修改的核心文件：</w:t>
      </w:r>
    </w:p>
    <w:p w14:paraId="72FDEB71">
      <w:pPr>
        <w:pStyle w:val="16"/>
      </w:pPr>
      <w:r>
        <w:rPr>
          <w:rFonts w:ascii="微软雅黑" w:hAnsi="微软雅黑" w:eastAsia="微软雅黑"/>
        </w:rPr>
        <w:t>MDK-ARM/cpg_control.h：定义 CPG_Handle_t、CPG_Init、CPG_Step、CPG_Update_Frequency。</w:t>
      </w:r>
    </w:p>
    <w:p w14:paraId="4C96AB75">
      <w:pPr>
        <w:pStyle w:val="16"/>
      </w:pPr>
      <w:r>
        <w:rPr>
          <w:rFonts w:ascii="微软雅黑" w:hAnsi="微软雅黑" w:eastAsia="微软雅黑"/>
        </w:rPr>
        <w:t>MDK-ARM/cpg_control.c：实现 Hopf 方程、动态阻尼、导纳积分和防发散限幅。</w:t>
      </w:r>
    </w:p>
    <w:p w14:paraId="3053D49A">
      <w:pPr>
        <w:pStyle w:val="16"/>
      </w:pPr>
      <w:r>
        <w:rPr>
          <w:rFonts w:ascii="微软雅黑" w:hAnsi="微软雅黑" w:eastAsia="微软雅黑"/>
        </w:rPr>
        <w:t>MDK-ARM/Controller.c：调用 CPG_Step，将 v_cmd 换算成 rpm。</w:t>
      </w:r>
    </w:p>
    <w:p w14:paraId="1D623A62">
      <w:pPr>
        <w:pStyle w:val="16"/>
      </w:pPr>
      <w:r>
        <w:rPr>
          <w:rFonts w:ascii="微软雅黑" w:hAnsi="微软雅黑" w:eastAsia="微软雅黑"/>
        </w:rPr>
        <w:t>Core/Src/freertos.c：控制任务 1 ms 周期运行，电机任务通过 CAN 下发左右轮速度。</w:t>
      </w:r>
    </w:p>
    <w:p w14:paraId="491E7F23">
      <w:r>
        <w:rPr>
          <w:rFonts w:ascii="微软雅黑" w:hAnsi="微软雅黑" w:eastAsia="微软雅黑"/>
          <w:b/>
        </w:rPr>
        <w:t>核心代码可以重点讲这一段：</w:t>
      </w:r>
    </w:p>
    <w:p w14:paraId="5A69D4E5">
      <w:pPr>
        <w:spacing w:after="0"/>
        <w:ind w:left="360"/>
      </w:pPr>
      <w:r>
        <w:rPr>
          <w:rFonts w:ascii="Consolas" w:hAnsi="Consolas" w:eastAsia="Consolas"/>
          <w:color w:val="1F2937"/>
          <w:sz w:val="17"/>
        </w:rPr>
        <w:t>r2 = hcpg-&gt;x * hcpg-&gt;x + hcpg-&gt;y * hcpg-&gt;y;</w:t>
      </w:r>
    </w:p>
    <w:p w14:paraId="4B5262B5">
      <w:pPr>
        <w:spacing w:after="0"/>
        <w:ind w:left="360"/>
      </w:pPr>
      <w:r>
        <w:rPr>
          <w:rFonts w:ascii="Consolas" w:hAnsi="Consolas" w:eastAsia="Consolas"/>
          <w:color w:val="1F2937"/>
          <w:sz w:val="17"/>
        </w:rPr>
        <w:t>dx = hcpg-&gt;alpha * (hcpg-&gt;mu - r2) * hcpg-&gt;x</w:t>
      </w:r>
    </w:p>
    <w:p w14:paraId="3DA9EE39">
      <w:pPr>
        <w:spacing w:after="0"/>
        <w:ind w:left="360"/>
      </w:pPr>
      <w:r>
        <w:rPr>
          <w:rFonts w:ascii="Consolas" w:hAnsi="Consolas" w:eastAsia="Consolas"/>
          <w:color w:val="1F2937"/>
          <w:sz w:val="17"/>
        </w:rPr>
        <w:t xml:space="preserve">   - hcpg-&gt;omega * hcpg-&gt;y</w:t>
      </w:r>
    </w:p>
    <w:p w14:paraId="1A070B60">
      <w:pPr>
        <w:spacing w:after="0"/>
        <w:ind w:left="360"/>
      </w:pPr>
      <w:r>
        <w:rPr>
          <w:rFonts w:ascii="Consolas" w:hAnsi="Consolas" w:eastAsia="Consolas"/>
          <w:color w:val="1F2937"/>
          <w:sz w:val="17"/>
        </w:rPr>
        <w:t xml:space="preserve">   + hcpg-&gt;epsilon * F_ext;</w:t>
      </w:r>
    </w:p>
    <w:p w14:paraId="75674CB9">
      <w:pPr>
        <w:spacing w:after="0"/>
        <w:ind w:left="360"/>
      </w:pPr>
      <w:r>
        <w:rPr>
          <w:rFonts w:ascii="Consolas" w:hAnsi="Consolas" w:eastAsia="Consolas"/>
          <w:color w:val="1F2937"/>
          <w:sz w:val="17"/>
        </w:rPr>
        <w:t>dy = hcpg-&gt;alpha * (hcpg-&gt;mu - r2) * hcpg-&gt;y</w:t>
      </w:r>
    </w:p>
    <w:p w14:paraId="1954C015">
      <w:pPr>
        <w:spacing w:after="0"/>
        <w:ind w:left="360"/>
      </w:pPr>
      <w:r>
        <w:rPr>
          <w:rFonts w:ascii="Consolas" w:hAnsi="Consolas" w:eastAsia="Consolas"/>
          <w:color w:val="1F2937"/>
          <w:sz w:val="17"/>
        </w:rPr>
        <w:t xml:space="preserve">   + hcpg-&gt;omega * hcpg-&gt;x;</w:t>
      </w:r>
    </w:p>
    <w:p w14:paraId="5F0B5611">
      <w:pPr>
        <w:spacing w:after="0"/>
        <w:ind w:left="360"/>
      </w:pPr>
      <w:r>
        <w:rPr>
          <w:rFonts w:ascii="Consolas" w:hAnsi="Consolas" w:eastAsia="Consolas"/>
          <w:color w:val="1F2937"/>
          <w:sz w:val="17"/>
        </w:rPr>
        <w:t>hcpg-&gt;x += dx * dt;</w:t>
      </w:r>
    </w:p>
    <w:p w14:paraId="400CE26F">
      <w:pPr>
        <w:spacing w:after="0"/>
        <w:ind w:left="360"/>
      </w:pPr>
      <w:r>
        <w:rPr>
          <w:rFonts w:ascii="Consolas" w:hAnsi="Consolas" w:eastAsia="Consolas"/>
          <w:color w:val="1F2937"/>
          <w:sz w:val="17"/>
        </w:rPr>
        <w:t>hcpg-&gt;y += dy * dt;</w:t>
      </w:r>
    </w:p>
    <w:p w14:paraId="5822A621">
      <w:r>
        <w:rPr>
          <w:rFonts w:ascii="微软雅黑" w:hAnsi="微软雅黑" w:eastAsia="微软雅黑"/>
          <w:b w:val="0"/>
        </w:rPr>
        <w:t>然后说明：这几行完整对应 Hopf 方程；额外的 εF_ext 是外力反馈扩展。</w:t>
      </w:r>
    </w:p>
    <w:p w14:paraId="676149AE">
      <w:r>
        <w:rPr>
          <w:rFonts w:ascii="微软雅黑" w:hAnsi="微软雅黑" w:eastAsia="微软雅黑"/>
          <w:b/>
        </w:rPr>
        <w:t>导纳与速度输出代码：</w:t>
      </w:r>
    </w:p>
    <w:p w14:paraId="0058FA6A">
      <w:pPr>
        <w:spacing w:after="0"/>
        <w:ind w:left="360"/>
      </w:pPr>
      <w:r>
        <w:rPr>
          <w:rFonts w:ascii="Consolas" w:hAnsi="Consolas" w:eastAsia="Consolas"/>
          <w:color w:val="1F2937"/>
          <w:sz w:val="17"/>
        </w:rPr>
        <w:t>D_current = hcpg-&gt;D_base - hcpg-&gt;lambda * hcpg-&gt;x;</w:t>
      </w:r>
    </w:p>
    <w:p w14:paraId="5E3D3B06">
      <w:pPr>
        <w:spacing w:after="0"/>
        <w:ind w:left="360"/>
      </w:pPr>
      <w:r>
        <w:rPr>
          <w:rFonts w:ascii="Consolas" w:hAnsi="Consolas" w:eastAsia="Consolas"/>
          <w:color w:val="1F2937"/>
          <w:sz w:val="17"/>
        </w:rPr>
        <w:t>D_current = CPG_ClampFinite(D_current, CPG_D_MIN, CPG_D_MAX, hcpg-&gt;D_base);</w:t>
      </w:r>
    </w:p>
    <w:p w14:paraId="6FF53809">
      <w:pPr>
        <w:spacing w:after="0"/>
        <w:ind w:left="360"/>
      </w:pPr>
      <w:r>
        <w:rPr>
          <w:rFonts w:ascii="Consolas" w:hAnsi="Consolas" w:eastAsia="Consolas"/>
          <w:color w:val="1F2937"/>
          <w:sz w:val="17"/>
        </w:rPr>
        <w:t>a_c = (F_ext - D_current * hcpg-&gt;v_c) / hcpg-&gt;M;</w:t>
      </w:r>
    </w:p>
    <w:p w14:paraId="0DCF0D4B">
      <w:pPr>
        <w:spacing w:after="0"/>
        <w:ind w:left="360"/>
      </w:pPr>
      <w:r>
        <w:rPr>
          <w:rFonts w:ascii="Consolas" w:hAnsi="Consolas" w:eastAsia="Consolas"/>
          <w:color w:val="1F2937"/>
          <w:sz w:val="17"/>
        </w:rPr>
        <w:t>hcpg-&gt;v_c += a_c * dt;</w:t>
      </w:r>
    </w:p>
    <w:p w14:paraId="2D3FA5D8">
      <w:pPr>
        <w:spacing w:after="0"/>
        <w:ind w:left="360"/>
      </w:pPr>
      <w:r>
        <w:rPr>
          <w:rFonts w:ascii="Consolas" w:hAnsi="Consolas" w:eastAsia="Consolas"/>
          <w:color w:val="1F2937"/>
          <w:sz w:val="17"/>
        </w:rPr>
        <w:t>hcpg-&gt;v_c = CPG_ClampFinite(hcpg-&gt;v_c, CPG_V_MIN, CPG_V_MAX, CPG_DEFAULT_V_C);</w:t>
      </w:r>
    </w:p>
    <w:p w14:paraId="453034A5">
      <w:pPr>
        <w:pStyle w:val="3"/>
      </w:pPr>
      <w:r>
        <w:t>6. 前端动态演示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64"/>
      </w:tblGrid>
      <w:tr w14:paraId="2EAE2765">
        <w:trPr>
          <w:jc w:val="center"/>
        </w:trPr>
        <w:tc>
          <w:tcPr>
            <w:tcW w:w="9764" w:type="dxa"/>
            <w:shd w:val="clear" w:color="auto" w:fill="EFF6FF"/>
          </w:tcPr>
          <w:p w14:paraId="49D44D31">
            <w:pPr>
              <w:spacing w:after="80"/>
            </w:pPr>
            <w:r>
              <w:rPr>
                <w:rFonts w:ascii="微软雅黑" w:hAnsi="微软雅黑" w:eastAsia="微软雅黑"/>
                <w:b/>
                <w:color w:val="2563B8"/>
                <w:sz w:val="22"/>
              </w:rPr>
              <w:t>演示文件</w:t>
            </w:r>
          </w:p>
          <w:p w14:paraId="791D41A5">
            <w:pPr>
              <w:spacing w:after="0"/>
            </w:pPr>
            <w:r>
              <w:rPr>
                <w:rFonts w:ascii="微软雅黑" w:hAnsi="微软雅黑" w:eastAsia="微软雅黑"/>
                <w:color w:val="0B2545"/>
                <w:sz w:val="20"/>
              </w:rPr>
              <w:t>/Users/neil/项目/SmartRollator/SmartRollator/hopf_cpg_interactive_demo.html</w:t>
            </w:r>
          </w:p>
        </w:tc>
      </w:tr>
    </w:tbl>
    <w:p w14:paraId="3AA5C427"/>
    <w:p w14:paraId="4317289C"/>
    <w:p w14:paraId="45128C4B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2232"/>
        <w:gridCol w:w="6912"/>
      </w:tblGrid>
      <w:tr w14:paraId="4D6EB6DB">
        <w:trPr>
          <w:jc w:val="center"/>
        </w:trPr>
        <w:tc>
          <w:tcPr>
            <w:tcW w:w="792" w:type="dxa"/>
            <w:shd w:val="clear" w:color="auto" w:fill="E8EEF5"/>
            <w:vAlign w:val="center"/>
          </w:tcPr>
          <w:p w14:paraId="032C6D14">
            <w:pPr>
              <w:spacing w:after="0"/>
              <w:rPr>
                <w:rFonts w:ascii="微软雅黑" w:hAnsi="微软雅黑" w:eastAsia="微软雅黑"/>
                <w:b/>
                <w:color w:val="0B2545"/>
                <w:sz w:val="18"/>
              </w:rPr>
            </w:pPr>
          </w:p>
          <w:p w14:paraId="011A682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步骤</w:t>
            </w:r>
          </w:p>
        </w:tc>
        <w:tc>
          <w:tcPr>
            <w:tcW w:w="2232" w:type="dxa"/>
            <w:shd w:val="clear" w:color="auto" w:fill="E8EEF5"/>
            <w:vAlign w:val="center"/>
          </w:tcPr>
          <w:p w14:paraId="76558207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操作</w:t>
            </w:r>
          </w:p>
        </w:tc>
        <w:tc>
          <w:tcPr>
            <w:tcW w:w="6912" w:type="dxa"/>
            <w:shd w:val="clear" w:color="auto" w:fill="E8EEF5"/>
            <w:vAlign w:val="center"/>
          </w:tcPr>
          <w:p w14:paraId="1F27D45C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讲解点</w:t>
            </w:r>
          </w:p>
        </w:tc>
      </w:tr>
      <w:tr w14:paraId="0107A484">
        <w:trPr>
          <w:jc w:val="center"/>
        </w:trPr>
        <w:tc>
          <w:tcPr>
            <w:tcW w:w="792" w:type="dxa"/>
            <w:vAlign w:val="center"/>
          </w:tcPr>
          <w:p w14:paraId="2CD0B54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1</w:t>
            </w:r>
          </w:p>
        </w:tc>
        <w:tc>
          <w:tcPr>
            <w:tcW w:w="2232" w:type="dxa"/>
            <w:vAlign w:val="center"/>
          </w:tcPr>
          <w:p w14:paraId="65EAE2C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先看左侧相平面</w:t>
            </w:r>
          </w:p>
        </w:tc>
        <w:tc>
          <w:tcPr>
            <w:tcW w:w="6912" w:type="dxa"/>
            <w:vAlign w:val="center"/>
          </w:tcPr>
          <w:p w14:paraId="4BD19AD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指出蓝色虚线圆是 √μ 极限环，红点是当前 x/y 状态，绿色轨迹显示收敛过程。</w:t>
            </w:r>
          </w:p>
        </w:tc>
      </w:tr>
      <w:tr w14:paraId="014ED094">
        <w:trPr>
          <w:jc w:val="center"/>
        </w:trPr>
        <w:tc>
          <w:tcPr>
            <w:tcW w:w="792" w:type="dxa"/>
            <w:vAlign w:val="center"/>
          </w:tcPr>
          <w:p w14:paraId="3036CD4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2</w:t>
            </w:r>
          </w:p>
        </w:tc>
        <w:tc>
          <w:tcPr>
            <w:tcW w:w="2232" w:type="dxa"/>
            <w:vAlign w:val="center"/>
          </w:tcPr>
          <w:p w14:paraId="154C808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调 μ</w:t>
            </w:r>
          </w:p>
        </w:tc>
        <w:tc>
          <w:tcPr>
            <w:tcW w:w="6912" w:type="dxa"/>
            <w:vAlign w:val="center"/>
          </w:tcPr>
          <w:p w14:paraId="171AF17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观察极限环半径变大/变小，说明 μ 控制振幅。</w:t>
            </w:r>
          </w:p>
        </w:tc>
      </w:tr>
      <w:tr w14:paraId="7EC7A170">
        <w:trPr>
          <w:jc w:val="center"/>
        </w:trPr>
        <w:tc>
          <w:tcPr>
            <w:tcW w:w="792" w:type="dxa"/>
            <w:vAlign w:val="center"/>
          </w:tcPr>
          <w:p w14:paraId="658793E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3</w:t>
            </w:r>
          </w:p>
        </w:tc>
        <w:tc>
          <w:tcPr>
            <w:tcW w:w="2232" w:type="dxa"/>
            <w:vAlign w:val="center"/>
          </w:tcPr>
          <w:p w14:paraId="2DCCFC7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调步频 f</w:t>
            </w:r>
          </w:p>
        </w:tc>
        <w:tc>
          <w:tcPr>
            <w:tcW w:w="6912" w:type="dxa"/>
            <w:vAlign w:val="center"/>
          </w:tcPr>
          <w:p w14:paraId="509F479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观察红点绕圈速度变化，说明 ω=2πf 控制节律频率。</w:t>
            </w:r>
          </w:p>
        </w:tc>
      </w:tr>
      <w:tr w14:paraId="41EA75D9">
        <w:trPr>
          <w:jc w:val="center"/>
        </w:trPr>
        <w:tc>
          <w:tcPr>
            <w:tcW w:w="792" w:type="dxa"/>
            <w:vAlign w:val="center"/>
          </w:tcPr>
          <w:p w14:paraId="5099753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4</w:t>
            </w:r>
          </w:p>
        </w:tc>
        <w:tc>
          <w:tcPr>
            <w:tcW w:w="2232" w:type="dxa"/>
            <w:vAlign w:val="center"/>
          </w:tcPr>
          <w:p w14:paraId="6840A4C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调 ε 和手推力</w:t>
            </w:r>
          </w:p>
        </w:tc>
        <w:tc>
          <w:tcPr>
            <w:tcW w:w="6912" w:type="dxa"/>
            <w:vAlign w:val="center"/>
          </w:tcPr>
          <w:p w14:paraId="08782C3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观察外力如何影响 x/y 状态，同时不破坏极限环。</w:t>
            </w:r>
          </w:p>
        </w:tc>
      </w:tr>
      <w:tr w14:paraId="602F82B4">
        <w:trPr>
          <w:jc w:val="center"/>
        </w:trPr>
        <w:tc>
          <w:tcPr>
            <w:tcW w:w="792" w:type="dxa"/>
            <w:vAlign w:val="center"/>
          </w:tcPr>
          <w:p w14:paraId="5CFF379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5</w:t>
            </w:r>
          </w:p>
        </w:tc>
        <w:tc>
          <w:tcPr>
            <w:tcW w:w="2232" w:type="dxa"/>
            <w:vAlign w:val="center"/>
          </w:tcPr>
          <w:p w14:paraId="3D8FEF3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调 λ</w:t>
            </w:r>
          </w:p>
        </w:tc>
        <w:tc>
          <w:tcPr>
            <w:tcW w:w="6912" w:type="dxa"/>
            <w:vAlign w:val="center"/>
          </w:tcPr>
          <w:p w14:paraId="3C91C6D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观察 D_current 波动变强/变弱，说明 x 如何调制阻尼。</w:t>
            </w:r>
          </w:p>
        </w:tc>
      </w:tr>
      <w:tr w14:paraId="295051AA">
        <w:trPr>
          <w:jc w:val="center"/>
        </w:trPr>
        <w:tc>
          <w:tcPr>
            <w:tcW w:w="792" w:type="dxa"/>
            <w:vAlign w:val="center"/>
          </w:tcPr>
          <w:p w14:paraId="63ACB06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6</w:t>
            </w:r>
          </w:p>
        </w:tc>
        <w:tc>
          <w:tcPr>
            <w:tcW w:w="2232" w:type="dxa"/>
            <w:vAlign w:val="center"/>
          </w:tcPr>
          <w:p w14:paraId="0ECC654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看 v_cmd 与 rpm</w:t>
            </w:r>
          </w:p>
        </w:tc>
        <w:tc>
          <w:tcPr>
            <w:tcW w:w="6912" w:type="dxa"/>
            <w:vAlign w:val="center"/>
          </w:tcPr>
          <w:p w14:paraId="1666D2B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说明导纳模型把力和动态阻尼转换成车体速度，再换算成电机 rpm。</w:t>
            </w:r>
          </w:p>
        </w:tc>
      </w:tr>
    </w:tbl>
    <w:p w14:paraId="3AC83992"/>
    <w:p w14:paraId="1FBD44D6">
      <w:r>
        <w:rPr>
          <w:rFonts w:ascii="微软雅黑" w:hAnsi="微软雅黑" w:eastAsia="微软雅黑"/>
          <w:b w:val="0"/>
        </w:rPr>
        <w:t>注意：前端页面中为了演示动态响应，力输入包含周期分量，因此可能出现速度为负的动画。实际助行车如果不允许倒车，应把 CPG_V_MIN 从 -0.5 改为 0.0。</w:t>
      </w:r>
    </w:p>
    <w:p w14:paraId="1740C533">
      <w:pPr>
        <w:pStyle w:val="3"/>
        <w:rPr>
          <w:rFonts w:hint="eastAsia" w:eastAsiaTheme="majorEastAsia"/>
          <w:lang w:eastAsia="zh-CN"/>
        </w:rPr>
      </w:pPr>
      <w:r>
        <w:t xml:space="preserve">7. </w:t>
      </w:r>
      <w:r>
        <w:rPr>
          <w:rFonts w:hint="eastAsia"/>
          <w:lang w:val="en-US" w:eastAsia="zh-CN"/>
        </w:rPr>
        <w:t>QA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64"/>
      </w:tblGrid>
      <w:tr w14:paraId="1934E178">
        <w:trPr>
          <w:jc w:val="center"/>
        </w:trPr>
        <w:tc>
          <w:tcPr>
            <w:tcW w:w="9764" w:type="dxa"/>
            <w:shd w:val="clear" w:color="auto" w:fill="F8FAFC"/>
          </w:tcPr>
          <w:p w14:paraId="048DEF65">
            <w:pPr>
              <w:spacing w:after="80"/>
            </w:pPr>
            <w:r>
              <w:rPr>
                <w:rFonts w:ascii="微软雅黑" w:hAnsi="微软雅黑" w:eastAsia="微软雅黑"/>
                <w:b/>
                <w:color w:val="0B2545"/>
                <w:sz w:val="22"/>
              </w:rPr>
              <w:t>Q1：为什么左右轮代码里一个 rpm 是正，一个是负？</w:t>
            </w:r>
          </w:p>
          <w:p w14:paraId="574685FD">
            <w:pPr>
              <w:spacing w:after="0"/>
            </w:pPr>
            <w:r>
              <w:rPr>
                <w:rFonts w:ascii="微软雅黑" w:hAnsi="微软雅黑" w:eastAsia="微软雅黑"/>
                <w:color w:val="0B2545"/>
                <w:sz w:val="20"/>
              </w:rPr>
              <w:t>这是左右电机安装方向的补偿，不代表物理上一个轮子前进、一个轮子后退。两个轮子的命令来自同一个 wheel_rpm，幅值严格一致，右轮取负是为了让物理滚动方向一致。</w:t>
            </w:r>
          </w:p>
        </w:tc>
      </w:tr>
    </w:tbl>
    <w:p w14:paraId="1A96C05D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64"/>
      </w:tblGrid>
      <w:tr w14:paraId="7E4F02AF">
        <w:trPr>
          <w:jc w:val="center"/>
        </w:trPr>
        <w:tc>
          <w:tcPr>
            <w:tcW w:w="9764" w:type="dxa"/>
            <w:shd w:val="clear" w:color="auto" w:fill="F8FAFC"/>
          </w:tcPr>
          <w:p w14:paraId="5D406384">
            <w:pPr>
              <w:spacing w:after="80"/>
            </w:pPr>
            <w:r>
              <w:rPr>
                <w:rFonts w:ascii="微软雅黑" w:hAnsi="微软雅黑" w:eastAsia="微软雅黑"/>
                <w:b/>
                <w:color w:val="0B2545"/>
                <w:sz w:val="22"/>
              </w:rPr>
              <w:t>Q2：这是不是完整 CPG 网络？</w:t>
            </w:r>
          </w:p>
          <w:p w14:paraId="2602DBBF">
            <w:pPr>
              <w:spacing w:after="0"/>
            </w:pPr>
            <w:r>
              <w:rPr>
                <w:rFonts w:ascii="微软雅黑" w:hAnsi="微软雅黑" w:eastAsia="微软雅黑"/>
                <w:color w:val="0B2545"/>
                <w:sz w:val="20"/>
              </w:rPr>
              <w:t>当前不是多关节/多振荡器 CPG 网络，而是单 Hopf 振荡器作为节律源。对助行车而言，目标不是生成腿部步态，而是根据人的力输入和步频调制导纳参数。</w:t>
            </w:r>
          </w:p>
        </w:tc>
      </w:tr>
    </w:tbl>
    <w:p w14:paraId="15065A4B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64"/>
      </w:tblGrid>
      <w:tr w14:paraId="0FBC1CE6">
        <w:trPr>
          <w:jc w:val="center"/>
        </w:trPr>
        <w:tc>
          <w:tcPr>
            <w:tcW w:w="9764" w:type="dxa"/>
            <w:shd w:val="clear" w:color="auto" w:fill="F8FAFC"/>
          </w:tcPr>
          <w:p w14:paraId="5082D53E">
            <w:pPr>
              <w:spacing w:after="80"/>
            </w:pPr>
            <w:r>
              <w:rPr>
                <w:rFonts w:ascii="微软雅黑" w:hAnsi="微软雅黑" w:eastAsia="微软雅黑"/>
                <w:b/>
                <w:color w:val="0B2545"/>
                <w:sz w:val="22"/>
              </w:rPr>
              <w:t>Q3：为什么要把 Hopf 和导纳控制结合？</w:t>
            </w:r>
          </w:p>
          <w:p w14:paraId="62AFE57F">
            <w:pPr>
              <w:spacing w:after="0"/>
            </w:pPr>
            <w:r>
              <w:rPr>
                <w:rFonts w:ascii="微软雅黑" w:hAnsi="微软雅黑" w:eastAsia="微软雅黑"/>
                <w:color w:val="0B2545"/>
                <w:sz w:val="20"/>
              </w:rPr>
              <w:t>导纳控制负责安全地把人机交互力转换成速度，Hopf 负责提供稳定节律。两者结合后，助行车既能顺从人推力，又能体现步态周期。</w:t>
            </w:r>
          </w:p>
        </w:tc>
      </w:tr>
    </w:tbl>
    <w:p w14:paraId="5DECBC96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64"/>
      </w:tblGrid>
      <w:tr w14:paraId="7405D0F6">
        <w:trPr>
          <w:jc w:val="center"/>
        </w:trPr>
        <w:tc>
          <w:tcPr>
            <w:tcW w:w="9764" w:type="dxa"/>
            <w:shd w:val="clear" w:color="auto" w:fill="F8FAFC"/>
          </w:tcPr>
          <w:p w14:paraId="4B2FD9D3">
            <w:pPr>
              <w:spacing w:after="80"/>
            </w:pPr>
            <w:r>
              <w:rPr>
                <w:rFonts w:ascii="微软雅黑" w:hAnsi="微软雅黑" w:eastAsia="微软雅黑"/>
                <w:b/>
                <w:color w:val="0B2545"/>
                <w:sz w:val="22"/>
              </w:rPr>
              <w:t>Q4：为什么外力只加在 x_dot 里？</w:t>
            </w:r>
          </w:p>
          <w:p w14:paraId="30D6B5C4">
            <w:pPr>
              <w:spacing w:after="0"/>
            </w:pPr>
            <w:r>
              <w:rPr>
                <w:rFonts w:ascii="微软雅黑" w:hAnsi="微软雅黑" w:eastAsia="微软雅黑"/>
                <w:color w:val="0B2545"/>
                <w:sz w:val="20"/>
              </w:rPr>
              <w:t>这是受迫 Hopf 的一种简化反馈形式。x 是后续用于调制阻尼的主状态，所以把 F_ext 作为 x 通道耦合输入，便于把人手意图映射到阻尼变化。</w:t>
            </w:r>
          </w:p>
        </w:tc>
      </w:tr>
    </w:tbl>
    <w:p w14:paraId="1211DCFC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64"/>
      </w:tblGrid>
      <w:tr w14:paraId="3FE02C38">
        <w:trPr>
          <w:jc w:val="center"/>
        </w:trPr>
        <w:tc>
          <w:tcPr>
            <w:tcW w:w="9764" w:type="dxa"/>
            <w:shd w:val="clear" w:color="auto" w:fill="F8FAFC"/>
          </w:tcPr>
          <w:p w14:paraId="7A5C7F6D">
            <w:pPr>
              <w:spacing w:after="80"/>
            </w:pPr>
            <w:r>
              <w:rPr>
                <w:rFonts w:ascii="微软雅黑" w:hAnsi="微软雅黑" w:eastAsia="微软雅黑"/>
                <w:b/>
                <w:color w:val="0B2545"/>
                <w:sz w:val="22"/>
              </w:rPr>
              <w:t>Q5：为什么要限制 D 和 v_c？</w:t>
            </w:r>
          </w:p>
          <w:p w14:paraId="358D7A27">
            <w:pPr>
              <w:spacing w:after="0"/>
            </w:pPr>
            <w:r>
              <w:rPr>
                <w:rFonts w:ascii="微软雅黑" w:hAnsi="微软雅黑" w:eastAsia="微软雅黑"/>
                <w:color w:val="0B2545"/>
                <w:sz w:val="20"/>
              </w:rPr>
              <w:t>工程控制必须防止异常力、串口错误或浮点发散导致危险输出。D 限制在 [15,80]，v_c 限制在安全速度范围内。</w:t>
            </w:r>
          </w:p>
        </w:tc>
      </w:tr>
    </w:tbl>
    <w:p w14:paraId="2A6364CE"/>
    <w:p w14:paraId="2988DE30">
      <w:pPr>
        <w:pStyle w:val="3"/>
      </w:pPr>
      <w:r>
        <w:t>8. 当前进展与下一步计划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2880"/>
        <w:gridCol w:w="5616"/>
      </w:tblGrid>
      <w:tr w14:paraId="15D04F20">
        <w:trPr>
          <w:jc w:val="center"/>
        </w:trPr>
        <w:tc>
          <w:tcPr>
            <w:tcW w:w="1440" w:type="dxa"/>
            <w:shd w:val="clear" w:color="auto" w:fill="E8EEF5"/>
            <w:vAlign w:val="center"/>
          </w:tcPr>
          <w:p w14:paraId="19425410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状态</w:t>
            </w:r>
          </w:p>
        </w:tc>
        <w:tc>
          <w:tcPr>
            <w:tcW w:w="2880" w:type="dxa"/>
            <w:shd w:val="clear" w:color="auto" w:fill="E8EEF5"/>
            <w:vAlign w:val="center"/>
          </w:tcPr>
          <w:p w14:paraId="1140B8CF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内容</w:t>
            </w:r>
          </w:p>
        </w:tc>
        <w:tc>
          <w:tcPr>
            <w:tcW w:w="5616" w:type="dxa"/>
            <w:shd w:val="clear" w:color="auto" w:fill="E8EEF5"/>
            <w:vAlign w:val="center"/>
          </w:tcPr>
          <w:p w14:paraId="2C4CDC23">
            <w:pPr>
              <w:spacing w:after="0"/>
            </w:pPr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说明</w:t>
            </w:r>
          </w:p>
        </w:tc>
      </w:tr>
      <w:tr w14:paraId="1C5AB762">
        <w:trPr>
          <w:jc w:val="center"/>
        </w:trPr>
        <w:tc>
          <w:tcPr>
            <w:tcW w:w="1440" w:type="dxa"/>
            <w:vAlign w:val="center"/>
          </w:tcPr>
          <w:p w14:paraId="6DEA10A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已完成</w:t>
            </w:r>
          </w:p>
        </w:tc>
        <w:tc>
          <w:tcPr>
            <w:tcW w:w="2880" w:type="dxa"/>
            <w:vAlign w:val="center"/>
          </w:tcPr>
          <w:p w14:paraId="35E9067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Hopf-CPG 核心算法</w:t>
            </w:r>
          </w:p>
        </w:tc>
        <w:tc>
          <w:tcPr>
            <w:tcW w:w="5616" w:type="dxa"/>
            <w:vAlign w:val="center"/>
          </w:tcPr>
          <w:p w14:paraId="5B8E762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实现 CPG_Init、CPG_Step、CPG_Update_Frequency。</w:t>
            </w:r>
          </w:p>
        </w:tc>
      </w:tr>
      <w:tr w14:paraId="3D526A1A">
        <w:trPr>
          <w:jc w:val="center"/>
        </w:trPr>
        <w:tc>
          <w:tcPr>
            <w:tcW w:w="1440" w:type="dxa"/>
            <w:vAlign w:val="center"/>
          </w:tcPr>
          <w:p w14:paraId="49D4426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已完成</w:t>
            </w:r>
          </w:p>
        </w:tc>
        <w:tc>
          <w:tcPr>
            <w:tcW w:w="2880" w:type="dxa"/>
            <w:vAlign w:val="center"/>
          </w:tcPr>
          <w:p w14:paraId="44B6361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导纳控制替换</w:t>
            </w:r>
          </w:p>
        </w:tc>
        <w:tc>
          <w:tcPr>
            <w:tcW w:w="5616" w:type="dxa"/>
            <w:vAlign w:val="center"/>
          </w:tcPr>
          <w:p w14:paraId="023741A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Controller_Run 中改为 CPG 变导纳输出 v_cmd。</w:t>
            </w:r>
          </w:p>
        </w:tc>
      </w:tr>
      <w:tr w14:paraId="53CF1F94">
        <w:trPr>
          <w:jc w:val="center"/>
        </w:trPr>
        <w:tc>
          <w:tcPr>
            <w:tcW w:w="1440" w:type="dxa"/>
            <w:vAlign w:val="center"/>
          </w:tcPr>
          <w:p w14:paraId="093EAEE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已完成</w:t>
            </w:r>
          </w:p>
        </w:tc>
        <w:tc>
          <w:tcPr>
            <w:tcW w:w="2880" w:type="dxa"/>
            <w:vAlign w:val="center"/>
          </w:tcPr>
          <w:p w14:paraId="7975874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工程逻辑图与前端演示</w:t>
            </w:r>
          </w:p>
        </w:tc>
        <w:tc>
          <w:tcPr>
            <w:tcW w:w="5616" w:type="dxa"/>
            <w:vAlign w:val="center"/>
          </w:tcPr>
          <w:p w14:paraId="339DBCB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生成完整逻辑图和动态 HTML 演示页面。</w:t>
            </w:r>
          </w:p>
        </w:tc>
      </w:tr>
      <w:tr w14:paraId="6FDA5BB1">
        <w:trPr>
          <w:jc w:val="center"/>
        </w:trPr>
        <w:tc>
          <w:tcPr>
            <w:tcW w:w="1440" w:type="dxa"/>
            <w:vAlign w:val="center"/>
          </w:tcPr>
          <w:p w14:paraId="00A1977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待确认</w:t>
            </w:r>
          </w:p>
        </w:tc>
        <w:tc>
          <w:tcPr>
            <w:tcW w:w="2880" w:type="dxa"/>
            <w:vAlign w:val="center"/>
          </w:tcPr>
          <w:p w14:paraId="7CFA531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力方向</w:t>
            </w:r>
          </w:p>
        </w:tc>
        <w:tc>
          <w:tcPr>
            <w:tcW w:w="5616" w:type="dxa"/>
            <w:vAlign w:val="center"/>
          </w:tcPr>
          <w:p w14:paraId="376F8A4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当前使用 force-&gt;fx；上板需确认前进方向是否应为 fx 或 fz。</w:t>
            </w:r>
          </w:p>
        </w:tc>
      </w:tr>
      <w:tr w14:paraId="7C9A4494">
        <w:trPr>
          <w:jc w:val="center"/>
        </w:trPr>
        <w:tc>
          <w:tcPr>
            <w:tcW w:w="1440" w:type="dxa"/>
            <w:vAlign w:val="center"/>
          </w:tcPr>
          <w:p w14:paraId="093245A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待确认</w:t>
            </w:r>
          </w:p>
        </w:tc>
        <w:tc>
          <w:tcPr>
            <w:tcW w:w="2880" w:type="dxa"/>
            <w:vAlign w:val="center"/>
          </w:tcPr>
          <w:p w14:paraId="652EF63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速度方向约束</w:t>
            </w:r>
          </w:p>
        </w:tc>
        <w:tc>
          <w:tcPr>
            <w:tcW w:w="5616" w:type="dxa"/>
            <w:vAlign w:val="center"/>
          </w:tcPr>
          <w:p w14:paraId="57E06D0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如果助行车只允许前进，应将 CPG_V_MIN 改为 0.0。</w:t>
            </w:r>
          </w:p>
        </w:tc>
      </w:tr>
      <w:tr w14:paraId="035D4B06">
        <w:trPr>
          <w:jc w:val="center"/>
        </w:trPr>
        <w:tc>
          <w:tcPr>
            <w:tcW w:w="1440" w:type="dxa"/>
            <w:vAlign w:val="center"/>
          </w:tcPr>
          <w:p w14:paraId="01110BB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下一步</w:t>
            </w:r>
          </w:p>
        </w:tc>
        <w:tc>
          <w:tcPr>
            <w:tcW w:w="2880" w:type="dxa"/>
            <w:vAlign w:val="center"/>
          </w:tcPr>
          <w:p w14:paraId="5CC8032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动捕步频接入</w:t>
            </w:r>
          </w:p>
        </w:tc>
        <w:tc>
          <w:tcPr>
            <w:tcW w:w="5616" w:type="dxa"/>
            <w:vAlign w:val="center"/>
          </w:tcPr>
          <w:p w14:paraId="2555A5C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串口接收 freq_hz 后调用 CPG_Update_Frequency。</w:t>
            </w:r>
          </w:p>
        </w:tc>
      </w:tr>
      <w:tr w14:paraId="71EF8994">
        <w:trPr>
          <w:jc w:val="center"/>
        </w:trPr>
        <w:tc>
          <w:tcPr>
            <w:tcW w:w="1440" w:type="dxa"/>
            <w:vAlign w:val="center"/>
          </w:tcPr>
          <w:p w14:paraId="08CA30B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下一步</w:t>
            </w:r>
          </w:p>
        </w:tc>
        <w:tc>
          <w:tcPr>
            <w:tcW w:w="2880" w:type="dxa"/>
            <w:vAlign w:val="center"/>
          </w:tcPr>
          <w:p w14:paraId="59573A0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视觉安全层</w:t>
            </w:r>
          </w:p>
        </w:tc>
        <w:tc>
          <w:tcPr>
            <w:tcW w:w="5616" w:type="dxa"/>
            <w:vAlign w:val="center"/>
          </w:tcPr>
          <w:p w14:paraId="4F3D4DA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0B2545"/>
                <w:sz w:val="18"/>
              </w:rPr>
              <w:t>利用视觉测距对 v_cmd 做限速或停车保护。</w:t>
            </w:r>
          </w:p>
        </w:tc>
      </w:tr>
    </w:tbl>
    <w:p w14:paraId="2FEDDAED"/>
    <w:p w14:paraId="59B62D29">
      <w:pPr>
        <w:pStyle w:val="3"/>
      </w:pPr>
      <w:r>
        <w:t>附录 A：展示的文件</w:t>
      </w:r>
    </w:p>
    <w:p w14:paraId="6B346783">
      <w:pPr>
        <w:pStyle w:val="16"/>
      </w:pPr>
      <w:r>
        <w:rPr>
          <w:rFonts w:ascii="微软雅黑" w:hAnsi="微软雅黑" w:eastAsia="微软雅黑"/>
        </w:rPr>
        <w:t>研究报告：/Users/neil/项目/SmartRollator/SmartRollator/Hopf振荡器在智能助行车中的应用说明_LaTeX公式版.docx</w:t>
      </w:r>
    </w:p>
    <w:p w14:paraId="628B3182">
      <w:pPr>
        <w:pStyle w:val="16"/>
      </w:pPr>
      <w:r>
        <w:rPr>
          <w:rFonts w:ascii="微软雅黑" w:hAnsi="微软雅黑" w:eastAsia="微软雅黑"/>
        </w:rPr>
        <w:t>前端动态演示：/Users/neil/项目/SmartRollator/SmartRollator/hopf_cpg_interactive_demo.html</w:t>
      </w:r>
    </w:p>
    <w:p w14:paraId="0116BEDE">
      <w:pPr>
        <w:pStyle w:val="16"/>
      </w:pPr>
      <w:r>
        <w:rPr>
          <w:rFonts w:ascii="微软雅黑" w:hAnsi="微软雅黑" w:eastAsia="微软雅黑"/>
        </w:rPr>
        <w:t>完整逻辑图：/Users/neil/项目/SmartRollator/SmartRollator/diagrams/hopf_cpg_admittance_logic.png</w:t>
      </w:r>
    </w:p>
    <w:p w14:paraId="3D6F5CB9">
      <w:pPr>
        <w:pStyle w:val="16"/>
      </w:pPr>
      <w:r>
        <w:rPr>
          <w:rFonts w:ascii="微软雅黑" w:hAnsi="微软雅黑" w:eastAsia="微软雅黑"/>
        </w:rPr>
        <w:t>代码入口：MDK-ARM/cpg_control.c、MDK-ARM/Controller.c、Core/Src/freertos.c</w:t>
      </w:r>
    </w:p>
    <w:p w14:paraId="6E5105FA">
      <w:pPr>
        <w:pStyle w:val="3"/>
      </w:pPr>
      <w:r>
        <w:t>附录 B：参考资料</w:t>
      </w:r>
    </w:p>
    <w:p w14:paraId="0A8BCF60">
      <w:pPr>
        <w:pStyle w:val="16"/>
      </w:pPr>
      <w:r>
        <w:rPr>
          <w:rFonts w:ascii="微软雅黑" w:hAnsi="微软雅黑" w:eastAsia="微软雅黑"/>
        </w:rPr>
        <w:t>Auke Jan Ijspeert. Central pattern generators for locomotion control in animals and robots: a review. Neural Networks, 2008. https://pubmed.ncbi.nlm.nih.gov/18555958/</w:t>
      </w:r>
    </w:p>
    <w:p w14:paraId="1E7278A1">
      <w:pPr>
        <w:pStyle w:val="16"/>
      </w:pPr>
      <w:r>
        <w:rPr>
          <w:rFonts w:ascii="微软雅黑" w:hAnsi="微软雅黑" w:eastAsia="微软雅黑"/>
        </w:rPr>
        <w:t>Gang Wang, Xi Chen, Shi-Kai Han. Central pattern generator and feedforward neural network-based self-adaptive gait control for a crab-like robot. International Journal of Advanced Robotic Systems, 2017. https://journals.sagepub.com/doi/10.1177/1729881417723440</w:t>
      </w:r>
    </w:p>
    <w:p w14:paraId="53861425">
      <w:pPr>
        <w:pStyle w:val="16"/>
      </w:pPr>
      <w:r>
        <w:rPr>
          <w:rFonts w:ascii="微软雅黑" w:hAnsi="微软雅黑" w:eastAsia="微软雅黑"/>
        </w:rPr>
        <w:t>Human-Robot Interaction: A Review and Analysis on Variable Admittance Control, Safety, and Perspectives. Machines, 2022. https://www.mdpi.com/2075-1702/10/7/591</w:t>
      </w:r>
    </w:p>
    <w:p w14:paraId="1DE34419">
      <w:pPr>
        <w:pStyle w:val="16"/>
      </w:pPr>
      <w:r>
        <w:rPr>
          <w:rFonts w:ascii="微软雅黑" w:hAnsi="微软雅黑" w:eastAsia="微软雅黑"/>
        </w:rPr>
        <w:t>Arvid Q. L. Keemink, Herman van der Kooij, Arno H. A. Stienen. Admittance control for physical human-robot interaction. IJRR, 2018. https://journals.sagepub.com/doi/full/10.1177/0278364918768950</w:t>
      </w:r>
    </w:p>
    <w:sectPr>
      <w:footerReference r:id="rId5" w:type="default"/>
      <w:pgSz w:w="12240" w:h="15840"/>
      <w:pgMar w:top="1181" w:right="1238" w:bottom="1181" w:left="123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MS Mincho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0712F">
    <w:pPr>
      <w:pStyle w:val="24"/>
      <w:jc w:val="right"/>
    </w:pPr>
    <w:r>
      <w:rPr>
        <w:rFonts w:ascii="微软雅黑" w:hAnsi="微软雅黑" w:eastAsia="微软雅黑"/>
        <w:color w:val="64748B"/>
        <w:sz w:val="16"/>
      </w:rPr>
      <w:t>Hopf 振荡器讲解稿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E9416D5"/>
    <w:rsid w:val="77ED7E91"/>
    <w:rsid w:val="B7ED524A"/>
    <w:rsid w:val="E9A8CCAD"/>
    <w:rsid w:val="FE6B4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00"/>
      <w:outlineLvl w:val="0"/>
    </w:pPr>
    <w:rPr>
      <w:rFonts w:asciiTheme="majorHAnsi" w:hAnsiTheme="majorHAnsi" w:eastAsiaTheme="majorEastAsia" w:cstheme="majorBidi"/>
      <w:b/>
      <w:bCs/>
      <w:color w:val="2563B8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2563B8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0B2545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B2545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Codex</dc:creator>
  <dc:description>generated by python-docx</dc:description>
  <cp:keywords>Hopf oscillator, CPG, admittance control, SmartRollator, meeting presentation</cp:keywords>
  <cp:lastModifiedBy>Neil·Bauman</cp:lastModifiedBy>
  <dcterms:modified xsi:type="dcterms:W3CDTF">2026-05-14T21:32:49Z</dcterms:modified>
  <dc:subject>SmartRollator Hopf CPG Variable Admittance Meeting Notes</dc:subject>
  <dc:title>Hopf 振荡器在智能助行车中的应用研究：组会汇报讲解稿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56FC405A9F5D03D2F098056AE6541CCB_42</vt:lpwstr>
  </property>
</Properties>
</file>