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3B46" w14:textId="10CEB27F" w:rsidR="009975F4" w:rsidRPr="009975F4" w:rsidRDefault="009975F4">
      <w:pPr>
        <w:rPr>
          <w:rFonts w:eastAsiaTheme="minorEastAsia"/>
          <w:b/>
          <w:bCs/>
        </w:rPr>
      </w:pPr>
      <w:r w:rsidRPr="009975F4">
        <w:rPr>
          <w:b/>
          <w:bCs/>
        </w:rPr>
        <w:t xml:space="preserve">Estimating a suitable value of </w:t>
      </w: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I</m:t>
            </m:r>
          </m:sub>
        </m:sSub>
      </m:oMath>
    </w:p>
    <w:p w14:paraId="431F2352" w14:textId="4677EA18" w:rsidR="00CE5C15" w:rsidRDefault="00F7009B">
      <w:pPr>
        <w:rPr>
          <w:rFonts w:eastAsiaTheme="minorEastAsia"/>
        </w:rPr>
      </w:pPr>
      <w:r>
        <w:rPr>
          <w:rFonts w:eastAsiaTheme="minorEastAsia"/>
        </w:rPr>
        <w:t>For the mechanistic selection methodologies (smooth selection and truncation selection), the standard deviation of the Normal distribution of the Polygenic Resistance Score</w:t>
      </w:r>
      <w:r w:rsidR="00121E40">
        <w:rPr>
          <w:rFonts w:eastAsiaTheme="minorEastAsia"/>
        </w:rPr>
        <w:t xml:space="preserve"> (PRS)</w:t>
      </w:r>
      <w:r>
        <w:rPr>
          <w:rFonts w:eastAsiaTheme="minorEastAsia"/>
        </w:rPr>
        <w:t xml:space="preserve"> is manually input into the model as a parameter. In the standard methodology, this is </w:t>
      </w:r>
      <w:r w:rsidR="00CE5C15">
        <w:rPr>
          <w:rFonts w:eastAsiaTheme="minorEastAsia"/>
        </w:rPr>
        <w:t>accounted for in the exposure scaling factor as part of the calibration process.</w:t>
      </w:r>
    </w:p>
    <w:p w14:paraId="0CD4AB1E" w14:textId="07CA0B86" w:rsidR="00F7009B" w:rsidRDefault="00CE5C15">
      <w:pPr>
        <w:rPr>
          <w:rFonts w:eastAsiaTheme="minorEastAsia"/>
        </w:rPr>
      </w:pPr>
      <w:r>
        <w:rPr>
          <w:rFonts w:eastAsiaTheme="minorEastAsia"/>
        </w:rPr>
        <w:t xml:space="preserve">There is therefore a need to determine what are suitable values of the </w:t>
      </w:r>
      <w:r w:rsidR="00121E40">
        <w:rPr>
          <w:rFonts w:eastAsiaTheme="minorEastAsia"/>
        </w:rPr>
        <w:t xml:space="preserve">population standard deviation of the population mean PRS. In order to calculate this, mean bioassay mortality results (with </w:t>
      </w:r>
      <w:r w:rsidR="00051728">
        <w:rPr>
          <w:rFonts w:eastAsiaTheme="minorEastAsia"/>
        </w:rPr>
        <w:t>a descriptor of the spread of the data – either standard deviation, standard error or 95% confidence interval) needs to be obtained</w:t>
      </w:r>
      <w:r w:rsidR="009B73F7">
        <w:rPr>
          <w:rFonts w:eastAsiaTheme="minorEastAsia"/>
        </w:rPr>
        <w:t xml:space="preserve"> for WHO cylinder bioassays conducted on wild mosquitoes. </w:t>
      </w:r>
    </w:p>
    <w:p w14:paraId="411F995D" w14:textId="61B1B058" w:rsidR="009975F4" w:rsidRDefault="009975F4">
      <w:pPr>
        <w:rPr>
          <w:rFonts w:eastAsiaTheme="minorEastAsia"/>
        </w:rPr>
      </w:pPr>
      <w:r>
        <w:rPr>
          <w:rFonts w:eastAsiaTheme="minorEastAsia"/>
        </w:rPr>
        <w:t>WHO cylinder bioassay values were obtained from:</w:t>
      </w:r>
    </w:p>
    <w:p w14:paraId="78C6FC6D" w14:textId="23C7E074" w:rsidR="009975F4" w:rsidRPr="00441114" w:rsidRDefault="009975F4" w:rsidP="00441114">
      <w:pPr>
        <w:pStyle w:val="ListParagraph"/>
        <w:numPr>
          <w:ilvl w:val="0"/>
          <w:numId w:val="1"/>
        </w:numPr>
        <w:rPr>
          <w:rFonts w:eastAsiaTheme="minorEastAsia"/>
        </w:rPr>
      </w:pPr>
      <w:r w:rsidRPr="00441114">
        <w:rPr>
          <w:rFonts w:eastAsiaTheme="minorEastAsia"/>
        </w:rPr>
        <w:fldChar w:fldCharType="begin" w:fldLock="1"/>
      </w:r>
      <w:r w:rsidRPr="00441114">
        <w:rPr>
          <w:rFonts w:eastAsiaTheme="minorEastAsia"/>
        </w:rPr>
        <w:instrText>ADDIN CSL_CITATION {"citationItems":[{"id":"ITEM-1","itemData":{"DOI":"10.1371/journal.pone.0099822","ISSN":"19326203","abstract":"Background: There has been rapid scale-up of malaria vector control in the last ten years. Both of the primary control strategies, long-lasting pyrethroid treated nets and indoor residual spraying, rely on the use of a limited number of insecticides. Insecticide resistance, as measured by bioassay, has rapidly increased in prevalence and has come to the forefront as an issue that needs to be addressed to maintain the sustainability of malaria control and the drive to elimination. Zambia's programme reported high levels of resistance to the insecticides it used in 2010, and, as a result, increased its investment in resistance monitoring to support informed resistance management decisions. Methodology/Principal Findings: A country-wide survey on insecticide resistance in Zambian malaria vectors was performed using WHO bioassays to detect resistant phenotypes. Molecular techniques were used to detect target-site mutations and microarray to detect metabolic resistance mechanisms. Anopheles gambiae s.s. was resistant to pyrethroids, DDT and carbamates, with potential organophosphate resistance in one population. The resistant phenotypes were conferred by both target-site and metabolic mechanisms. Anopheles funestus s.s. was largely resistant to pyrethroids and carbamates, with potential resistance to DDT in two locations. The resistant phenotypes were conferred by elevated levels of cytochrome p450s. Conclusions/Significance: Currently, the Zambia National Malaria Control Centre is using these results to inform their vector control strategy. The methods employed here can serve as a template to all malaria-endemic countries striving to create a sustainable insecticide resistance management plan. © 2014 Thomsen et al.","author":[{"dropping-particle":"","family":"Thomsen","given":"Edward K.","non-dropping-particle":"","parse-names":false,"suffix":""},{"dropping-particle":"","family":"Strode","given":"Clare","non-dropping-particle":"","parse-names":false,"suffix":""},{"dropping-particle":"","family":"Hemmings","given":"Kay","non-dropping-particle":"","parse-names":false,"suffix":""},{"dropping-particle":"","family":"Hughes","given":"Angela J.","non-dropping-particle":"","parse-names":false,"suffix":""},{"dropping-particle":"","family":"Chanda","given":"Emmanuel","non-dropping-particle":"","parse-names":false,"suffix":""},{"dropping-particle":"","family":"Musapa","given":"Mulenga","non-dropping-particle":"","parse-names":false,"suffix":""},{"dropping-particle":"","family":"Kamuliwo","given":"Mulakwa","non-dropping-particle":"","parse-names":false,"suffix":""},{"dropping-particle":"","family":"Phiri","given":"Faustina N.","non-dropping-particle":"","parse-names":false,"suffix":""},{"dropping-particle":"","family":"Muzia","given":"Lucy","non-dropping-particle":"","parse-names":false,"suffix":""},{"dropping-particle":"","family":"Chanda","given":"Javan","non-dropping-particle":"","parse-names":false,"suffix":""},{"dropping-particle":"","family":"Kandyata","given":"Alister","non-dropping-particle":"","parse-names":false,"suffix":""},{"dropping-particle":"","family":"Chirwa","given":"Brian","non-dropping-particle":"","parse-names":false,"suffix":""},{"dropping-particle":"","family":"Poer","given":"Kathleen","non-dropping-particle":"","parse-names":false,"suffix":""},{"dropping-particle":"","family":"Hemingway","given":"Janet","non-dropping-particle":"","parse-names":false,"suffix":""},{"dropping-particle":"","family":"Wondji","given":"Charles S.","non-dropping-particle":"","parse-names":false,"suffix":""},{"dropping-particle":"","family":"Ranson","given":"Hilary","non-dropping-particle":"","parse-names":false,"suffix":""},{"dropping-particle":"","family":"Coleman","given":"Michael","non-dropping-particle":"","parse-names":false,"suffix":""}],"container-title":"PLoS ONE","id":"ITEM-1","issue":"6","issued":{"date-parts":[["2014"]]},"title":"Underpinning sustainable vector control through informed insecticide resistance management","type":"article-journal","volume":"9"},"uris":["http://www.mendeley.com/documents/?uuid=d0775039-64f3-4f42-a87b-260cc9e99ac1"]}],"mendeley":{"formattedCitation":"(Thomsen et al., 2014)","plainTextFormattedCitation":"(Thomsen et al., 2014)","previouslyFormattedCitation":"(Thomsen et al., 2014)"},"properties":{"noteIndex":0},"schema":"https://github.com/citation-style-language/schema/raw/master/csl-citation.json"}</w:instrText>
      </w:r>
      <w:r w:rsidRPr="00441114">
        <w:rPr>
          <w:rFonts w:eastAsiaTheme="minorEastAsia"/>
        </w:rPr>
        <w:fldChar w:fldCharType="separate"/>
      </w:r>
      <w:r w:rsidRPr="00441114">
        <w:rPr>
          <w:rFonts w:eastAsiaTheme="minorEastAsia"/>
          <w:noProof/>
        </w:rPr>
        <w:t>(Thomsen et al., 2014)</w:t>
      </w:r>
      <w:r w:rsidRPr="00441114">
        <w:rPr>
          <w:rFonts w:eastAsiaTheme="minorEastAsia"/>
        </w:rPr>
        <w:fldChar w:fldCharType="end"/>
      </w:r>
    </w:p>
    <w:p w14:paraId="670CABF4" w14:textId="46FA2F53" w:rsidR="009975F4" w:rsidRPr="00441114" w:rsidRDefault="009975F4" w:rsidP="00441114">
      <w:pPr>
        <w:pStyle w:val="ListParagraph"/>
        <w:numPr>
          <w:ilvl w:val="0"/>
          <w:numId w:val="1"/>
        </w:numPr>
        <w:rPr>
          <w:rFonts w:eastAsiaTheme="minorEastAsia"/>
        </w:rPr>
      </w:pPr>
      <w:r w:rsidRPr="00441114">
        <w:rPr>
          <w:rFonts w:eastAsiaTheme="minorEastAsia"/>
        </w:rPr>
        <w:fldChar w:fldCharType="begin" w:fldLock="1"/>
      </w:r>
      <w:r w:rsidRPr="00441114">
        <w:rPr>
          <w:rFonts w:eastAsiaTheme="minorEastAsia"/>
        </w:rPr>
        <w:instrText>ADDIN CSL_CITATION {"citationItems":[{"id":"ITEM-1","itemData":{"DOI":"10.1186/s12936-018-2285-6","ISSN":"14752875","PMID":"29580247","abstract":"Background: Globally, the Democratic Republic of Congo (DRC) accounted for 9% of malaria cases and 10% of malaria deaths in 2015. As part of control efforts, more than 40 million long-lasting insecticidal nets (LLINs) were distributed between 2008 and 2013, resulting in 70% of households owning one or more LLINs in 2014. To optimize vector control efforts, it is critical to monitor vector behaviour and insecticide resistance trends. Entomological data was collected from eight sentinel sites throughout DRC between 2013 and 2016 in Kingasani, Mikalayi, Lodja, Kabondo, Katana, Kapolowe, Tshikaji and Kalemie. Mosquito species present, relative densities and biting times were monitored using human landing catches (HLC) conducted in eight houses, three times per year. HLC was conducted monthly in Lodja and Kapolowe during 2016 to assess seasonal dynamics. Laboratory data included resistance mechanism frequency and sporozoite rates. Insecticide susceptibility testing was conducted with commonly used insecticides including deltamethrin and permethrin. Synergist bioassays were conducted with PBO to determine the role of oxidases in permethrin resistance. Results: In Lodja, monthly Anopheles gambiae s.l. biting rates were consistently high at &gt; 10 bites/person/night indoors and outdoors. In Kapolowe, An. gambiae s.l. dominated during the rainy season, and Anopheles funestus s.l. during the dry season. In all sites, An. gambiae and An. funestus biting occurred mostly late at night. In Kapolowe, significant biting of both species started around 19:00, typically before householders use nets. Sporozoite rates were high, with a mean of 4.3% (95% CI 3.4-5.2) for An. gambiae and 3.3% (95% CI 1.3-5.3) for An. funestus. Anopheles gambiae were resistant to permethrin in six out of seven sites in 2016. In three sites, susceptibility to deltamethrin was observed despite high frequency permethrin resistance, indicating the presence of pyrethroid-specific resistance mechanisms. Pre-exposure to PBO increased absolute permethrin-associated mortality by 24%, indicating that resistance was partly due to metabolic mechanisms. The kdr-1014F mutation in An. gambiae was present at high frequency (&gt; 70%) in three sites (Kabondo, Kingasani and Tshikaji), and lower frequency (&lt; 20%) in two sites (Lodja and Kapolowe). Conclusion: The finding of widespread resistance to permethrin in DRC is concerning and alternative insecticides should be evaluated.","author":[{"dropping-particle":"","family":"Wat'Senga","given":"Francis","non-dropping-particle":"","parse-names":false,"suffix":""},{"dropping-particle":"","family":"Manzambi","given":"Emile Zola","non-dropping-particle":"","parse-names":false,"suffix":""},{"dropping-particle":"","family":"Lunkula","given":"Andre","non-dropping-particle":"","parse-names":false,"suffix":""},{"dropping-particle":"","family":"Mulumbu","given":"Roger","non-dropping-particle":"","parse-names":false,"suffix":""},{"dropping-particle":"","family":"Mampangulu","given":"Tania","non-dropping-particle":"","parse-names":false,"suffix":""},{"dropping-particle":"","family":"Lobo","given":"Neil","non-dropping-particle":"","parse-names":false,"suffix":""},{"dropping-particle":"","family":"Hendershot","given":"Allison","non-dropping-particle":"","parse-names":false,"suffix":""},{"dropping-particle":"","family":"Fornadel","given":"Christen","non-dropping-particle":"","parse-names":false,"suffix":""},{"dropping-particle":"","family":"Jacob","given":"Djenam","non-dropping-particle":"","parse-names":false,"suffix":""},{"dropping-particle":"","family":"Niang","given":"Mame","non-dropping-particle":"","parse-names":false,"suffix":""},{"dropping-particle":"","family":"Ntoya","given":"Ferdinand","non-dropping-particle":"","parse-names":false,"suffix":""},{"dropping-particle":"","family":"Muyembe","given":"Tamfum","non-dropping-particle":"","parse-names":false,"suffix":""},{"dropping-particle":"","family":"Likwela","given":"Joris","non-dropping-particle":"","parse-names":false,"suffix":""},{"dropping-particle":"","family":"Irish","given":"Seth R.","non-dropping-particle":"","parse-names":false,"suffix":""},{"dropping-particle":"","family":"Oxborough","given":"Richard M.","non-dropping-particle":"","parse-names":false,"suffix":""}],"container-title":"Malaria Journal","id":"ITEM-1","issue":"1","issued":{"date-parts":[["2018"]]},"page":"1-13","publisher":"BioMed Central","title":"Nationwide insecticide resistance status and biting behaviour of malaria vector species in the Democratic Republic of Congo","type":"article-journal","volume":"17"},"uris":["http://www.mendeley.com/documents/?uuid=d220d1ff-c302-4f98-b8cb-3e2bf7f4c885"]}],"mendeley":{"formattedCitation":"(Wat’Senga et al., 2018)","plainTextFormattedCitation":"(Wat’Senga et al., 2018)","previouslyFormattedCitation":"(Wat’Senga et al., 2018)"},"properties":{"noteIndex":0},"schema":"https://github.com/citation-style-language/schema/raw/master/csl-citation.json"}</w:instrText>
      </w:r>
      <w:r w:rsidRPr="00441114">
        <w:rPr>
          <w:rFonts w:eastAsiaTheme="minorEastAsia"/>
        </w:rPr>
        <w:fldChar w:fldCharType="separate"/>
      </w:r>
      <w:r w:rsidRPr="00441114">
        <w:rPr>
          <w:rFonts w:eastAsiaTheme="minorEastAsia"/>
          <w:noProof/>
        </w:rPr>
        <w:t>(Wat’Senga et al., 2018)</w:t>
      </w:r>
      <w:r w:rsidRPr="00441114">
        <w:rPr>
          <w:rFonts w:eastAsiaTheme="minorEastAsia"/>
        </w:rPr>
        <w:fldChar w:fldCharType="end"/>
      </w:r>
    </w:p>
    <w:p w14:paraId="07868BCF" w14:textId="2A46304D" w:rsidR="009975F4" w:rsidRPr="00441114" w:rsidRDefault="009975F4" w:rsidP="00441114">
      <w:pPr>
        <w:pStyle w:val="ListParagraph"/>
        <w:numPr>
          <w:ilvl w:val="0"/>
          <w:numId w:val="1"/>
        </w:numPr>
        <w:rPr>
          <w:rFonts w:eastAsiaTheme="minorEastAsia"/>
        </w:rPr>
      </w:pPr>
      <w:r w:rsidRPr="00441114">
        <w:rPr>
          <w:rFonts w:eastAsiaTheme="minorEastAsia"/>
        </w:rPr>
        <w:fldChar w:fldCharType="begin" w:fldLock="1"/>
      </w:r>
      <w:r w:rsidRPr="00441114">
        <w:rPr>
          <w:rFonts w:eastAsiaTheme="minorEastAsia"/>
        </w:rPr>
        <w:instrText>ADDIN CSL_CITATION {"citationItems":[{"id":"ITEM-1","itemData":{"DOI":"10.1186/s13071-017-2342-y","ISSN":"17563305","PMID":"28865490","abstract":"Background: The emergence and spread of insecticide resistance in the major African malaria vectors Anopheles gambiae (s.s.) and An. arabiensis may compromise the current vector control interventions and threatens the global malaria control and elimination efforts. Methods: Insecticide resistance was monitored in several study sites in Ethiopia from 2013 to 2015 using papers impregnated with discriminating concentrations of DDT, deltamethrin, bendiocarb, propoxur, malathion, fenitrothion and pirimiphos-methyl, following the WHO insecticide susceptibility test procedure. Mosquitoes sampled from different localities for WHO bioassay were morphologically identified as An. gambiae (s.l.) using standard taxonomic keys. Samples were identified to species using species-specific polymerase chain reaction (PCR) and screened for the presence of target site mutations L1014F, L1014S and N1575Y in the voltage gated sodium channel (VGSC) gene and G119S in the acethylcholinesterase (AChE) gene using allele-specific PCR. Biochemical assays were performed to assess elevated levels of acetylcholinesterases, carboxylcholinesterases, glutathione-S-transferases (GSTs) and cytochrome P450s monooxygenases in wild populations of An. arabiensis, compared to the fully susceptible Sekoru An. arabiensis laboratory strain. Results: Populations of An. arabiensis were resistant to DDT and deltamethrin but were susceptible to fenitrothion in all the study sites. Reduced susceptibility to malathion, pirimiphos-methyl, propoxur and bendiocarb was observed in some of the study sites. Knockdown resistance (kdr L1014F) was detected in all mosquito populations with allele frequency ranging from 42 to 91%. Elevated levels of glutathione-S-transferases (GSTs) were detected in some of the mosquito populations. However, no elevated levels of monooxygenases and esterases were detected in any of the populations assessed. Conclusions: Anopheles arabiensis populations from all surveyed sites in Ethiopia exhibited resistance against DDT and pyrethroids. Moreover, some mosquito populations exhibited resistance to propoxur and possible resistance to bendiocarb. Target site mutation kdr L1014F was detected in all mosquito populations while elevated levels of glutathione-S-transferases (GSTs) was detected in some mosquito populations. The reduced susceptibility of An. arabiensis to propoxur and bendiocarb, which are currently used for indoor residual spraying (IRS) in Ethiopia, calls for continuous resi…","author":[{"dropping-particle":"","family":"Alemayehu","given":"Eba","non-dropping-particle":"","parse-names":false,"suffix":""},{"dropping-particle":"","family":"Asale","given":"Abebe","non-dropping-particle":"","parse-names":false,"suffix":""},{"dropping-particle":"","family":"Eba","given":"Kasahun","non-dropping-particle":"","parse-names":false,"suffix":""},{"dropping-particle":"","family":"Getahun","given":"Kefelegn","non-dropping-particle":"","parse-names":false,"suffix":""},{"dropping-particle":"","family":"Tushune","given":"Kora","non-dropping-particle":"","parse-names":false,"suffix":""},{"dropping-particle":"","family":"Bryon","given":"Astrid","non-dropping-particle":"","parse-names":false,"suffix":""},{"dropping-particle":"","family":"Morou","given":"Evangelia","non-dropping-particle":"","parse-names":false,"suffix":""},{"dropping-particle":"","family":"Vontas","given":"John","non-dropping-particle":"","parse-names":false,"suffix":""},{"dropping-particle":"","family":"Leeuwen","given":"Thomas","non-dropping-particle":"Van","parse-names":false,"suffix":""},{"dropping-particle":"","family":"Duchateau","given":"Luc","non-dropping-particle":"","parse-names":false,"suffix":""},{"dropping-particle":"","family":"Yewhalaw","given":"Delenasaw","non-dropping-particle":"","parse-names":false,"suffix":""}],"container-title":"Parasites and Vectors","id":"ITEM-1","issue":"1","issued":{"date-parts":[["2017"]]},"page":"1-11","publisher":"Parasites &amp; Vectors","title":"Mapping insecticide resistance and characterization of resistance mechanisms in Anopheles arabiensis (Diptera: Culicidae) in Ethiopia","type":"article-journal","volume":"10"},"uris":["http://www.mendeley.com/documents/?uuid=cd7f49ff-1363-4cb4-90d4-59b03ab2b686"]}],"mendeley":{"formattedCitation":"(Alemayehu et al., 2017)","plainTextFormattedCitation":"(Alemayehu et al., 2017)"},"properties":{"noteIndex":0},"schema":"https://github.com/citation-style-language/schema/raw/master/csl-citation.json"}</w:instrText>
      </w:r>
      <w:r w:rsidRPr="00441114">
        <w:rPr>
          <w:rFonts w:eastAsiaTheme="minorEastAsia"/>
        </w:rPr>
        <w:fldChar w:fldCharType="separate"/>
      </w:r>
      <w:r w:rsidRPr="00441114">
        <w:rPr>
          <w:rFonts w:eastAsiaTheme="minorEastAsia"/>
          <w:noProof/>
        </w:rPr>
        <w:t>(Alemayehu et al., 2017)</w:t>
      </w:r>
      <w:r w:rsidRPr="00441114">
        <w:rPr>
          <w:rFonts w:eastAsiaTheme="minorEastAsia"/>
        </w:rPr>
        <w:fldChar w:fldCharType="end"/>
      </w:r>
    </w:p>
    <w:p w14:paraId="578897CF" w14:textId="079A109E" w:rsidR="00E157A5" w:rsidRPr="00A9580A" w:rsidRDefault="009975F4">
      <w:pPr>
        <w:rPr>
          <w:rFonts w:eastAsiaTheme="minorEastAsia"/>
        </w:rPr>
      </w:pPr>
      <w:r>
        <w:rPr>
          <w:rFonts w:eastAsiaTheme="minorEastAsia"/>
        </w:rPr>
        <w:t>These papers provided mean mortality estimates with 95% confidence intervals</w:t>
      </w:r>
      <w:r w:rsidR="000E2CFE">
        <w:rPr>
          <w:rFonts w:eastAsiaTheme="minorEastAsia"/>
        </w:rPr>
        <w:t xml:space="preserve"> </w:t>
      </w:r>
      <w:r w:rsidR="00E157A5">
        <w:rPr>
          <w:rFonts w:eastAsiaTheme="minorEastAsia"/>
        </w:rPr>
        <w:t>for</w:t>
      </w:r>
      <w:r w:rsidR="000E2CFE">
        <w:rPr>
          <w:rFonts w:eastAsiaTheme="minorEastAsia"/>
        </w:rPr>
        <w:t xml:space="preserve"> WHO cylinder bioassays</w:t>
      </w:r>
      <w:r w:rsidR="00BA4FE2">
        <w:rPr>
          <w:rFonts w:eastAsiaTheme="minorEastAsia"/>
        </w:rPr>
        <w:t xml:space="preserve"> as percentages</w:t>
      </w:r>
      <w:r w:rsidR="000E2CFE">
        <w:rPr>
          <w:rFonts w:eastAsiaTheme="minorEastAsia"/>
        </w:rPr>
        <w:t xml:space="preserve">. </w:t>
      </w:r>
      <w:r w:rsidR="00E157A5">
        <w:rPr>
          <w:rFonts w:eastAsiaTheme="minorEastAsia"/>
        </w:rPr>
        <w:t>Where</w:t>
      </w:r>
      <w:r w:rsidR="00697FB7">
        <w:rPr>
          <w:rFonts w:eastAsiaTheme="minorEastAsia"/>
        </w:rPr>
        <w:t xml:space="preserve"> the number of bioassays was not given, but the number of mosquitoes were, this was estimated by dividing the total number of mosquitoes by 25 and rounding </w:t>
      </w:r>
      <w:r w:rsidR="001070BC">
        <w:rPr>
          <w:rFonts w:eastAsiaTheme="minorEastAsia"/>
        </w:rPr>
        <w:t>to give an integer</w:t>
      </w:r>
      <w:r w:rsidR="005766C9">
        <w:rPr>
          <w:rFonts w:eastAsiaTheme="minorEastAsia"/>
        </w:rPr>
        <w:t>, as 25 mosquitoes is the r</w:t>
      </w:r>
      <w:r w:rsidR="0085204A">
        <w:rPr>
          <w:rFonts w:eastAsiaTheme="minorEastAsia"/>
        </w:rPr>
        <w:t>ecommended number of mosquitoes per bioassay according the WHO insecticide susceptibility testing guidelines [REF]</w:t>
      </w:r>
      <w:r w:rsidR="001070BC">
        <w:rPr>
          <w:rFonts w:eastAsiaTheme="minorEastAsia"/>
        </w:rPr>
        <w:t>.</w:t>
      </w:r>
      <w:r w:rsidR="00A9580A">
        <w:rPr>
          <w:rFonts w:eastAsiaTheme="minorEastAsia"/>
        </w:rPr>
        <w:t xml:space="preserve"> The data is from both the </w:t>
      </w:r>
      <w:r w:rsidR="00A9580A">
        <w:rPr>
          <w:rFonts w:eastAsiaTheme="minorEastAsia"/>
          <w:i/>
          <w:iCs/>
        </w:rPr>
        <w:t xml:space="preserve">An. gambiae </w:t>
      </w:r>
      <w:r w:rsidR="00A9580A">
        <w:rPr>
          <w:rFonts w:eastAsiaTheme="minorEastAsia"/>
        </w:rPr>
        <w:t xml:space="preserve">and </w:t>
      </w:r>
      <w:r w:rsidR="00A9580A">
        <w:rPr>
          <w:rFonts w:eastAsiaTheme="minorEastAsia"/>
          <w:i/>
          <w:iCs/>
        </w:rPr>
        <w:t xml:space="preserve">An. </w:t>
      </w:r>
      <w:r w:rsidR="00177DE4">
        <w:rPr>
          <w:rFonts w:eastAsiaTheme="minorEastAsia"/>
          <w:i/>
          <w:iCs/>
        </w:rPr>
        <w:t xml:space="preserve">funestus </w:t>
      </w:r>
      <w:r w:rsidR="00177DE4">
        <w:rPr>
          <w:rFonts w:eastAsiaTheme="minorEastAsia"/>
        </w:rPr>
        <w:t>complexes</w:t>
      </w:r>
      <w:r w:rsidR="00A9580A">
        <w:rPr>
          <w:rFonts w:eastAsiaTheme="minorEastAsia"/>
        </w:rPr>
        <w:t xml:space="preserve">. </w:t>
      </w:r>
      <w:r w:rsidR="00177DE4">
        <w:rPr>
          <w:rFonts w:eastAsiaTheme="minorEastAsia"/>
        </w:rPr>
        <w:t xml:space="preserve">Data was extracted for all insecticides the WHO bioassays were conducted for. </w:t>
      </w:r>
    </w:p>
    <w:p w14:paraId="379DB111" w14:textId="5EC398F4" w:rsidR="00FE0DBE" w:rsidRDefault="00335604">
      <w:pPr>
        <w:rPr>
          <w:rFonts w:eastAsiaTheme="minorEastAsia"/>
        </w:rPr>
      </w:pPr>
      <w:r>
        <w:rPr>
          <w:rFonts w:eastAsiaTheme="minorEastAsia"/>
        </w:rPr>
        <w:t xml:space="preserve">The 95% confidence </w:t>
      </w:r>
      <w:r w:rsidR="00177DE4">
        <w:rPr>
          <w:rFonts w:eastAsiaTheme="minorEastAsia"/>
        </w:rPr>
        <w:t xml:space="preserve">interval and sample size (number of bioassays) </w:t>
      </w:r>
      <w:r>
        <w:rPr>
          <w:rFonts w:eastAsiaTheme="minorEastAsia"/>
        </w:rPr>
        <w:t>was then used to calculate the standard deviation (</w:t>
      </w:r>
      <w:hyperlink r:id="rId6" w:history="1">
        <w:r w:rsidR="00FE0DBE" w:rsidRPr="009E5C31">
          <w:rPr>
            <w:rStyle w:val="Hyperlink"/>
            <w:rFonts w:eastAsiaTheme="minorEastAsia"/>
          </w:rPr>
          <w:t>https://handbook-5-1.cochrane.org/chapter_7/7_7_3_2_obtaining_standard_deviations_from_standard_errors_and.htm</w:t>
        </w:r>
      </w:hyperlink>
      <w:r w:rsidR="009D4E10">
        <w:rPr>
          <w:rFonts w:eastAsiaTheme="minorEastAsia"/>
        </w:rPr>
        <w:t>)</w:t>
      </w:r>
      <w:r w:rsidR="00BA77A4">
        <w:rPr>
          <w:rFonts w:eastAsiaTheme="minorEastAsia"/>
        </w:rPr>
        <w:t>.</w:t>
      </w:r>
    </w:p>
    <w:p w14:paraId="1DFD5DCA" w14:textId="40EC7736" w:rsidR="0031728B" w:rsidRDefault="0031728B">
      <w:pPr>
        <w:rPr>
          <w:rFonts w:eastAsiaTheme="minorEastAsia"/>
        </w:rPr>
      </w:pPr>
      <m:oMathPara>
        <m:oMath>
          <m:r>
            <w:rPr>
              <w:rFonts w:ascii="Cambria Math" w:eastAsiaTheme="minorEastAsia" w:hAnsi="Cambria Math"/>
            </w:rPr>
            <m:t xml:space="preserve">Standard Deviation= </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*(Upper 95% CI -Lower 95</m:t>
          </m:r>
          <m:r>
            <w:rPr>
              <w:rFonts w:ascii="Cambria Math" w:eastAsiaTheme="minorEastAsia" w:hAnsi="Cambria Math"/>
            </w:rPr>
            <m:t>%CI)/3.92</m:t>
          </m:r>
        </m:oMath>
      </m:oMathPara>
    </w:p>
    <w:p w14:paraId="225F792E" w14:textId="414CF4B6" w:rsidR="00FE0DBE" w:rsidRDefault="003D6C47">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would be the number of bioassays conducted. </w:t>
      </w:r>
    </w:p>
    <w:p w14:paraId="4054B6C5" w14:textId="69849DCC" w:rsidR="00BA4FE2" w:rsidRDefault="00BA4FE2">
      <w:pPr>
        <w:rPr>
          <w:rFonts w:eastAsiaTheme="minorEastAsia"/>
        </w:rPr>
      </w:pPr>
      <w:r>
        <w:rPr>
          <w:rFonts w:eastAsiaTheme="minorEastAsia"/>
        </w:rPr>
        <w:t xml:space="preserve">This then gives the standard deviation of the </w:t>
      </w:r>
      <w:r w:rsidR="009D0AFF">
        <w:rPr>
          <w:rFonts w:eastAsiaTheme="minorEastAsia"/>
        </w:rPr>
        <w:t xml:space="preserve">bioassay results as a percentage. This was then divided by 100 to give the proportion. This value was then </w:t>
      </w:r>
      <w:r w:rsidR="00BD6EA3">
        <w:rPr>
          <w:rFonts w:eastAsiaTheme="minorEastAsia"/>
        </w:rPr>
        <w:t xml:space="preserve">put into the Michaelis-Menten (Hill variant) equation (Equation 1(a)) to convert this standard deviation </w:t>
      </w:r>
      <w:r w:rsidR="00A9580A">
        <w:rPr>
          <w:rFonts w:eastAsiaTheme="minorEastAsia"/>
        </w:rPr>
        <w:t xml:space="preserve">to a Polygenic Resistance Score. </w:t>
      </w:r>
    </w:p>
    <w:p w14:paraId="2A51869A" w14:textId="6041039C" w:rsidR="00335604" w:rsidRDefault="00716C15">
      <w:pPr>
        <w:rPr>
          <w:rFonts w:eastAsiaTheme="minorEastAsia"/>
        </w:rPr>
      </w:pPr>
      <w:r>
        <w:rPr>
          <w:noProof/>
        </w:rPr>
        <w:lastRenderedPageBreak/>
        <w:drawing>
          <wp:inline distT="0" distB="0" distL="0" distR="0" wp14:anchorId="174B7D50" wp14:editId="5FFBF709">
            <wp:extent cx="5731510" cy="462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28515"/>
                    </a:xfrm>
                    <a:prstGeom prst="rect">
                      <a:avLst/>
                    </a:prstGeom>
                  </pic:spPr>
                </pic:pic>
              </a:graphicData>
            </a:graphic>
          </wp:inline>
        </w:drawing>
      </w:r>
    </w:p>
    <w:p w14:paraId="393474BA" w14:textId="78BEEAC1" w:rsidR="00716C15" w:rsidRDefault="00716C15">
      <w:pPr>
        <w:rPr>
          <w:rFonts w:eastAsiaTheme="minorEastAsia"/>
        </w:rPr>
      </w:pPr>
      <w:r>
        <w:rPr>
          <w:rFonts w:eastAsiaTheme="minorEastAsia"/>
        </w:rPr>
        <w:t xml:space="preserve">This looks like the standard deviation behaves very strange at the </w:t>
      </w:r>
      <w:r w:rsidR="00B01FDD">
        <w:rPr>
          <w:rFonts w:eastAsiaTheme="minorEastAsia"/>
        </w:rPr>
        <w:t xml:space="preserve">0 survival mark. There is an overall </w:t>
      </w:r>
      <w:r w:rsidR="00252ACF">
        <w:rPr>
          <w:rFonts w:eastAsiaTheme="minorEastAsia"/>
        </w:rPr>
        <w:t>inverse U shape to the graph, such that SD appears to increase until 50% survival, before then decreasing again between 50% and 100% survival. There are a few explanations for this behaviour:</w:t>
      </w:r>
    </w:p>
    <w:p w14:paraId="4BEF91F1" w14:textId="7944C1C2" w:rsidR="009511B7" w:rsidRDefault="00E73CC0" w:rsidP="009511B7">
      <w:pPr>
        <w:pStyle w:val="ListParagraph"/>
        <w:numPr>
          <w:ilvl w:val="0"/>
          <w:numId w:val="2"/>
        </w:numPr>
        <w:rPr>
          <w:rFonts w:eastAsiaTheme="minorEastAsia"/>
        </w:rPr>
      </w:pPr>
      <w:r>
        <w:rPr>
          <w:rFonts w:eastAsiaTheme="minorEastAsia"/>
        </w:rPr>
        <w:t xml:space="preserve">At low survivals the expected Normal distribution values of z </w:t>
      </w:r>
      <w:r w:rsidR="0026607E">
        <w:rPr>
          <w:rFonts w:eastAsiaTheme="minorEastAsia"/>
        </w:rPr>
        <w:t xml:space="preserve">include individuals with a z less than zero, these individuals would still have a survival of 0%. </w:t>
      </w:r>
    </w:p>
    <w:p w14:paraId="7F4D74D2" w14:textId="45596B9C" w:rsidR="00CC3A52" w:rsidRDefault="009511B7" w:rsidP="00CC3A52">
      <w:pPr>
        <w:pStyle w:val="ListParagraph"/>
        <w:numPr>
          <w:ilvl w:val="0"/>
          <w:numId w:val="2"/>
        </w:numPr>
        <w:rPr>
          <w:rFonts w:eastAsiaTheme="minorEastAsia"/>
        </w:rPr>
      </w:pPr>
      <w:r>
        <w:rPr>
          <w:rFonts w:eastAsiaTheme="minorEastAsia"/>
        </w:rPr>
        <w:t>Limited by the 0 to 100% survival probabilities.</w:t>
      </w:r>
    </w:p>
    <w:p w14:paraId="12821086" w14:textId="2299C360" w:rsidR="00CC3A52" w:rsidRDefault="00CC3A52" w:rsidP="00CC3A52">
      <w:pPr>
        <w:rPr>
          <w:rFonts w:eastAsiaTheme="minorEastAsia"/>
        </w:rPr>
      </w:pPr>
    </w:p>
    <w:p w14:paraId="1AE80902" w14:textId="36BF72DB" w:rsidR="00680AB6" w:rsidRDefault="00CC3A52" w:rsidP="00CC3A52">
      <w:pPr>
        <w:rPr>
          <w:rFonts w:eastAsiaTheme="minorEastAsia"/>
        </w:rPr>
      </w:pPr>
      <w:r>
        <w:rPr>
          <w:rFonts w:eastAsiaTheme="minorEastAsia"/>
        </w:rPr>
        <w:t xml:space="preserve">To account for this one solution is to use the standard deviation estimates for mean survivals between 25-75% which allow for sufficient room either side of the mean to not be cut off </w:t>
      </w:r>
      <w:r w:rsidR="009C435A">
        <w:rPr>
          <w:rFonts w:eastAsiaTheme="minorEastAsia"/>
        </w:rPr>
        <w:t>by the maximum and minimum survival in  a bioassay.</w:t>
      </w:r>
    </w:p>
    <w:p w14:paraId="6CA830A1" w14:textId="0B5E87DA" w:rsidR="009C435A" w:rsidRDefault="009C435A" w:rsidP="00CC3A52">
      <w:pPr>
        <w:rPr>
          <w:rFonts w:eastAsiaTheme="minorEastAsia"/>
        </w:rPr>
      </w:pPr>
    </w:p>
    <w:p w14:paraId="448E774F" w14:textId="77777777" w:rsidR="009C435A" w:rsidRPr="00CC3A52" w:rsidRDefault="009C435A" w:rsidP="00CC3A52">
      <w:pPr>
        <w:rPr>
          <w:rFonts w:eastAsiaTheme="minorEastAsia"/>
        </w:rPr>
      </w:pPr>
    </w:p>
    <w:p w14:paraId="059304CF" w14:textId="157F3342" w:rsidR="001C56D1" w:rsidRDefault="001C56D1" w:rsidP="001C56D1">
      <w:pPr>
        <w:rPr>
          <w:rFonts w:eastAsiaTheme="minorEastAsia"/>
        </w:rPr>
      </w:pPr>
    </w:p>
    <w:p w14:paraId="4BDE324F" w14:textId="263CD78B" w:rsidR="007314DC" w:rsidRDefault="007314DC" w:rsidP="001C56D1">
      <w:pPr>
        <w:rPr>
          <w:rFonts w:eastAsiaTheme="minorEastAsia"/>
        </w:rPr>
      </w:pPr>
    </w:p>
    <w:p w14:paraId="0725B6FB" w14:textId="4CE97999" w:rsidR="007314DC" w:rsidRDefault="007314DC" w:rsidP="001C56D1">
      <w:pPr>
        <w:rPr>
          <w:rFonts w:eastAsiaTheme="minorEastAsia"/>
        </w:rPr>
      </w:pPr>
    </w:p>
    <w:p w14:paraId="33EAC830" w14:textId="510E989A" w:rsidR="007314DC" w:rsidRDefault="007314DC" w:rsidP="001C56D1">
      <w:pPr>
        <w:rPr>
          <w:rFonts w:eastAsiaTheme="minorEastAsia"/>
        </w:rPr>
      </w:pPr>
    </w:p>
    <w:p w14:paraId="38012A81" w14:textId="1FC8798C" w:rsidR="007314DC" w:rsidRDefault="007314DC" w:rsidP="001C56D1">
      <w:pPr>
        <w:rPr>
          <w:rFonts w:eastAsiaTheme="minorEastAsia"/>
        </w:rPr>
      </w:pPr>
    </w:p>
    <w:p w14:paraId="68EBABCD" w14:textId="6C05ABD6" w:rsidR="007314DC" w:rsidRDefault="007314DC" w:rsidP="001C56D1">
      <w:pPr>
        <w:rPr>
          <w:rFonts w:eastAsiaTheme="minorEastAsia"/>
        </w:rPr>
      </w:pPr>
      <w:r>
        <w:rPr>
          <w:rFonts w:eastAsiaTheme="minorEastAsia"/>
        </w:rPr>
        <w:t>It should be noted that the model is preferentially designed to run for novel insecticides</w:t>
      </w:r>
      <w:r w:rsidR="00D43829">
        <w:rPr>
          <w:rFonts w:eastAsiaTheme="minorEastAsia"/>
        </w:rPr>
        <w:t xml:space="preserve">, withdrawing insecticides at 10% bioassay survival. Therefore, restricting the analysis to only include replicates where the bioassay survival was </w:t>
      </w:r>
      <w:r w:rsidR="007837B4">
        <w:rPr>
          <w:rFonts w:eastAsiaTheme="minorEastAsia"/>
        </w:rPr>
        <w:t xml:space="preserve">10% or less (90% or greater bioassay mortality) is likely to be more useful in terms of </w:t>
      </w:r>
      <w:r w:rsidR="00302DC6">
        <w:rPr>
          <w:rFonts w:eastAsiaTheme="minorEastAsia"/>
        </w:rPr>
        <w:t>assessing a standard deviation that would be representative of the PRS the model is most likely to encounter.</w:t>
      </w:r>
      <w:r w:rsidR="00F670EB">
        <w:rPr>
          <w:rFonts w:eastAsiaTheme="minorEastAsia"/>
        </w:rPr>
        <w:t xml:space="preserve"> This is also important giving the curved relationship between bioassay survival and the Polygenic Resistance Score</w:t>
      </w:r>
      <w:r w:rsidR="008C2B6B">
        <w:rPr>
          <w:rFonts w:eastAsiaTheme="minorEastAsia"/>
        </w:rPr>
        <w:t xml:space="preserve">; such that a 1 unit increase in the PRS does not equate to exactly the same unit increase survival across all values of the PRS. </w:t>
      </w:r>
      <w:r w:rsidR="001F6884">
        <w:rPr>
          <w:rFonts w:eastAsiaTheme="minorEastAsia"/>
        </w:rPr>
        <w:t>Therefore restricting the analysis to values where the mean PRS would be 100 or less reduces the impact of this curved relationship.</w:t>
      </w:r>
    </w:p>
    <w:p w14:paraId="3F6669BB" w14:textId="77777777" w:rsidR="00302DC6" w:rsidRDefault="007314DC" w:rsidP="00302DC6">
      <w:pPr>
        <w:keepNext/>
      </w:pPr>
      <w:r>
        <w:rPr>
          <w:noProof/>
        </w:rPr>
        <w:drawing>
          <wp:inline distT="0" distB="0" distL="0" distR="0" wp14:anchorId="4711130C" wp14:editId="3A101194">
            <wp:extent cx="5731510" cy="3145155"/>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stretch>
                      <a:fillRect/>
                    </a:stretch>
                  </pic:blipFill>
                  <pic:spPr>
                    <a:xfrm>
                      <a:off x="0" y="0"/>
                      <a:ext cx="5731510" cy="3145155"/>
                    </a:xfrm>
                    <a:prstGeom prst="rect">
                      <a:avLst/>
                    </a:prstGeom>
                  </pic:spPr>
                </pic:pic>
              </a:graphicData>
            </a:graphic>
          </wp:inline>
        </w:drawing>
      </w:r>
    </w:p>
    <w:p w14:paraId="1BBA4593" w14:textId="127B4E31" w:rsidR="00B07BCC" w:rsidRDefault="00302DC6" w:rsidP="00302DC6">
      <w:pPr>
        <w:pStyle w:val="Caption"/>
        <w:rPr>
          <w:i w:val="0"/>
          <w:iCs w:val="0"/>
        </w:rPr>
      </w:pPr>
      <w:r>
        <w:t xml:space="preserve">Figure </w:t>
      </w:r>
      <w:r w:rsidR="001F6884">
        <w:fldChar w:fldCharType="begin"/>
      </w:r>
      <w:r w:rsidR="001F6884">
        <w:instrText xml:space="preserve"> SEQ Figure \* ARABIC </w:instrText>
      </w:r>
      <w:r w:rsidR="001F6884">
        <w:fldChar w:fldCharType="separate"/>
      </w:r>
      <w:r>
        <w:rPr>
          <w:noProof/>
        </w:rPr>
        <w:t>1</w:t>
      </w:r>
      <w:r w:rsidR="001F6884">
        <w:rPr>
          <w:noProof/>
        </w:rPr>
        <w:fldChar w:fldCharType="end"/>
      </w:r>
      <w:r>
        <w:t xml:space="preserve"> </w:t>
      </w:r>
      <w:r w:rsidR="00F94307">
        <w:rPr>
          <w:i w:val="0"/>
          <w:iCs w:val="0"/>
        </w:rPr>
        <w:t>Histogram of the standard deviation of the Polygenic Resistance Score from field sampled populations.</w:t>
      </w:r>
      <w:r w:rsidR="00B07BCC">
        <w:rPr>
          <w:i w:val="0"/>
          <w:iCs w:val="0"/>
        </w:rPr>
        <w:t xml:space="preserve"> Green indicates all insecticides combined. </w:t>
      </w:r>
    </w:p>
    <w:p w14:paraId="652EAD2D" w14:textId="77777777" w:rsidR="00B07BCC" w:rsidRDefault="00B07BCC" w:rsidP="00302DC6">
      <w:pPr>
        <w:pStyle w:val="Caption"/>
        <w:rPr>
          <w:i w:val="0"/>
          <w:iCs w:val="0"/>
        </w:rPr>
      </w:pPr>
    </w:p>
    <w:p w14:paraId="68598D47" w14:textId="240AEC5D" w:rsidR="001C56D1" w:rsidRDefault="00C7155C" w:rsidP="0031255B">
      <w:r>
        <w:t xml:space="preserve">Mean = 28.5 (IQR: 16.1 </w:t>
      </w:r>
      <w:r w:rsidR="00892EAB">
        <w:t>–</w:t>
      </w:r>
      <w:r>
        <w:t xml:space="preserve"> </w:t>
      </w:r>
      <w:r w:rsidR="00892EAB">
        <w:t>40.2)</w:t>
      </w:r>
      <w:r>
        <w:t xml:space="preserve"> </w:t>
      </w:r>
      <w:r>
        <w:tab/>
      </w:r>
    </w:p>
    <w:p w14:paraId="521A6C5F" w14:textId="5ABC6861" w:rsidR="00CF3238" w:rsidRDefault="00CF3238" w:rsidP="0031255B"/>
    <w:p w14:paraId="08FD3259" w14:textId="72B909D0" w:rsidR="00CF3238" w:rsidRDefault="00CF3238" w:rsidP="0031255B">
      <w:r>
        <w:t>For smooth selection:</w:t>
      </w:r>
    </w:p>
    <w:p w14:paraId="17B6E231" w14:textId="036B31AB" w:rsidR="0031255B" w:rsidRPr="0031255B" w:rsidRDefault="00CF3238" w:rsidP="0031255B">
      <w:r>
        <w:t xml:space="preserve">Use standard deviation values in the 15-40 range and </w:t>
      </w:r>
      <w:r w:rsidR="009C1DEA">
        <w:t xml:space="preserve">exposure scaling factor 1 or 10. See which gives, when using 1 insecticide in sequence, </w:t>
      </w:r>
      <w:r w:rsidR="001D7A03">
        <w:t xml:space="preserve">a calibration that gives the most frequent time of 100 generations. </w:t>
      </w:r>
    </w:p>
    <w:sectPr w:rsidR="0031255B" w:rsidRPr="00312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6E1"/>
    <w:multiLevelType w:val="hybridMultilevel"/>
    <w:tmpl w:val="E38AA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B305D"/>
    <w:multiLevelType w:val="hybridMultilevel"/>
    <w:tmpl w:val="11BA6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F4"/>
    <w:rsid w:val="00051728"/>
    <w:rsid w:val="000E2CFE"/>
    <w:rsid w:val="001070BC"/>
    <w:rsid w:val="00121E40"/>
    <w:rsid w:val="00177DE4"/>
    <w:rsid w:val="001C56D1"/>
    <w:rsid w:val="001D7A03"/>
    <w:rsid w:val="001F6884"/>
    <w:rsid w:val="00252ACF"/>
    <w:rsid w:val="0026607E"/>
    <w:rsid w:val="00302DC6"/>
    <w:rsid w:val="0031255B"/>
    <w:rsid w:val="0031728B"/>
    <w:rsid w:val="00335604"/>
    <w:rsid w:val="00361CDE"/>
    <w:rsid w:val="003D6C47"/>
    <w:rsid w:val="00410168"/>
    <w:rsid w:val="00441114"/>
    <w:rsid w:val="005766C9"/>
    <w:rsid w:val="00680AB6"/>
    <w:rsid w:val="00697FB7"/>
    <w:rsid w:val="00716C15"/>
    <w:rsid w:val="007314DC"/>
    <w:rsid w:val="007837B4"/>
    <w:rsid w:val="00833365"/>
    <w:rsid w:val="0085204A"/>
    <w:rsid w:val="00892EAB"/>
    <w:rsid w:val="008C2B6B"/>
    <w:rsid w:val="009511B7"/>
    <w:rsid w:val="009975F4"/>
    <w:rsid w:val="009A752A"/>
    <w:rsid w:val="009B73F7"/>
    <w:rsid w:val="009C1DEA"/>
    <w:rsid w:val="009C435A"/>
    <w:rsid w:val="009D0AFF"/>
    <w:rsid w:val="009D4E10"/>
    <w:rsid w:val="00A66776"/>
    <w:rsid w:val="00A9580A"/>
    <w:rsid w:val="00AF2C1D"/>
    <w:rsid w:val="00B01FDD"/>
    <w:rsid w:val="00B07BCC"/>
    <w:rsid w:val="00BA4FE2"/>
    <w:rsid w:val="00BA77A4"/>
    <w:rsid w:val="00BD6EA3"/>
    <w:rsid w:val="00C7155C"/>
    <w:rsid w:val="00CC3A52"/>
    <w:rsid w:val="00CE5C15"/>
    <w:rsid w:val="00CF3238"/>
    <w:rsid w:val="00D04280"/>
    <w:rsid w:val="00D43829"/>
    <w:rsid w:val="00E157A5"/>
    <w:rsid w:val="00E73CC0"/>
    <w:rsid w:val="00F670EB"/>
    <w:rsid w:val="00F7009B"/>
    <w:rsid w:val="00F94307"/>
    <w:rsid w:val="00FE0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781B"/>
  <w15:chartTrackingRefBased/>
  <w15:docId w15:val="{FCC07B1D-4BE0-48CA-8F23-9B56190E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F4"/>
    <w:rPr>
      <w:color w:val="808080"/>
    </w:rPr>
  </w:style>
  <w:style w:type="paragraph" w:styleId="ListParagraph">
    <w:name w:val="List Paragraph"/>
    <w:basedOn w:val="Normal"/>
    <w:uiPriority w:val="34"/>
    <w:qFormat/>
    <w:rsid w:val="00441114"/>
    <w:pPr>
      <w:ind w:left="720"/>
      <w:contextualSpacing/>
    </w:pPr>
  </w:style>
  <w:style w:type="paragraph" w:styleId="Caption">
    <w:name w:val="caption"/>
    <w:basedOn w:val="Normal"/>
    <w:next w:val="Normal"/>
    <w:uiPriority w:val="35"/>
    <w:unhideWhenUsed/>
    <w:qFormat/>
    <w:rsid w:val="00302DC6"/>
    <w:pPr>
      <w:spacing w:after="200" w:line="240" w:lineRule="auto"/>
    </w:pPr>
    <w:rPr>
      <w:i/>
      <w:iCs/>
      <w:color w:val="44546A" w:themeColor="text2"/>
      <w:sz w:val="18"/>
      <w:szCs w:val="18"/>
    </w:rPr>
  </w:style>
  <w:style w:type="character" w:styleId="Hyperlink">
    <w:name w:val="Hyperlink"/>
    <w:basedOn w:val="DefaultParagraphFont"/>
    <w:uiPriority w:val="99"/>
    <w:unhideWhenUsed/>
    <w:rsid w:val="00FE0DBE"/>
    <w:rPr>
      <w:color w:val="0563C1" w:themeColor="hyperlink"/>
      <w:u w:val="single"/>
    </w:rPr>
  </w:style>
  <w:style w:type="character" w:styleId="UnresolvedMention">
    <w:name w:val="Unresolved Mention"/>
    <w:basedOn w:val="DefaultParagraphFont"/>
    <w:uiPriority w:val="99"/>
    <w:semiHidden/>
    <w:unhideWhenUsed/>
    <w:rsid w:val="00FE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ndbook-5-1.cochrane.org/chapter_7/7_7_3_2_obtaining_standard_deviations_from_standard_errors_and.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8874C-AC52-4C08-BE6A-E5DF5405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3</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Hobbs</dc:creator>
  <cp:keywords/>
  <dc:description/>
  <cp:lastModifiedBy>Neil Hobbs</cp:lastModifiedBy>
  <cp:revision>55</cp:revision>
  <dcterms:created xsi:type="dcterms:W3CDTF">2021-03-15T15:46:00Z</dcterms:created>
  <dcterms:modified xsi:type="dcterms:W3CDTF">2021-10-01T12:35:00Z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1560fdb3-783f-37da-a6b0-749046695dfd</vt:lpwstr>
  </property>
  <property fmtid="{D5CDD505-2E9C-101B-9397-08002B2CF9AE}" pid="24" name="Mendeley Citation Style_1">
    <vt:lpwstr>http://www.zotero.org/styles/apa</vt:lpwstr>
  </property>
</Properties>
</file>