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 xml:space="preserve">1  </w:t>
      </w: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BFBFBF"/>
        </w:rPr>
        <w:t>|</w:t>
      </w: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Введение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Одной из наиболее актуальных проблем современной прикладной физики является создание источников когерентного излучения терагерцового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ТГц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диапазона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Такие источники могли бы использоваться во множестве меди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цинских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ввиду достаточно малого поглощения этого излучения тканями человека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позволило бы разработать новые неинвазивные мето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ды диагностики онкологии и иных заболеваний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другим возможным приме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нением может стать спектроскопия сложных органических 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скольку они имеют вращательные и колебательные степени свободы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щие соответствующие частоты лежащие именно в терагерцовом диапазоне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both"/>
        <w:ind w:left="260" w:firstLine="851"/>
        <w:spacing w:after="0" w:line="378" w:lineRule="auto"/>
        <w:tabs>
          <w:tab w:leader="none" w:pos="1367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настоящее время имеется несколько способов генерации подобного излучения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имеют много недостатков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Одним из классов 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ких приборов являются квантово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каскадные лазеры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ККЛ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демонстри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руют превосходные характеристики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высокий КПД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высокий уровень коге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рентности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диапазоне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1­5 THz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выше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 THz [33].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 большая часть таких лазеров создается на основе полупроводников типа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A3B5 (GaAs, PbSb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InP),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имеют высокое поглощение на оптических фононах в диа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пазоне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5­15 THz. QCL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основе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GaN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подступают к спектральному диапазону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5 ­ 15 THz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 стороны низких частот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относительно частот оптических фоно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­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их рабочие характеристики требуют значительного улучшения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[3].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Альтернативой ККЛ являются лазеры на основе межзонных перехо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дов в узкозонных полупроводниковых структурах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Такие лазеры намного проще в изготовлении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также позволяют наблюдать стимулированное из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лучение и генерацию в диапазоне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5­15 THz.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их отличительной чертой является возможность перестройки частоты в достаточно широком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260"/>
        <w:spacing w:after="0" w:line="2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диапазоне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за счет изменения температуры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Однако ограничивающим факто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32" w:gutter="0" w:footer="0" w:header="0"/>
        </w:sectPr>
      </w:pPr>
    </w:p>
    <w:bookmarkStart w:id="1" w:name="page2"/>
    <w:bookmarkEnd w:id="1"/>
    <w:p>
      <w:pPr>
        <w:jc w:val="both"/>
        <w:ind w:left="26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ром является процесс безызлучательной оже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рекомбинации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 этом тради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ционно ожидается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вероятность межзонной оже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рекомбинации растёт с уменьшением ширины запрещённой зоны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может затруднить генерацию стимулированного излучения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рекомбинация представляет собой безызлучательный трёхча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стичный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типу носителей заряда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участвующих в процессе он 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лится на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CCHC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HHCH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 с участием двух электронов и дырки и процесс с двумя дырками и электроном соответственно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ходе это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 процесса пара носителей с противоположным зарядом рекомбинирует и передаёт энергию и импульс третьему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силу ограничений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накладываемых законами сохранения энергии и импульса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процесс является пороговым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температура сильно влияет на темп таких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значит и на эффективность лазеров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Повлиять на это можно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варьируя материалы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/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структуры и изменяя тем самым дисперсионные соотношения в них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частности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существуют зако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ны дисперсии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которых такие процессы принципиально запрещены зако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нами сохраниения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 примеру Дираковский закон дисперсии для массовых частиц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 другой стороны возможны структуры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которых энергетический порог таких оже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процессов к нулю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 примеру Дираковский закон дисперсии безмассовых частиц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Спектральный диапазон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 ­ 15 THz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 настоящему моменту частично перекрыт лишь диодными лазерами на основе халькогенидов свинца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олова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обеспечивают длины волн излучения вплоть до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46.5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µm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[26].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снижает эффективность оже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рекомбинации 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PbSnSe(Te) [33],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1"/>
        <w:spacing w:after="0" w:line="378" w:lineRule="auto"/>
        <w:tabs>
          <w:tab w:leader="none" w:pos="801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­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симметрия между законами дисперсии носителей в зоне проводимости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в валентной зоне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 их рабочие характеристики ограничены техноло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гией роста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существуют труднопреодолимые проблемы в реализации кван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товых ям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твердых растворов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PbSnSe(Te)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остаточная концентра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ция носителей остается на высоком уровне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10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cm</w:t>
      </w:r>
      <w:r>
        <w:rPr>
          <w:rFonts w:ascii="Times New Roman" w:cs="Times New Roman" w:eastAsia="Times New Roman" w:hAnsi="Times New Roman"/>
          <w:sz w:val="38"/>
          <w:szCs w:val="38"/>
          <w:i w:val="1"/>
          <w:iCs w:val="1"/>
          <w:color w:val="auto"/>
          <w:vertAlign w:val="superscript"/>
        </w:rPr>
        <w:t>−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 тому же технология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01" w:gutter="0" w:footer="0" w:header="0"/>
        </w:sectPr>
      </w:pPr>
    </w:p>
    <w:p>
      <w:pPr>
        <w:jc w:val="center"/>
        <w:ind w:right="-259"/>
        <w:spacing w:after="0" w:line="2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01" w:gutter="0" w:footer="0" w:header="0"/>
          <w:type w:val="continuous"/>
        </w:sectPr>
      </w:pPr>
    </w:p>
    <w:bookmarkStart w:id="2" w:name="page3"/>
    <w:bookmarkEnd w:id="2"/>
    <w:p>
      <w:pPr>
        <w:jc w:val="both"/>
        <w:ind w:left="26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производства подобных полупроводников пока не отработана в достаточной мере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не позволяет выращивать структуры с квантовыми ямами и един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ственной возможностью влиять на дисперсионное соотношение и ширину запрещенной зоны является изменение состава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Существуют альтернативные полупроводниковые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позволяют приблизиться к дираковскому закону дисперсии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с конеч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ной шириной запрещенной зоны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было показано в многочисленных работах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[15],[9],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 из таких систем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гетероструктуры с КЯ на основе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Hg(Cd)Te/CdHgTe.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отличие от графена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структурах на основе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HgCdTe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КЯ можно перестраивать ширину запрещенной зоны путем измене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­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ния ширины КЯ и содержания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Современная молекулярно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лучевая эпитаксия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МЛЭ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 высокое качество эпитаксиальных пленок КРТ не только на подложках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CdZnTe,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 на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альтернативных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подложках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GaAs [16].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Высокое качество эпитаксиальных структур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HgCdTe,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выращенных 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GaAs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подложках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было подтверждено в ходе иссле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­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дований фотопроводимости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ФП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фотолюминесценции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среднем и дальнем инфракрасном диапазонах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 = 15­30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µm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Было получено стимули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рованное излучение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КРТ структурах с КЯ на длине волны до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20.3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µm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[15],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то время как ранее лазерная генерация 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HgCdTe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была продемонстри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­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рована лишь в коротковолновой области среднего инфракрасного диапазона спектра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на длинах волн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 ­ 5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µm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Отдельный интерес представляют процессы с участием двумерных плазмонов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Классические лазеры на основе межзонных переходов сталкива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ются с определенными трудностями в плане уменьшения размера резонатора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 w:firstLine="1"/>
        <w:spacing w:after="0" w:line="378" w:lineRule="auto"/>
        <w:tabs>
          <w:tab w:leader="none" w:pos="50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порогового тока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Дальнейшее улучшение этих характеристик может быть достигнуто при лучшем перекрытии моды лазера и пика усиления активной среды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Такой подход ограничен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 диффракции для оптических мод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 возможен для двумерных плазмонов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Подобные решения уже были проде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монстрированны как теоретически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[6],[7],[23],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экспериментально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[19]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  <w:type w:val="continuous"/>
        </w:sectPr>
      </w:pPr>
    </w:p>
    <w:bookmarkStart w:id="3" w:name="page4"/>
    <w:bookmarkEnd w:id="3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при помощи поверхностных плазмонов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Идеи лазеров на основе квантовых ям и плазмонов могут быть объеди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нены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[14]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квантовые ямы поддерживают собственные плазмонные мо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обеспечивает лучшее удержание поля в сравнении с поверхностны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ми плазмонами на границе металл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изолятор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[25].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этом подходе межзонные переходы будут обеспечивать усиление для плазмонов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Однако это возмож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но лишь в узкозонных или бесщелевых полупроводниках из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за сравнительно низкой концентрации носителей заряда и низких частот плазмонов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Поэто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му квантовые ямы на основе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HgCdTe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выглядят наилучшим кандидатом для реализации этой идеи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Проблема усиления ЭМ в таких структурах уже была рассмотре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на в статье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[14].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Авторы рассматривали упрощенную зонную модель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BHZ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(Bernevig­Hughes­Zhang) [8]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зависимость коэффициента усиления от кон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­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центрации носителей в квантовой яме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пренебрегая пространственной дис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персией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качестве одного из основных результатов был рассмотрен вопрос пороговой концентрации носителей заряда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380" w:hanging="269"/>
        <w:spacing w:after="0"/>
        <w:tabs>
          <w:tab w:leader="none" w:pos="138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данной работе проводится расчёт энергетических зонных спектров</w:t>
      </w:r>
    </w:p>
    <w:p>
      <w:pPr>
        <w:spacing w:after="0" w:line="18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80" w:hanging="219"/>
        <w:spacing w:after="0"/>
        <w:tabs>
          <w:tab w:leader="none" w:pos="4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соответствующих волновых функций узкозонных гетероструктур с кванто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481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выми ямами на основе твёрдых расстворов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Hg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38"/>
          <w:szCs w:val="38"/>
          <w:i w:val="1"/>
          <w:iCs w:val="1"/>
          <w:color w:val="auto"/>
          <w:vertAlign w:val="subscript"/>
        </w:rPr>
        <w:t>−x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Cd</w:t>
      </w:r>
      <w:r>
        <w:rPr>
          <w:rFonts w:ascii="Times New Roman" w:cs="Times New Roman" w:eastAsia="Times New Roman" w:hAnsi="Times New Roman"/>
          <w:sz w:val="38"/>
          <w:szCs w:val="38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T 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Вычислется спектр двумерных плазмонов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ω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Arial Unicode MS" w:cs="Arial Unicode MS" w:eastAsia="Arial Unicode MS" w:hAnsi="Arial Unicode MS"/>
          <w:sz w:val="28"/>
          <w:szCs w:val="28"/>
          <w:i w:val="1"/>
          <w:iCs w:val="1"/>
          <w:color w:val="auto"/>
        </w:rPr>
        <w:t>⃗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зависимость уселиеня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потерь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которые и опре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деляются мнимой части частоты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ω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производится анализ для различных концентраций носителей заряда без приближений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использованных 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[14].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  <w:type w:val="continuous"/>
        </w:sectPr>
      </w:pPr>
    </w:p>
    <w:bookmarkStart w:id="4" w:name="page5"/>
    <w:bookmarkEnd w:id="4"/>
    <w:p>
      <w:pPr>
        <w:spacing w:after="0" w:line="28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/>
        <w:tabs>
          <w:tab w:leader="none" w:pos="5900" w:val="left"/>
          <w:tab w:leader="none" w:pos="9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 xml:space="preserve">2  </w:t>
      </w: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BFBFBF"/>
        </w:rPr>
        <w:t>|</w:t>
      </w: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Плазмонные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эффекты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HgCdTe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Плазмоны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это квазичастицы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отвечающие квантованию Ленгмюровских ко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лебаний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Они в значительной мере определяют оптические свойства матери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алов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том числе гетероструктур на основе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Hg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Cd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−x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T 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5580" w:val="left"/>
          <w:tab w:leader="none" w:pos="7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 xml:space="preserve">2.1. 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Электродинамические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свойства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двумерных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плазмонов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Плазмоны представляют собой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TM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волны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имеющие одну компоненту маг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нитного поля и две компоненты электрического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Они распространяются вдоль проводящего слоя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Схематичное изображение поля приведено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220" w:val="left"/>
          <w:tab w:leader="none" w:pos="6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B0F0"/>
        </w:rPr>
        <w:t>---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FF0000"/>
        </w:rPr>
        <w:t>+++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3"/>
          <w:szCs w:val="33"/>
          <w:color w:val="00B0F0"/>
        </w:rPr>
        <w:t>---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2.1: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Схематичное изображения распределения поля плазмона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Рассмотрим свойства плазмонов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предположении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ток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соот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ветствующий им локализован в квантовой яме и течет только в плоскости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left="26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Аппроксимация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δ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функцией является справедливой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поскольку характерная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5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80" w:gutter="0" w:footer="0" w:header="0"/>
        </w:sectPr>
      </w:pPr>
    </w:p>
    <w:bookmarkStart w:id="5" w:name="page6"/>
    <w:bookmarkEnd w:id="5"/>
    <w:p>
      <w:pPr>
        <w:ind w:left="260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 xml:space="preserve">длина волны имеет порядок единиц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m, a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толщина квантовой ямы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порядок единиц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nm.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Тогда из уравнений Максвелла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ε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˙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63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7"/>
                <w:szCs w:val="7"/>
                <w:i w:val="1"/>
                <w:iCs w:val="1"/>
                <w:color w:val="auto"/>
              </w:rPr>
              <w:t>⃗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7"/>
                <w:szCs w:val="7"/>
                <w:i w:val="1"/>
                <w:iCs w:val="1"/>
                <w:color w:val="auto"/>
              </w:rPr>
              <w:t>⃗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gridSpan w:val="2"/>
          </w:tcPr>
          <w:p>
            <w:pPr>
              <w:ind w:left="2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7"/>
                <w:szCs w:val="7"/>
                <w:i w:val="1"/>
                <w:iCs w:val="1"/>
                <w:color w:val="auto"/>
              </w:rPr>
              <w:t>⃗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2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gridSpan w:val="11"/>
          </w:tcPr>
          <w:p>
            <w:pPr>
              <w:ind w:left="2720"/>
              <w:spacing w:after="0" w:line="4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rot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4"/>
                <w:szCs w:val="54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j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;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0" w:type="dxa"/>
            <w:vAlign w:val="bottom"/>
            <w:gridSpan w:val="1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Предположим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 xml:space="preserve"> что ток обусловлен исключительно электрическим по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760" w:type="dxa"/>
            <w:vAlign w:val="bottom"/>
          </w:tcPr>
          <w:p>
            <w:pPr>
              <w:ind w:left="52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3400" w:type="dxa"/>
            <w:vAlign w:val="bottom"/>
            <w:gridSpan w:val="3"/>
          </w:tcPr>
          <w:p>
            <w:pPr>
              <w:jc w:val="right"/>
              <w:ind w:right="2563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8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80"/>
              </w:rPr>
              <w:t>⃗</w:t>
            </w:r>
          </w:p>
        </w:tc>
        <w:tc>
          <w:tcPr>
            <w:tcW w:w="1380" w:type="dxa"/>
            <w:vAlign w:val="bottom"/>
          </w:tcPr>
          <w:p>
            <w:pPr>
              <w:jc w:val="right"/>
              <w:ind w:right="621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7080" w:type="dxa"/>
            <w:vAlign w:val="bottom"/>
            <w:gridSpan w:val="15"/>
          </w:tcPr>
          <w:p>
            <w:pPr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лем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j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σE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и сделаем предположения о направлениях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j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  <w:spacing w:after="0" w:line="2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</w:rPr>
              <w:t>∥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 xml:space="preserve"> E 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</w:rPr>
              <w:t>∥</w:t>
            </w:r>
          </w:p>
        </w:tc>
        <w:tc>
          <w:tcPr>
            <w:tcW w:w="1380" w:type="dxa"/>
            <w:vAlign w:val="bottom"/>
          </w:tcPr>
          <w:p>
            <w:pPr>
              <w:jc w:val="right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, H </w:t>
            </w:r>
            <w:r>
              <w:rPr>
                <w:rFonts w:ascii="Arial Unicode MS" w:cs="Arial Unicode MS" w:eastAsia="Arial Unicode MS" w:hAnsi="Arial Unicode MS"/>
                <w:sz w:val="24"/>
                <w:szCs w:val="24"/>
                <w:i w:val="1"/>
                <w:iCs w:val="1"/>
                <w:color w:val="auto"/>
              </w:rPr>
              <w:t>∥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4"/>
                <w:szCs w:val="24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41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Распишем покомпонентно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9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7"/>
              </w:rPr>
              <w:t>ε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˙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ε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˙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π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jc w:val="right"/>
              <w:ind w:right="77"/>
              <w:spacing w:after="0" w:line="3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∂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120" w:type="dxa"/>
            <w:vAlign w:val="bottom"/>
          </w:tcPr>
          <w:p>
            <w:pPr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c</w:t>
            </w:r>
          </w:p>
        </w:tc>
        <w:tc>
          <w:tcPr>
            <w:tcW w:w="1820" w:type="dxa"/>
            <w:vAlign w:val="bottom"/>
            <w:gridSpan w:val="7"/>
          </w:tcPr>
          <w:p>
            <w:pPr>
              <w:jc w:val="right"/>
              <w:ind w:right="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∂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140" w:type="dxa"/>
            <w:vAlign w:val="bottom"/>
          </w:tcPr>
          <w:p>
            <w:pPr>
              <w:ind w:left="20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c</w:t>
            </w:r>
          </w:p>
        </w:tc>
        <w:tc>
          <w:tcPr>
            <w:tcW w:w="680" w:type="dxa"/>
            <w:vAlign w:val="bottom"/>
          </w:tcPr>
          <w:p>
            <w:pPr>
              <w:ind w:left="20"/>
              <w:spacing w:after="0" w:line="3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+</w:t>
            </w:r>
          </w:p>
        </w:tc>
        <w:tc>
          <w:tcPr>
            <w:tcW w:w="360" w:type="dxa"/>
            <w:vAlign w:val="bottom"/>
            <w:gridSpan w:val="2"/>
          </w:tcPr>
          <w:p>
            <w:pPr>
              <w:jc w:val="right"/>
              <w:spacing w:after="0" w:line="3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20" w:type="dxa"/>
            <w:vAlign w:val="bottom"/>
            <w:gridSpan w:val="1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Принимая во внимание уравнение на электрическое поле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: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3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3"/>
            <w:vMerge w:val="restart"/>
          </w:tcPr>
          <w:p>
            <w:pPr>
              <w:jc w:val="center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80"/>
              </w:rPr>
              <w:t>⃗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2"/>
              </w:rPr>
              <w:t>1</w:t>
            </w:r>
          </w:p>
        </w:tc>
        <w:tc>
          <w:tcPr>
            <w:tcW w:w="140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˙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rot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1540" w:type="dxa"/>
            <w:vAlign w:val="bottom"/>
            <w:gridSpan w:val="4"/>
          </w:tcPr>
          <w:p>
            <w:pPr>
              <w:jc w:val="right"/>
              <w:ind w:right="897"/>
              <w:spacing w:after="0" w:line="48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6"/>
                <w:szCs w:val="56"/>
                <w:i w:val="1"/>
                <w:iCs w:val="1"/>
                <w:color w:val="auto"/>
                <w:w w:val="78"/>
                <w:vertAlign w:val="subscript"/>
              </w:rPr>
              <w:t>c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  <w:w w:val="78"/>
              </w:rPr>
              <w:t>⃗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78"/>
              </w:rPr>
              <w:t>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78"/>
              </w:rPr>
              <w:t>;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0" w:type="dxa"/>
            <w:vAlign w:val="bottom"/>
            <w:gridSpan w:val="1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9"/>
              </w:rPr>
              <w:t>Сделаем его Фурье преобразование в плоскости квантовой ямы и по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9"/>
              </w:rPr>
              <w:t>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-548005</wp:posOffset>
                </wp:positionV>
                <wp:extent cx="8953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.05pt,-43.1499pt" to="265.1pt,-43.1499pt" o:allowincell="f" strokecolor="#000000" strokeweight="0.5738pt"/>
            </w:pict>
          </mc:Fallback>
        </mc:AlternateContent>
      </w:r>
    </w:p>
    <w:p>
      <w:pPr>
        <w:spacing w:after="0" w:line="11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4820" w:type="dxa"/>
            <w:vAlign w:val="bottom"/>
            <w:gridSpan w:val="18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лучим замкнутую систему уравнений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: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7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ω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11"/>
            <w:vMerge w:val="restart"/>
          </w:tcPr>
          <w:p>
            <w:pPr>
              <w:jc w:val="right"/>
              <w:ind w:right="548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ikE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∂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80" w:type="dxa"/>
            <w:vAlign w:val="bottom"/>
            <w:gridSpan w:val="10"/>
          </w:tcPr>
          <w:p>
            <w:pPr>
              <w:ind w:left="320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perscript"/>
              </w:rPr>
              <w:t>8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=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60" w:type="dxa"/>
            <w:vAlign w:val="bottom"/>
            <w:gridSpan w:val="11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ind w:left="36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w w:val="82"/>
              </w:rPr>
              <w:t>⃗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j</w:t>
            </w: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&lt;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20" w:type="dxa"/>
            <w:vAlign w:val="bottom"/>
            <w:gridSpan w:val="7"/>
            <w:vMerge w:val="restart"/>
          </w:tcPr>
          <w:p>
            <w:pPr>
              <w:spacing w:after="0" w:line="3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∂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 w:line="3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σE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x</w:t>
            </w: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60" w:type="dxa"/>
            <w:vAlign w:val="bottom"/>
            <w:gridSpan w:val="8"/>
            <w:vMerge w:val="restart"/>
          </w:tcPr>
          <w:p>
            <w:pPr>
              <w:spacing w:after="0" w:line="3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ω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 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;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920" w:type="dxa"/>
            <w:vAlign w:val="bottom"/>
            <w:gridSpan w:val="7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π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iε</w:t>
            </w:r>
          </w:p>
        </w:tc>
        <w:tc>
          <w:tcPr>
            <w:tcW w:w="1260" w:type="dxa"/>
            <w:vAlign w:val="bottom"/>
            <w:gridSpan w:val="8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(2.4)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2"/>
              </w:rPr>
              <w:t>c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|{z}</w:t>
            </w: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c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1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ikH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ind w:left="20"/>
              <w:spacing w:after="0" w:line="3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iε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ω</w:t>
            </w:r>
          </w:p>
        </w:tc>
        <w:tc>
          <w:tcPr>
            <w:tcW w:w="1060" w:type="dxa"/>
            <w:vAlign w:val="bottom"/>
            <w:gridSpan w:val="5"/>
            <w:vMerge w:val="restart"/>
          </w:tcPr>
          <w:p>
            <w:pPr>
              <w:jc w:val="right"/>
              <w:ind w:right="5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6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</w:tcPr>
          <w:p>
            <w:pPr>
              <w:ind w:left="4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c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000" w:type="dxa"/>
            <w:vAlign w:val="bottom"/>
            <w:gridSpan w:val="2"/>
            <w:vMerge w:val="restart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Решая её</w:t>
            </w:r>
          </w:p>
        </w:tc>
        <w:tc>
          <w:tcPr>
            <w:tcW w:w="6340" w:type="dxa"/>
            <w:vAlign w:val="bottom"/>
            <w:gridSpan w:val="29"/>
          </w:tcPr>
          <w:p>
            <w:pPr>
              <w:ind w:left="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 xml:space="preserve">получим уравнение на зависимость поля от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: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6"/>
        </w:trPr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000" w:type="dxa"/>
            <w:vAlign w:val="bottom"/>
            <w:gridSpan w:val="2"/>
          </w:tcPr>
          <w:p>
            <w:pPr>
              <w:ind w:left="15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∂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πi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ω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ω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80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x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gridSpan w:val="7"/>
            <w:vMerge w:val="restart"/>
          </w:tcPr>
          <w:p>
            <w:pPr>
              <w:ind w:left="60"/>
              <w:spacing w:after="0" w:line="3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ε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20" w:type="dxa"/>
            <w:vAlign w:val="bottom"/>
            <w:gridSpan w:val="10"/>
            <w:vMerge w:val="restart"/>
          </w:tcPr>
          <w:p>
            <w:pPr>
              <w:spacing w:after="0" w:line="3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σE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δ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color w:val="auto"/>
                <w:vertAlign w:val="sub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z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color w:val="auto"/>
                <w:vertAlign w:val="subscript"/>
              </w:rPr>
              <w:t>) +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80" w:type="dxa"/>
            <w:vAlign w:val="bottom"/>
            <w:gridSpan w:val="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−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ε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restart"/>
          </w:tcPr>
          <w:p>
            <w:pPr>
              <w:jc w:val="right"/>
              <w:ind w:right="317"/>
              <w:spacing w:after="0" w:line="3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∂z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εω</w:t>
            </w:r>
          </w:p>
        </w:tc>
        <w:tc>
          <w:tcPr>
            <w:tcW w:w="104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2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2</w:t>
            </w:r>
          </w:p>
        </w:tc>
        <w:tc>
          <w:tcPr>
            <w:tcW w:w="1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|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color w:val="auto"/>
                <w:w w:val="70"/>
                <w:vertAlign w:val="superscript"/>
              </w:rPr>
              <w:t>{z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70"/>
                <w:vertAlign w:val="sub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0"/>
              </w:rPr>
              <w:t>2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  <w:vMerge w:val="restart"/>
          </w:tcPr>
          <w:p>
            <w:pPr>
              <w:jc w:val="right"/>
              <w:ind w:right="1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1"/>
              </w:rPr>
              <w:t>}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|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70"/>
                <w:vertAlign w:val="superscript"/>
              </w:rPr>
              <w:t>{z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w w:val="70"/>
                <w:vertAlign w:val="sub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  <w:w w:val="70"/>
              </w:rPr>
              <w:t>2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7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1"/>
              </w:rPr>
              <w:t>}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9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260" w:firstLine="850"/>
        <w:spacing w:after="0" w:line="2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Предположим решение в виде спадающих от квантовой ямы экспо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нент с волновым вектором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iα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ind w:left="3860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8</w:t>
      </w:r>
    </w:p>
    <w:p>
      <w:pPr>
        <w:ind w:left="3860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  <w:vertAlign w:val="superscript"/>
        </w:rPr>
        <w:t>&lt;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E</w:t>
      </w:r>
      <w:r>
        <w:rPr>
          <w:rFonts w:ascii="Times New Roman" w:cs="Times New Roman" w:eastAsia="Times New Roman" w:hAnsi="Times New Roman"/>
          <w:sz w:val="29"/>
          <w:szCs w:val="29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exp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{−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αz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}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z &gt;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perscript"/>
        </w:rPr>
        <w:t>E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: </w:t>
      </w: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bscript"/>
        </w:rPr>
        <w:t>E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bscript"/>
        </w:rPr>
        <w:t>exp</w:t>
      </w: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bscript"/>
        </w:rPr>
        <w:t>{</w:t>
      </w: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bscript"/>
        </w:rPr>
        <w:t>αz</w:t>
      </w: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bscript"/>
        </w:rPr>
        <w:t>}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bscript"/>
        </w:rPr>
        <w:t>z &lt;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perscript"/>
        </w:rPr>
        <w:t>;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Интегрируя в окрестности нуля получим граничное условие на на про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34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изводные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restart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ω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3480" w:type="dxa"/>
            <w:vAlign w:val="bottom"/>
            <w:gridSpan w:val="2"/>
            <w:vMerge w:val="restart"/>
          </w:tcPr>
          <w:p>
            <w:pPr>
              <w:jc w:val="center"/>
              <w:ind w:left="2817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∂E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x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πi</w:t>
            </w:r>
          </w:p>
        </w:tc>
        <w:tc>
          <w:tcPr>
            <w:tcW w:w="17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3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9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∂z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"/>
                <w:szCs w:val="4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  <w:vertAlign w:val="superscript"/>
              </w:rPr>
              <w:t>+0</w:t>
            </w:r>
            <w:r>
              <w:rPr>
                <w:rFonts w:ascii="Times New Roman" w:cs="Times New Roman" w:eastAsia="Times New Roman" w:hAnsi="Times New Roman"/>
                <w:sz w:val="4"/>
                <w:szCs w:val="4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59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>=</w:t>
            </w:r>
          </w:p>
        </w:tc>
        <w:tc>
          <w:tcPr>
            <w:tcW w:w="420" w:type="dxa"/>
            <w:vAlign w:val="bottom"/>
            <w:tcBorders>
              <w:top w:val="single" w:sz="8" w:color="auto"/>
            </w:tcBorders>
          </w:tcPr>
          <w:p>
            <w:pPr>
              <w:ind w:left="6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εω</w:t>
            </w:r>
          </w:p>
        </w:tc>
        <w:tc>
          <w:tcPr>
            <w:tcW w:w="1040" w:type="dxa"/>
            <w:vAlign w:val="bottom"/>
          </w:tcPr>
          <w:p>
            <w:pPr>
              <w:ind w:left="6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  <w:vertAlign w:val="sub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  <w:vertAlign w:val="subscript"/>
              </w:rPr>
              <w:t>ε</w:t>
            </w:r>
          </w:p>
        </w:tc>
        <w:tc>
          <w:tcPr>
            <w:tcW w:w="300" w:type="dxa"/>
            <w:vAlign w:val="bottom"/>
            <w:tcBorders>
              <w:top w:val="single" w:sz="8" w:color="auto"/>
            </w:tcBorders>
          </w:tcPr>
          <w:p>
            <w:pPr>
              <w:ind w:left="4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  <w:vertAlign w:val="subscript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01" w:gutter="0" w:footer="0" w:header="0"/>
        </w:sectPr>
      </w:pPr>
    </w:p>
    <w:p>
      <w:pPr>
        <w:jc w:val="center"/>
        <w:ind w:right="-259"/>
        <w:spacing w:after="0" w:line="2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01" w:gutter="0" w:footer="0" w:header="0"/>
          <w:type w:val="continuous"/>
        </w:sectPr>
      </w:pPr>
    </w:p>
    <w:bookmarkStart w:id="6" w:name="page7"/>
    <w:bookmarkEnd w:id="6"/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Отсюда можно получить дисперсионное соотношение для таких дву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9"/>
        </w:trPr>
        <w:tc>
          <w:tcPr>
            <w:tcW w:w="3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мерных плазмонов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5"/>
                <w:vertAlign w:val="subscript"/>
              </w:rPr>
              <w:t>ω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5"/>
              </w:rPr>
              <w:t>2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3700" w:type="dxa"/>
            <w:vAlign w:val="bottom"/>
            <w:vMerge w:val="restart"/>
          </w:tcPr>
          <w:p>
            <w:pPr>
              <w:ind w:left="3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</w:rPr>
              <w:t>εω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jc w:val="right"/>
              <w:ind w:right="1438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2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(2.6)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40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ε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right"/>
              <w:ind w:right="1298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9"/>
        </w:trPr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2"/>
              </w:rPr>
              <w:t>c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92"/>
                <w:vertAlign w:val="superscript"/>
              </w:rPr>
              <w:t>2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 w:line="3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πσ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 xml:space="preserve">2.2. 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Дисперсионные соотношения плазмонов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Поскольку речь идёт о квантовании классических ЭМ колебаний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для полу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чения дисперсионного соотношения необходимо найти материальные соот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ношения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в частности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зависимость диэлектрической проницаемости от частоты и волнового вектора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Выражение для поправки к диэлектрической проницаемости является обобщением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формулы Линдхарда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учитывается несколько зон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то время как сам Линдхард работал в однозонном приближении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приведено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4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π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Z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ind w:left="920"/>
              <w:spacing w:after="0" w:line="3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3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0" w:type="dxa"/>
            <w:vAlign w:val="bottom"/>
            <w:gridSpan w:val="5"/>
          </w:tcPr>
          <w:p>
            <w:pPr>
              <w:jc w:val="center"/>
              <w:ind w:left="268"/>
              <w:spacing w:after="0" w:line="1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f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   f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11"/>
                <w:szCs w:val="11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)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340" w:type="dxa"/>
            <w:vAlign w:val="bottom"/>
            <w:vMerge w:val="restart"/>
          </w:tcPr>
          <w:p>
            <w:pPr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κ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pl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18"/>
                <w:szCs w:val="1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q, ω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) =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10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dk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vertAlign w:val="superscript"/>
              </w:rPr>
              <w:t>⃗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16"/>
                <w:szCs w:val="16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)</w:t>
            </w:r>
          </w:p>
        </w:tc>
        <w:tc>
          <w:tcPr>
            <w:tcW w:w="660" w:type="dxa"/>
            <w:vAlign w:val="bottom"/>
          </w:tcPr>
          <w:p>
            <w:pPr>
              <w:ind w:left="120"/>
              <w:spacing w:after="0" w:line="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i w:val="1"/>
                <w:iCs w:val="1"/>
                <w:color w:val="auto"/>
              </w:rPr>
              <w:t>−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4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86"/>
              </w:rPr>
              <w:t>¯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w w:val="86"/>
              </w:rPr>
              <w:t>hω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2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¯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hα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+</w:t>
            </w:r>
            <w:r>
              <w:rPr>
                <w:rFonts w:ascii="Arial Unicode MS" w:cs="Arial Unicode MS" w:eastAsia="Arial Unicode MS" w:hAnsi="Arial Unicode MS"/>
                <w:sz w:val="14"/>
                <w:szCs w:val="14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q,n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14"/>
                <w:szCs w:val="14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  <w:vertAlign w:val="subscript"/>
              </w:rPr>
              <w:t>k,m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jc w:val="right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;   (2.7)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gridSpan w:val="3"/>
          </w:tcPr>
          <w:p>
            <w:pPr>
              <w:ind w:left="60"/>
              <w:spacing w:after="0" w:line="1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0"/>
                <w:szCs w:val="10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 xml:space="preserve">V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  <w:vertAlign w:val="subscript"/>
              </w:rPr>
              <w:t>m,n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left="262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  <w:vertAlign w:val="superscript"/>
              </w:rPr>
              <w:t>ε</w:t>
            </w:r>
            <w:r>
              <w:rPr>
                <w:rFonts w:ascii="Times New Roman" w:cs="Times New Roman" w:eastAsia="Times New Roman" w:hAnsi="Times New Roman"/>
                <w:sz w:val="4"/>
                <w:szCs w:val="4"/>
                <w:i w:val="1"/>
                <w:iCs w:val="1"/>
                <w:color w:val="auto"/>
              </w:rPr>
              <w:t>m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−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−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80"/>
              <w:spacing w:after="0" w:line="1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X</w:t>
            </w: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40"/>
              <w:spacing w:after="0" w:line="1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−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440"/>
              <w:spacing w:after="0" w:line="1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</w:t>
            </w: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jc w:val="right"/>
              <w:ind w:right="915"/>
              <w:spacing w:after="0" w:line="1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3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-408305</wp:posOffset>
                </wp:positionV>
                <wp:extent cx="201549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2.8pt,-32.1499pt" to="341.5pt,-32.1499pt" o:allowincell="f" strokecolor="#000000" strokeweight="0.5738pt"/>
            </w:pict>
          </mc:Fallback>
        </mc:AlternateContent>
      </w:r>
    </w:p>
    <w:p>
      <w:pPr>
        <w:jc w:val="both"/>
        <w:ind w:left="260" w:firstLine="850"/>
        <w:spacing w:after="0" w:line="3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Ленгмюровские колебания являются колебаниями поляризации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ким образом они должны подчиняться уравнению связи поляризации и плот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ind w:left="4040"/>
        <w:spacing w:after="0" w:line="9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9"/>
          <w:szCs w:val="9"/>
          <w:i w:val="1"/>
          <w:iCs w:val="1"/>
          <w:color w:val="auto"/>
        </w:rPr>
        <w:t>⃗</w:t>
      </w:r>
    </w:p>
    <w:p>
      <w:pPr>
        <w:jc w:val="both"/>
        <w:ind w:left="260"/>
        <w:spacing w:after="0" w:line="39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ности свободного заряда </w:t>
      </w:r>
      <w:r>
        <w:rPr>
          <w:rFonts w:ascii="Arial Unicode MS" w:cs="Arial Unicode MS" w:eastAsia="Arial Unicode MS" w:hAnsi="Arial Unicode MS"/>
          <w:sz w:val="28"/>
          <w:szCs w:val="28"/>
          <w:i w:val="1"/>
          <w:iCs w:val="1"/>
          <w:color w:val="auto"/>
        </w:rPr>
        <w:t>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−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 такие колебания могут возбуждаться внешним электрическим полем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которое мы примем потенци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ind w:left="1320"/>
        <w:spacing w:after="0" w:line="223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2"/>
          <w:szCs w:val="22"/>
          <w:i w:val="1"/>
          <w:iCs w:val="1"/>
          <w:color w:val="auto"/>
        </w:rPr>
        <w:t>⃗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98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альным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=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−</w:t>
      </w:r>
      <w:r>
        <w:rPr>
          <w:rFonts w:ascii="Arial Unicode MS" w:cs="Arial Unicode MS" w:eastAsia="Arial Unicode MS" w:hAnsi="Arial Unicode MS"/>
          <w:sz w:val="29"/>
          <w:szCs w:val="29"/>
          <w:i w:val="1"/>
          <w:iCs w:val="1"/>
          <w:color w:val="auto"/>
        </w:rPr>
        <w:t>∇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φ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гармоническим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Тогда оно будет давать добавку потен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циальной энергии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tbl>
      <w:tblPr>
        <w:tblLayout w:type="fixed"/>
        <w:tblInd w:w="2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φ</w:t>
            </w:r>
          </w:p>
        </w:tc>
        <w:tc>
          <w:tcPr>
            <w:tcW w:w="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5"/>
              </w:rPr>
              <w:t>U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exp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{</w:t>
            </w:r>
          </w:p>
        </w:tc>
        <w:tc>
          <w:tcPr>
            <w:tcW w:w="400" w:type="dxa"/>
            <w:vAlign w:val="bottom"/>
          </w:tcPr>
          <w:p>
            <w:pPr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72"/>
              </w:rPr>
              <w:t>i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72"/>
              </w:rPr>
              <w:t>q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72"/>
              </w:rPr>
              <w:t>r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8"/>
              </w:rPr>
              <w:t>iωt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}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+</w:t>
            </w:r>
          </w:p>
        </w:tc>
        <w:tc>
          <w:tcPr>
            <w:tcW w:w="380" w:type="dxa"/>
            <w:vAlign w:val="bottom"/>
          </w:tcPr>
          <w:p>
            <w:pPr>
              <w:ind w:left="40"/>
              <w:spacing w:after="0" w:line="3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4"/>
              </w:rPr>
              <w:t>U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4"/>
                <w:vertAlign w:val="superscript"/>
              </w:rPr>
              <w:t>†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exp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{−</w:t>
            </w:r>
          </w:p>
        </w:tc>
        <w:tc>
          <w:tcPr>
            <w:tcW w:w="400" w:type="dxa"/>
            <w:vAlign w:val="bottom"/>
          </w:tcPr>
          <w:p>
            <w:pPr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72"/>
              </w:rPr>
              <w:t>i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72"/>
              </w:rPr>
              <w:t>q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72"/>
              </w:rPr>
              <w:t>r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+</w:t>
            </w:r>
          </w:p>
        </w:tc>
        <w:tc>
          <w:tcPr>
            <w:tcW w:w="4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8"/>
              </w:rPr>
              <w:t>iωt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5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}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1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(2.8)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3"/>
        </w:trPr>
        <w:tc>
          <w:tcPr>
            <w:tcW w:w="520" w:type="dxa"/>
            <w:vAlign w:val="bottom"/>
          </w:tcPr>
          <w:p>
            <w:pPr>
              <w:ind w:left="40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ˆ =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99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общем виде функции представляются в виде огибающей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зависящей от времени и быстроосциллирующего члена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частности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  <w:gridSpan w:val="3"/>
          </w:tcPr>
          <w:p>
            <w:pPr>
              <w:jc w:val="right"/>
              <w:ind w:right="84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</w:t>
            </w:r>
          </w:p>
        </w:tc>
        <w:tc>
          <w:tcPr>
            <w:tcW w:w="4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260" w:type="dxa"/>
            <w:vAlign w:val="bottom"/>
            <w:gridSpan w:val="2"/>
            <w:vMerge w:val="restart"/>
          </w:tcPr>
          <w:p>
            <w:pPr>
              <w:ind w:left="20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k, m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E</w:t>
            </w:r>
            <w:r>
              <w:rPr>
                <w:rFonts w:ascii="Arial Unicode MS" w:cs="Arial Unicode MS" w:eastAsia="Arial Unicode MS" w:hAnsi="Arial Unicode MS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bscript"/>
              </w:rPr>
              <w:t>=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√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40" w:type="dxa"/>
            <w:vAlign w:val="bottom"/>
            <w:vMerge w:val="restart"/>
          </w:tcPr>
          <w:p>
            <w:pPr>
              <w:ind w:left="8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exp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ik</w:t>
            </w:r>
            <w:r>
              <w:rPr>
                <w:rFonts w:ascii="Arial Unicode MS" w:cs="Arial Unicode MS" w:eastAsia="Arial Unicode MS" w:hAnsi="Arial Unicode MS"/>
                <w:sz w:val="25"/>
                <w:szCs w:val="25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Arial Unicode MS" w:cs="Arial Unicode MS" w:eastAsia="Arial Unicode MS" w:hAnsi="Arial Unicode MS"/>
                <w:sz w:val="18"/>
                <w:szCs w:val="1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r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o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 exp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iω</w:t>
            </w: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bscript"/>
              </w:rPr>
              <w:t>k,m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t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o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ψ</w:t>
            </w: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bscript"/>
              </w:rPr>
              <w:t>k,m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;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(2.9)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 w:line="9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S</w:t>
            </w:r>
          </w:p>
        </w:tc>
        <w:tc>
          <w:tcPr>
            <w:tcW w:w="4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4"/>
        </w:trPr>
        <w:tc>
          <w:tcPr>
            <w:tcW w:w="3120" w:type="dxa"/>
            <w:vAlign w:val="bottom"/>
          </w:tcPr>
          <w:p>
            <w:pPr>
              <w:ind w:left="860"/>
              <w:spacing w:after="0" w:line="6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color w:val="auto"/>
                <w:w w:val="70"/>
                <w:vertAlign w:val="subscript"/>
              </w:rPr>
              <w:t xml:space="preserve">Здесь </w:t>
            </w:r>
            <w:r>
              <w:rPr>
                <w:rFonts w:ascii="Arial Unicode MS" w:cs="Arial Unicode MS" w:eastAsia="Arial Unicode MS" w:hAnsi="Arial Unicode MS"/>
                <w:sz w:val="53"/>
                <w:szCs w:val="53"/>
                <w:i w:val="1"/>
                <w:iCs w:val="1"/>
                <w:color w:val="auto"/>
                <w:w w:val="70"/>
              </w:rPr>
              <w:t>⃗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70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color w:val="auto"/>
                <w:w w:val="7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color w:val="auto"/>
                <w:w w:val="70"/>
                <w:vertAlign w:val="subscript"/>
              </w:rPr>
              <w:t>­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color w:val="auto"/>
                <w:w w:val="7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color w:val="auto"/>
                <w:w w:val="70"/>
                <w:vertAlign w:val="subscript"/>
              </w:rPr>
              <w:t>волновой</w:t>
            </w:r>
          </w:p>
        </w:tc>
        <w:tc>
          <w:tcPr>
            <w:tcW w:w="6240" w:type="dxa"/>
            <w:vAlign w:val="bottom"/>
            <w:gridSpan w:val="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вектор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которому отвечает функция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7"/>
              </w:rPr>
              <w:t>m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­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номер под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7920" w:type="dxa"/>
            <w:vAlign w:val="bottom"/>
            <w:gridSpan w:val="5"/>
          </w:tcPr>
          <w:p>
            <w:pPr>
              <w:spacing w:after="0" w:line="28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зоны с учётом спина и размерного квантования по оси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ψ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  <w:vertAlign w:val="subscript"/>
              </w:rPr>
              <w:t>⃗</w:t>
            </w:r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 w:line="28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­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волновые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3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38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k,m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-949960</wp:posOffset>
                </wp:positionV>
                <wp:extent cx="2724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5.95pt,-74.7999pt" to="197.4pt,-74.7999pt" o:allowincell="f" strokecolor="#000000" strokeweight="0.5738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функции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??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полученные по методике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описанной в прошлой главе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??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05" w:gutter="0" w:footer="0" w:header="0"/>
        </w:sectPr>
      </w:pP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05" w:gutter="0" w:footer="0" w:header="0"/>
          <w:type w:val="continuous"/>
        </w:sectPr>
      </w:pPr>
    </w:p>
    <w:bookmarkStart w:id="7" w:name="page8"/>
    <w:bookmarkEnd w:id="7"/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 xml:space="preserve">Электрическое поле в виде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должно вызывать искажения такой рав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pacing w:after="0" w:line="1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8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9360" w:type="dxa"/>
            <w:vAlign w:val="bottom"/>
            <w:gridSpan w:val="6"/>
          </w:tcPr>
          <w:p>
            <w:pPr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новесной волновой функции с волновыми векторами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7"/>
              </w:rPr>
              <w:t>k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7"/>
              </w:rPr>
              <w:t>±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97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7"/>
              </w:rPr>
              <w:t>q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т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.e.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в первом по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3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рядке малости по полю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(2.10)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3"/>
        </w:trPr>
        <w:tc>
          <w:tcPr>
            <w:tcW w:w="2740" w:type="dxa"/>
            <w:vAlign w:val="bottom"/>
          </w:tcPr>
          <w:p>
            <w:pPr>
              <w:ind w:left="240"/>
              <w:spacing w:after="0" w:line="73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  <w:vertAlign w:val="subscript"/>
              </w:rPr>
              <w:t>ψ</w:t>
            </w:r>
            <w:r>
              <w:rPr>
                <w:rFonts w:ascii="Times New Roman" w:cs="Times New Roman" w:eastAsia="Times New Roman" w:hAnsi="Times New Roman"/>
                <w:sz w:val="38"/>
                <w:szCs w:val="38"/>
                <w:i w:val="1"/>
                <w:iCs w:val="1"/>
                <w:color w:val="auto"/>
                <w:w w:val="70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color w:val="auto"/>
                <w:w w:val="70"/>
                <w:vertAlign w:val="subscript"/>
              </w:rPr>
              <w:t>(</w:t>
            </w:r>
            <w:r>
              <w:rPr>
                <w:rFonts w:ascii="Arial Unicode MS" w:cs="Arial Unicode MS" w:eastAsia="Arial Unicode MS" w:hAnsi="Arial Unicode MS"/>
                <w:sz w:val="55"/>
                <w:szCs w:val="55"/>
                <w:i w:val="1"/>
                <w:iCs w:val="1"/>
                <w:color w:val="auto"/>
                <w:w w:val="70"/>
              </w:rPr>
              <w:t>⃗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  <w:vertAlign w:val="subscript"/>
              </w:rPr>
              <w:t>k,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55"/>
                <w:szCs w:val="55"/>
                <w:i w:val="1"/>
                <w:iCs w:val="1"/>
                <w:color w:val="auto"/>
                <w:w w:val="70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  <w:vertAlign w:val="subscript"/>
              </w:rPr>
              <w:t>r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color w:val="auto"/>
                <w:w w:val="70"/>
                <w:vertAlign w:val="subscript"/>
              </w:rPr>
              <w:t>) =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7"/>
                <w:szCs w:val="27"/>
                <w:i w:val="1"/>
                <w:iCs w:val="1"/>
                <w:color w:val="auto"/>
                <w:w w:val="70"/>
              </w:rPr>
              <w:t>⃗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  <w:vertAlign w:val="subscript"/>
              </w:rPr>
              <w:t>k, m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color w:val="auto"/>
                <w:w w:val="70"/>
                <w:vertAlign w:val="super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i w:val="1"/>
                <w:iCs w:val="1"/>
                <w:color w:val="auto"/>
                <w:w w:val="7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5"/>
                <w:szCs w:val="55"/>
                <w:color w:val="auto"/>
                <w:w w:val="70"/>
                <w:vertAlign w:val="subscript"/>
              </w:rPr>
              <w:t>+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n</w:t>
            </w:r>
          </w:p>
        </w:tc>
        <w:tc>
          <w:tcPr>
            <w:tcW w:w="2800" w:type="dxa"/>
            <w:vAlign w:val="bottom"/>
          </w:tcPr>
          <w:p>
            <w:pPr>
              <w:jc w:val="right"/>
              <w:spacing w:after="0" w:line="7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>b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80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80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80"/>
                <w:vertAlign w:val="subscript"/>
              </w:rPr>
              <w:t>+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80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80"/>
                <w:vertAlign w:val="subscript"/>
              </w:rPr>
              <w:t>q,m,n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0"/>
              </w:rPr>
              <w:t>(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>t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0"/>
              </w:rPr>
              <w:t>)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80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0"/>
              </w:rPr>
              <w:t>+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80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>q, n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80"/>
                <w:vertAlign w:val="super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0"/>
              </w:rPr>
              <w:t>+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n</w:t>
            </w:r>
          </w:p>
        </w:tc>
        <w:tc>
          <w:tcPr>
            <w:tcW w:w="2880" w:type="dxa"/>
            <w:vAlign w:val="bottom"/>
            <w:gridSpan w:val="2"/>
          </w:tcPr>
          <w:p>
            <w:pPr>
              <w:jc w:val="center"/>
              <w:ind w:right="97"/>
              <w:spacing w:after="0" w:line="7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c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77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7"/>
                <w:vertAlign w:val="subscript"/>
              </w:rPr>
              <w:t>k−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77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7"/>
                <w:vertAlign w:val="subscript"/>
              </w:rPr>
              <w:t>q,m,n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7"/>
              </w:rPr>
              <w:t>(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t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7"/>
              </w:rPr>
              <w:t>)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77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−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77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>q, n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7"/>
                <w:vertAlign w:val="super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7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120"/>
        <w:spacing w:after="0" w:line="2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таком случае плотность заряда может быть записана как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tbl>
      <w:tblPr>
        <w:tblLayout w:type="fixed"/>
        <w:tblInd w:w="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E</w:t>
            </w:r>
          </w:p>
        </w:tc>
        <w:tc>
          <w:tcPr>
            <w:tcW w:w="6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3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ρ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m</w:t>
            </w:r>
          </w:p>
        </w:tc>
        <w:tc>
          <w:tcPr>
            <w:tcW w:w="3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Z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5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5"/>
              </w:rPr>
              <w:t>dk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75"/>
                <w:vertAlign w:val="superscript"/>
              </w:rPr>
              <w:t>⃗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jc w:val="right"/>
              <w:spacing w:after="0" w:line="5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2"/>
              </w:rPr>
              <w:t>ψ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2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2"/>
              </w:rPr>
              <w:t>(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92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2"/>
              </w:rPr>
              <w:t xml:space="preserve">k, 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92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2"/>
              </w:rPr>
              <w:t>r</w:t>
            </w: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gridSpan w:val="3"/>
          </w:tcPr>
          <w:p>
            <w:pPr>
              <w:spacing w:after="0" w:line="5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6"/>
              </w:rPr>
              <w:t>ψ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86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6"/>
              </w:rPr>
              <w:t>(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86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6"/>
              </w:rPr>
              <w:t xml:space="preserve">k, 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86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6"/>
              </w:rPr>
              <w:t>r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−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gridSpan w:val="3"/>
          </w:tcPr>
          <w:p>
            <w:pPr>
              <w:ind w:left="20"/>
              <w:spacing w:after="0" w:line="6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91"/>
                <w:vertAlign w:val="superscript"/>
              </w:rPr>
              <w:t>f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1"/>
              </w:rPr>
              <w:t>m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91"/>
                <w:vertAlign w:val="superscript"/>
              </w:rPr>
              <w:t>(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91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91"/>
                <w:vertAlign w:val="super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91"/>
                <w:vertAlign w:val="superscript"/>
              </w:rPr>
              <w:t>) =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1"/>
                <w:vertAlign w:val="subscript"/>
              </w:rPr>
              <w:t>m,n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91"/>
                <w:vertAlign w:val="superscript"/>
              </w:rPr>
              <w:t>Z</w:t>
            </w:r>
          </w:p>
        </w:tc>
        <w:tc>
          <w:tcPr>
            <w:tcW w:w="2200" w:type="dxa"/>
            <w:vAlign w:val="bottom"/>
            <w:gridSpan w:val="3"/>
          </w:tcPr>
          <w:p>
            <w:pPr>
              <w:jc w:val="right"/>
              <w:ind w:right="1000"/>
              <w:spacing w:after="0" w:line="5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1"/>
              </w:rPr>
              <w:t>dkf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81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81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1"/>
              </w:rPr>
              <w:t>(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81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1"/>
              </w:rPr>
              <w:t>k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1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7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restart"/>
          </w:tcPr>
          <w:p>
            <w:pPr>
              <w:ind w:left="160"/>
              <w:spacing w:after="0" w:line="5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b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w w:val="79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79"/>
                <w:vertAlign w:val="subscript"/>
              </w:rPr>
              <w:t>+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q,m,n</w:t>
            </w:r>
          </w:p>
        </w:tc>
        <w:tc>
          <w:tcPr>
            <w:tcW w:w="1080" w:type="dxa"/>
            <w:vAlign w:val="bottom"/>
          </w:tcPr>
          <w:p>
            <w:pPr>
              <w:ind w:left="54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320" w:type="dxa"/>
            <w:vAlign w:val="bottom"/>
            <w:gridSpan w:val="4"/>
          </w:tcPr>
          <w:p>
            <w:pPr>
              <w:jc w:val="center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  <w:w w:val="83"/>
              </w:rPr>
              <w:t>⃗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†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center"/>
              <w:ind w:right="51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80"/>
              </w:rPr>
              <w:t>⃗</w:t>
            </w:r>
          </w:p>
        </w:tc>
        <w:tc>
          <w:tcPr>
            <w:tcW w:w="1420" w:type="dxa"/>
            <w:vAlign w:val="bottom"/>
            <w:gridSpan w:val="2"/>
            <w:vMerge w:val="restart"/>
          </w:tcPr>
          <w:p>
            <w:pPr>
              <w:jc w:val="right"/>
              <w:ind w:righ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0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t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) 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k, m</w:t>
            </w:r>
          </w:p>
        </w:tc>
        <w:tc>
          <w:tcPr>
            <w:tcW w:w="4540" w:type="dxa"/>
            <w:vAlign w:val="bottom"/>
            <w:gridSpan w:val="12"/>
          </w:tcPr>
          <w:p>
            <w:pPr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18"/>
                <w:szCs w:val="1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q, n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 b</w:t>
            </w: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bscript"/>
              </w:rPr>
              <w:t>+</w:t>
            </w: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bscript"/>
              </w:rPr>
              <w:t>q,m,n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t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18"/>
                <w:szCs w:val="1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q, n k, m</w:t>
            </w:r>
          </w:p>
        </w:tc>
        <w:tc>
          <w:tcPr>
            <w:tcW w:w="1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−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</w:t>
            </w: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−</w:t>
            </w: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E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</w:tcPr>
          <w:p>
            <w:pPr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−</w:t>
            </w: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</w:t>
            </w:r>
          </w:p>
        </w:tc>
        <w:tc>
          <w:tcPr>
            <w:tcW w:w="540" w:type="dxa"/>
            <w:vAlign w:val="bottom"/>
          </w:tcPr>
          <w:p>
            <w:pPr>
              <w:ind w:left="4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−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right"/>
              <w:ind w:right="92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E 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vMerge w:val="restart"/>
          </w:tcPr>
          <w:p>
            <w:pPr>
              <w:ind w:left="580"/>
              <w:spacing w:after="0" w:line="3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†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ind w:left="180"/>
              <w:spacing w:after="0" w:line="3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gridSpan w:val="3"/>
          </w:tcPr>
          <w:p>
            <w:pPr>
              <w:ind w:left="40"/>
              <w:spacing w:after="0" w:line="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8"/>
                <w:szCs w:val="8"/>
                <w:i w:val="1"/>
                <w:iCs w:val="1"/>
                <w:color w:val="auto"/>
              </w:rPr>
              <w:t>⃗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center"/>
              <w:ind w:right="71"/>
              <w:spacing w:after="0" w:line="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8"/>
                <w:szCs w:val="8"/>
                <w:i w:val="1"/>
                <w:iCs w:val="1"/>
                <w:color w:val="auto"/>
                <w:vertAlign w:val="subscript"/>
              </w:rPr>
              <w:t>⃗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  (2.11)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  <w:vMerge w:val="restart"/>
          </w:tcPr>
          <w:p>
            <w:pPr>
              <w:ind w:left="160"/>
              <w:spacing w:after="0" w:line="5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1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1"/>
                <w:vertAlign w:val="superscript"/>
              </w:rPr>
              <w:t>c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w w:val="71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1"/>
                <w:vertAlign w:val="subscript"/>
              </w:rPr>
              <w:t>k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restart"/>
          </w:tcPr>
          <w:p>
            <w:pPr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k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ind w:left="4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q, n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spacing w:after="0" w:line="5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0"/>
                <w:vertAlign w:val="superscript"/>
              </w:rPr>
              <w:t xml:space="preserve">+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0"/>
                <w:vertAlign w:val="superscript"/>
              </w:rPr>
              <w:t>c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w w:val="70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0"/>
                <w:vertAlign w:val="subscript"/>
              </w:rPr>
              <w:t>k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ind w:left="20"/>
              <w:spacing w:after="0" w:line="5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w w:val="90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0"/>
              </w:rPr>
              <w:t>q,m,n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90"/>
                <w:vertAlign w:val="super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90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90"/>
                <w:vertAlign w:val="superscript"/>
              </w:rPr>
              <w:t>)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ind w:left="20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k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4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gridSpan w:val="3"/>
          </w:tcPr>
          <w:p>
            <w:pPr>
              <w:jc w:val="right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99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9"/>
                <w:vertAlign w:val="subscript"/>
              </w:rPr>
              <w:t>q,m,n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9"/>
              </w:rPr>
              <w:t>t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9"/>
              </w:rPr>
              <w:t xml:space="preserve">)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9"/>
              </w:rPr>
              <w:t>k, m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gridSpan w:val="3"/>
          </w:tcPr>
          <w:p>
            <w:pPr>
              <w:ind w:left="32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  <w:w w:val="92"/>
              </w:rPr>
              <w:t>⃗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2"/>
              </w:rPr>
              <w:t>q, n k, m</w:t>
            </w: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120"/>
        <w:spacing w:after="0" w:line="2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Для получения коэффициентов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b, c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воспользуемся нестационарной</w:t>
      </w:r>
    </w:p>
    <w:p>
      <w:pPr>
        <w:sectPr>
          <w:pgSz w:w="11900" w:h="16838" w:orient="portrait"/>
          <w:cols w:equalWidth="0" w:num="1">
            <w:col w:w="9660"/>
          </w:cols>
          <w:pgMar w:left="1440" w:top="1123" w:right="806" w:bottom="236" w:gutter="0" w:footer="0" w:header="0"/>
        </w:sectPr>
      </w:pPr>
    </w:p>
    <w:p>
      <w:pPr>
        <w:spacing w:after="0" w:line="132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27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теорией возмущений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8"/>
        </w:trPr>
        <w:tc>
          <w:tcPr>
            <w:tcW w:w="7660" w:type="dxa"/>
            <w:vAlign w:val="bottom"/>
            <w:gridSpan w:val="7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9"/>
              </w:rPr>
              <w:t>Результатом для вычисления коэффициентов является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9"/>
              </w:rPr>
              <w:t>: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3"/>
        </w:trPr>
        <w:tc>
          <w:tcPr>
            <w:tcW w:w="7660" w:type="dxa"/>
            <w:vAlign w:val="bottom"/>
            <w:gridSpan w:val="7"/>
          </w:tcPr>
          <w:p>
            <w:pPr>
              <w:jc w:val="right"/>
              <w:ind w:right="97"/>
              <w:spacing w:after="0" w:line="7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bscript"/>
              </w:rPr>
              <w:t>b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79"/>
                <w:vertAlign w:val="subscript"/>
              </w:rPr>
              <w:t>+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9"/>
                <w:vertAlign w:val="subscript"/>
              </w:rPr>
              <w:t>q,m,n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b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b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bscript"/>
              </w:rPr>
              <w:t>) =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bscript"/>
              </w:rPr>
              <w:t>U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expn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iωt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iε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>m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(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)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/¯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h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iε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>n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(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)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/¯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h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9"/>
                <w:vertAlign w:val="superscript"/>
              </w:rPr>
              <w:t>αt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9"/>
                <w:vertAlign w:val="superscript"/>
              </w:rPr>
              <w:t>o</w:t>
            </w:r>
          </w:p>
        </w:tc>
        <w:tc>
          <w:tcPr>
            <w:tcW w:w="720" w:type="dxa"/>
            <w:vAlign w:val="bottom"/>
          </w:tcPr>
          <w:p>
            <w:pPr>
              <w:spacing w:after="0" w:line="6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2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w w:val="72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2"/>
              </w:rPr>
              <w:t>k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2"/>
              </w:rPr>
              <w:t>+</w:t>
            </w: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72"/>
              </w:rPr>
              <w:t>q,n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6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6"/>
                <w:szCs w:val="56"/>
                <w:i w:val="1"/>
                <w:iCs w:val="1"/>
                <w:color w:val="auto"/>
                <w:w w:val="70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w w:val="70"/>
              </w:rPr>
              <w:t>⃗</w:t>
            </w:r>
            <w:r>
              <w:rPr>
                <w:rFonts w:ascii="Times New Roman" w:cs="Times New Roman" w:eastAsia="Times New Roman" w:hAnsi="Times New Roman"/>
                <w:sz w:val="38"/>
                <w:szCs w:val="38"/>
                <w:i w:val="1"/>
                <w:iCs w:val="1"/>
                <w:color w:val="auto"/>
                <w:w w:val="70"/>
                <w:vertAlign w:val="subscript"/>
              </w:rPr>
              <w:t>k,m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6"/>
              </w:rPr>
              <w:t>D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1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34"/>
                <w:szCs w:val="34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) +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¯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hω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 ε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34"/>
                <w:szCs w:val="34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1"/>
                <w:szCs w:val="21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) +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 ihα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¯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1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exp</w:t>
            </w:r>
          </w:p>
        </w:tc>
        <w:tc>
          <w:tcPr>
            <w:tcW w:w="2920" w:type="dxa"/>
            <w:vAlign w:val="bottom"/>
          </w:tcPr>
          <w:p>
            <w:pPr>
              <w:spacing w:after="0" w:line="48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iωt  iε</w:t>
            </w:r>
            <w:r>
              <w:rPr>
                <w:rFonts w:ascii="Times New Roman" w:cs="Times New Roman" w:eastAsia="Times New Roman" w:hAnsi="Times New Roman"/>
                <w:sz w:val="33"/>
                <w:szCs w:val="33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47"/>
                <w:szCs w:val="47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t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/¯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 xml:space="preserve">h 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 xml:space="preserve"> iε</w:t>
            </w:r>
            <w:r>
              <w:rPr>
                <w:rFonts w:ascii="Times New Roman" w:cs="Times New Roman" w:eastAsia="Times New Roman" w:hAnsi="Times New Roman"/>
                <w:sz w:val="33"/>
                <w:szCs w:val="33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47"/>
                <w:szCs w:val="47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k</w:t>
            </w:r>
          </w:p>
        </w:tc>
        <w:tc>
          <w:tcPr>
            <w:tcW w:w="1600" w:type="dxa"/>
            <w:vAlign w:val="bottom"/>
          </w:tcPr>
          <w:p>
            <w:pPr>
              <w:ind w:left="32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89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9"/>
              </w:rPr>
              <w:t>q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9"/>
              </w:rPr>
              <w:t>)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9"/>
              </w:rPr>
              <w:t>t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9"/>
              </w:rPr>
              <w:t>/¯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9"/>
              </w:rPr>
              <w:t xml:space="preserve">h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9"/>
              </w:rPr>
              <w:t>+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9"/>
              </w:rPr>
              <w:t xml:space="preserve"> αt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100" w:type="dxa"/>
            <w:vAlign w:val="bottom"/>
            <w:gridSpan w:val="2"/>
            <w:vMerge w:val="restart"/>
          </w:tcPr>
          <w:p>
            <w:pPr>
              <w:ind w:left="1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perscript"/>
              </w:rPr>
              <w:t>c</w:t>
            </w:r>
            <w:r>
              <w:rPr>
                <w:rFonts w:ascii="Arial Unicode MS" w:cs="Arial Unicode MS" w:eastAsia="Arial Unicode MS" w:hAnsi="Arial Unicode MS"/>
                <w:sz w:val="13"/>
                <w:szCs w:val="1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 xml:space="preserve">  </w:t>
            </w:r>
            <w:r>
              <w:rPr>
                <w:rFonts w:ascii="Arial Unicode MS" w:cs="Arial Unicode MS" w:eastAsia="Arial Unicode MS" w:hAnsi="Arial Unicode MS"/>
                <w:sz w:val="17"/>
                <w:szCs w:val="17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vertAlign w:val="subscript"/>
              </w:rPr>
              <w:t>q,m,n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>) =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perscript"/>
              </w:rPr>
              <w:t>U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vertAlign w:val="superscript"/>
              </w:rPr>
              <w:t>†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ind w:left="420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2920" w:type="dxa"/>
            <w:vAlign w:val="bottom"/>
            <w:vMerge w:val="restart"/>
          </w:tcPr>
          <w:p>
            <w:pPr>
              <w:ind w:left="440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−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ind w:left="40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−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6"/>
              </w:rPr>
              <w:t>D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17"/>
                <w:szCs w:val="17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+</w:t>
            </w:r>
            <w:r>
              <w:rPr>
                <w:rFonts w:ascii="Arial Unicode MS" w:cs="Arial Unicode MS" w:eastAsia="Arial Unicode MS" w:hAnsi="Arial Unicode MS"/>
                <w:sz w:val="13"/>
                <w:szCs w:val="1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q,n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13"/>
                <w:szCs w:val="1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vertAlign w:val="subscript"/>
              </w:rPr>
              <w:t>k,m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2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  <w:vMerge w:val="restart"/>
          </w:tcPr>
          <w:p>
            <w:pPr>
              <w:ind w:left="240"/>
              <w:spacing w:after="0" w:line="3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¯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hω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 ε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39"/>
                <w:szCs w:val="39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23"/>
                <w:szCs w:val="2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) +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 xml:space="preserve"> ihα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¯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210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−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9260" w:space="20"/>
            <w:col w:w="180" w:space="40"/>
            <w:col w:w="160"/>
          </w:cols>
          <w:pgMar w:left="1440" w:top="1123" w:right="806" w:bottom="236" w:gutter="0" w:footer="0" w:header="0"/>
          <w:type w:val="continuous"/>
        </w:sectPr>
      </w:pPr>
    </w:p>
    <w:p>
      <w:pPr>
        <w:ind w:left="8920"/>
        <w:spacing w:after="0" w:line="2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(2.12)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both"/>
        <w:ind w:left="260" w:right="40" w:firstLine="851"/>
        <w:spacing w:after="0" w:line="310" w:lineRule="auto"/>
        <w:tabs>
          <w:tab w:leader="none" w:pos="1351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стоит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для случая квантовой ямы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скалярное произведение функций вида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ψ</w:t>
      </w:r>
      <w:r>
        <w:rPr>
          <w:rFonts w:ascii="Times New Roman" w:cs="Times New Roman" w:eastAsia="Times New Roman" w:hAnsi="Times New Roman"/>
          <w:sz w:val="38"/>
          <w:szCs w:val="38"/>
          <w:i w:val="1"/>
          <w:iCs w:val="1"/>
          <w:color w:val="auto"/>
          <w:vertAlign w:val="subscript"/>
        </w:rPr>
        <w:t>k,m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будет содержать в том числе и скалярное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произведение по оси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Предполагая квантованность по этой оси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pacing w:after="0" w:line="50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6"/>
              </w:rPr>
              <w:t>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0"/>
              </w:rPr>
              <w:t>E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i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ind w:left="9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j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jc w:val="right"/>
              <w:ind w:right="11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i</w:t>
            </w:r>
          </w:p>
        </w:tc>
        <w:tc>
          <w:tcPr>
            <w:tcW w:w="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j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ind w:left="9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gridSpan w:val="2"/>
          </w:tcPr>
          <w:p>
            <w:pPr>
              <w:spacing w:after="0" w:line="3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8"/>
                <w:szCs w:val="38"/>
                <w:color w:val="auto"/>
                <w:vertAlign w:val="superscript"/>
              </w:rPr>
              <w:t>X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X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15"/>
                <w:szCs w:val="15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vertAlign w:val="subscript"/>
              </w:rPr>
              <w:t>k,m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=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 *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ind w:left="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exp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z,i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ind w:left="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per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nij</w:t>
            </w:r>
            <w:r>
              <w:rPr>
                <w:rFonts w:ascii="Arial Unicode MS" w:cs="Arial Unicode MS" w:eastAsia="Arial Unicode MS" w:hAnsi="Arial Unicode MS"/>
                <w:sz w:val="15"/>
                <w:szCs w:val="15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q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)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u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j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r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)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exp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z,i</w:t>
            </w:r>
          </w:p>
        </w:tc>
        <w:tc>
          <w:tcPr>
            <w:tcW w:w="2120" w:type="dxa"/>
            <w:vAlign w:val="bottom"/>
            <w:gridSpan w:val="2"/>
            <w:vMerge w:val="restart"/>
          </w:tcPr>
          <w:p>
            <w:pPr>
              <w:ind w:left="48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c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mijk</w:t>
            </w:r>
            <w:r>
              <w:rPr>
                <w:rFonts w:ascii="Arial Unicode MS" w:cs="Arial Unicode MS" w:eastAsia="Arial Unicode MS" w:hAnsi="Arial Unicode MS"/>
                <w:sz w:val="23"/>
                <w:szCs w:val="23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)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u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j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r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84"/>
              <w:spacing w:after="0" w:line="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3"/>
                <w:szCs w:val="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i w:val="1"/>
                <w:iCs w:val="1"/>
                <w:color w:val="auto"/>
              </w:rPr>
              <w:t>q,n</w:t>
            </w: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jc w:val="right"/>
              <w:ind w:right="5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70"/>
              </w:rPr>
              <w:t>c</w:t>
            </w:r>
            <w:r>
              <w:rPr>
                <w:rFonts w:ascii="Times New Roman" w:cs="Times New Roman" w:eastAsia="Times New Roman" w:hAnsi="Times New Roman"/>
                <w:sz w:val="34"/>
                <w:szCs w:val="34"/>
                <w:i w:val="1"/>
                <w:iCs w:val="1"/>
                <w:color w:val="auto"/>
                <w:w w:val="70"/>
                <w:vertAlign w:val="subscript"/>
              </w:rPr>
              <w:t>ns</w:t>
            </w:r>
            <w:r>
              <w:rPr>
                <w:rFonts w:ascii="Times New Roman" w:cs="Times New Roman" w:eastAsia="Times New Roman" w:hAnsi="Times New Roman"/>
                <w:sz w:val="34"/>
                <w:szCs w:val="34"/>
                <w:i w:val="1"/>
                <w:iCs w:val="1"/>
                <w:color w:val="auto"/>
                <w:w w:val="70"/>
                <w:vertAlign w:val="superscript"/>
              </w:rPr>
              <w:t>†</w:t>
            </w:r>
          </w:p>
        </w:tc>
        <w:tc>
          <w:tcPr>
            <w:tcW w:w="1640" w:type="dxa"/>
            <w:vAlign w:val="bottom"/>
          </w:tcPr>
          <w:p>
            <w:pPr>
              <w:spacing w:after="0" w:line="7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40"/>
                <w:szCs w:val="40"/>
                <w:i w:val="1"/>
                <w:iCs w:val="1"/>
                <w:color w:val="auto"/>
                <w:w w:val="72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72"/>
                <w:vertAlign w:val="sub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i w:val="1"/>
                <w:iCs w:val="1"/>
                <w:color w:val="auto"/>
                <w:w w:val="72"/>
                <w:vertAlign w:val="super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w w:val="72"/>
                <w:vertAlign w:val="subscript"/>
              </w:rPr>
              <w:t>msk</w:t>
            </w:r>
            <w:r>
              <w:rPr>
                <w:rFonts w:ascii="Arial Unicode MS" w:cs="Arial Unicode MS" w:eastAsia="Arial Unicode MS" w:hAnsi="Arial Unicode MS"/>
                <w:sz w:val="19"/>
                <w:szCs w:val="19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2"/>
                <w:vertAlign w:val="superscript"/>
              </w:rPr>
              <w:t>;</w:t>
            </w:r>
            <w:r>
              <w:rPr>
                <w:rFonts w:ascii="Arial Unicode MS" w:cs="Arial Unicode MS" w:eastAsia="Arial Unicode MS" w:hAnsi="Arial Unicode MS"/>
                <w:sz w:val="40"/>
                <w:szCs w:val="40"/>
                <w:i w:val="1"/>
                <w:iCs w:val="1"/>
                <w:color w:val="auto"/>
                <w:w w:val="7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w w:val="72"/>
                <w:vertAlign w:val="superscript"/>
              </w:rPr>
              <w:t>(2.13)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"/>
        </w:trPr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jc w:val="center"/>
              <w:ind w:left="8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i,j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}</w:t>
            </w:r>
          </w:p>
        </w:tc>
        <w:tc>
          <w:tcPr>
            <w:tcW w:w="16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jc w:val="center"/>
              <w:ind w:left="771"/>
              <w:spacing w:after="0" w:line="5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 xml:space="preserve">s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{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120"/>
        <w:spacing w:after="0" w:line="2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Подставляя полученные выражения 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2.11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приводя подобные можно</w:t>
      </w:r>
    </w:p>
    <w:p>
      <w:pPr>
        <w:sectPr>
          <w:pgSz w:w="11900" w:h="16838" w:orient="portrait"/>
          <w:cols w:equalWidth="0" w:num="1">
            <w:col w:w="9660"/>
          </w:cols>
          <w:pgMar w:left="1440" w:top="1123" w:right="806" w:bottom="23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ectPr>
          <w:pgSz w:w="11900" w:h="16838" w:orient="portrait"/>
          <w:cols w:equalWidth="0" w:num="1">
            <w:col w:w="9660"/>
          </w:cols>
          <w:pgMar w:left="1440" w:top="1123" w:right="806" w:bottom="236" w:gutter="0" w:footer="0" w:header="0"/>
          <w:type w:val="continuous"/>
        </w:sectPr>
      </w:pPr>
    </w:p>
    <w:bookmarkStart w:id="8" w:name="page9"/>
    <w:bookmarkEnd w:id="8"/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15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получить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X </w:t>
            </w:r>
            <w:r>
              <w:rPr>
                <w:rFonts w:ascii="Times New Roman" w:cs="Times New Roman" w:eastAsia="Times New Roman" w:hAnsi="Times New Roman"/>
                <w:sz w:val="57"/>
                <w:szCs w:val="57"/>
                <w:color w:val="auto"/>
                <w:vertAlign w:val="superscript"/>
              </w:rPr>
              <w:t>Z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9"/>
              </w:rPr>
              <w:t>@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6"/>
              </w:rPr>
              <w:t>D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ind w:lef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??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ρ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center"/>
              <w:spacing w:after="0" w:line="33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9"/>
              </w:rPr>
              <w:t>e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89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9"/>
              </w:rPr>
              <w:t>U</w:t>
            </w:r>
          </w:p>
        </w:tc>
        <w:tc>
          <w:tcPr>
            <w:tcW w:w="1020" w:type="dxa"/>
            <w:vAlign w:val="bottom"/>
            <w:gridSpan w:val="3"/>
            <w:vMerge w:val="restart"/>
          </w:tcPr>
          <w:p>
            <w:pPr>
              <w:ind w:left="6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9"/>
              </w:rPr>
              <w:t xml:space="preserve">exp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9"/>
              </w:rPr>
              <w:t>i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79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9"/>
              </w:rPr>
              <w:t>q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79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9"/>
              </w:rPr>
              <w:t>r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1120" w:type="dxa"/>
            <w:vAlign w:val="bottom"/>
            <w:gridSpan w:val="4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iωt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αt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restart"/>
          </w:tcPr>
          <w:p>
            <w:pPr>
              <w:ind w:left="20"/>
              <w:spacing w:after="0" w:line="4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70"/>
              </w:rPr>
              <w:t>dk</w:t>
            </w:r>
            <w:r>
              <w:rPr>
                <w:rFonts w:ascii="Arial Unicode MS" w:cs="Arial Unicode MS" w:eastAsia="Arial Unicode MS" w:hAnsi="Arial Unicode MS"/>
                <w:sz w:val="43"/>
                <w:szCs w:val="43"/>
                <w:i w:val="1"/>
                <w:iCs w:val="1"/>
                <w:color w:val="auto"/>
                <w:w w:val="70"/>
                <w:vertAlign w:val="superscript"/>
              </w:rPr>
              <w:t>⃗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 w:line="33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4"/>
                <w:vertAlign w:val="superscript"/>
              </w:rPr>
              <w:t>ψ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  <w:w w:val="94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w w:val="94"/>
              </w:rPr>
              <w:t>k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4"/>
              </w:rPr>
              <w:t>+</w:t>
            </w:r>
            <w:r>
              <w:rPr>
                <w:rFonts w:ascii="Arial Unicode MS" w:cs="Arial Unicode MS" w:eastAsia="Arial Unicode MS" w:hAnsi="Arial Unicode MS"/>
                <w:sz w:val="17"/>
                <w:szCs w:val="17"/>
                <w:i w:val="1"/>
                <w:iCs w:val="1"/>
                <w:color w:val="auto"/>
                <w:w w:val="94"/>
              </w:rPr>
              <w:t>⃗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w w:val="94"/>
              </w:rPr>
              <w:t>q,n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 w:line="33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ψ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bscript"/>
              </w:rPr>
              <w:t>k,m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E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+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60" w:type="dxa"/>
            <w:vAlign w:val="bottom"/>
            <w:gridSpan w:val="3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ind w:right="15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S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right"/>
              <w:ind w:right="53"/>
              <w:spacing w:after="0" w:line="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{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gridSpan w:val="3"/>
          </w:tcPr>
          <w:p>
            <w:pPr>
              <w:jc w:val="center"/>
              <w:ind w:left="15"/>
              <w:spacing w:after="0" w:line="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  <w:vertAlign w:val="superscript"/>
              </w:rPr>
              <w:t>}</w:t>
            </w:r>
            <w:r>
              <w:rPr>
                <w:rFonts w:ascii="Times New Roman" w:cs="Times New Roman" w:eastAsia="Times New Roman" w:hAnsi="Times New Roman"/>
                <w:sz w:val="4"/>
                <w:szCs w:val="4"/>
                <w:i w:val="1"/>
                <w:iCs w:val="1"/>
                <w:color w:val="auto"/>
              </w:rPr>
              <w:t xml:space="preserve"> m,n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0" w:type="dxa"/>
            <w:vAlign w:val="bottom"/>
            <w:gridSpan w:val="6"/>
          </w:tcPr>
          <w:p>
            <w:pPr>
              <w:ind w:left="20"/>
              <w:spacing w:after="0" w:line="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) +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¯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hω   ε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20"/>
              <w:spacing w:after="0" w:line="9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 + </w:t>
            </w:r>
            <w:r>
              <w:rPr>
                <w:rFonts w:ascii="Arial Unicode MS" w:cs="Arial Unicode MS" w:eastAsia="Arial Unicode MS" w:hAnsi="Arial Unicode MS"/>
                <w:sz w:val="9"/>
                <w:szCs w:val="9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) +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ihα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¯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ind w:left="42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</w:rPr>
              <w:t>⃗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12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i w:val="1"/>
                <w:iCs w:val="1"/>
                <w:color w:val="auto"/>
                <w:w w:val="99"/>
              </w:rPr>
              <w:t>⃗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91"/>
              </w:rPr>
              <w:t>⃗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jc w:val="center"/>
              <w:ind w:left="152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4"/>
                <w:szCs w:val="34"/>
                <w:color w:val="auto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ψ</w:t>
            </w:r>
            <w:r>
              <w:rPr>
                <w:rFonts w:ascii="Arial Unicode MS" w:cs="Arial Unicode MS" w:eastAsia="Arial Unicode MS" w:hAnsi="Arial Unicode MS"/>
                <w:sz w:val="26"/>
                <w:szCs w:val="26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k−</w:t>
            </w:r>
            <w:r>
              <w:rPr>
                <w:rFonts w:ascii="Arial Unicode MS" w:cs="Arial Unicode MS" w:eastAsia="Arial Unicode MS" w:hAnsi="Arial Unicode MS"/>
                <w:sz w:val="26"/>
                <w:szCs w:val="26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q,n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 xml:space="preserve"> ψ</w:t>
            </w:r>
            <w:r>
              <w:rPr>
                <w:rFonts w:ascii="Arial Unicode MS" w:cs="Arial Unicode MS" w:eastAsia="Arial Unicode MS" w:hAnsi="Arial Unicode MS"/>
                <w:sz w:val="26"/>
                <w:szCs w:val="26"/>
                <w:i w:val="1"/>
                <w:iCs w:val="1"/>
                <w:color w:val="auto"/>
                <w:vertAlign w:val="sub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k,m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+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c.c.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=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gridSpan w:val="6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  <w:vMerge w:val="restart"/>
          </w:tcPr>
          <w:p>
            <w:pPr>
              <w:jc w:val="right"/>
              <w:ind w:right="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0"/>
              </w:rPr>
              <w:t>ihα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0"/>
              </w:rPr>
              <w:t>¯</w:t>
            </w:r>
          </w:p>
        </w:tc>
        <w:tc>
          <w:tcPr>
            <w:tcW w:w="1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33"/>
                <w:szCs w:val="33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</w:rPr>
              <w:t>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0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6"/>
              </w:rPr>
              <w:t>¯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6"/>
              </w:rPr>
              <w:t>hω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center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33"/>
                <w:szCs w:val="33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280" w:type="dxa"/>
            <w:vAlign w:val="bottom"/>
          </w:tcPr>
          <w:p>
            <w:pPr>
              <w:jc w:val="center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k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ind w:left="40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5"/>
                <w:szCs w:val="25"/>
                <w:i w:val="1"/>
                <w:iCs w:val="1"/>
                <w:color w:val="auto"/>
                <w:w w:val="72"/>
              </w:rPr>
              <w:t>⃗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72"/>
              </w:rPr>
              <w:t>q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w w:val="72"/>
              </w:rPr>
              <w:t>)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7"/>
        </w:trPr>
        <w:tc>
          <w:tcPr>
            <w:tcW w:w="4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A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50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36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</w:p>
        </w:tc>
        <w:tc>
          <w:tcPr>
            <w:tcW w:w="1400" w:type="dxa"/>
            <w:vAlign w:val="bottom"/>
          </w:tcPr>
          <w:p>
            <w:pPr>
              <w:ind w:left="40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e U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8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X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</w:tcPr>
          <w:p>
            <w:pPr>
              <w:ind w:left="2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D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ind w:right="177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>exp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{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i</w:t>
            </w:r>
            <w:r>
              <w:rPr>
                <w:rFonts w:ascii="Arial Unicode MS" w:cs="Arial Unicode MS" w:eastAsia="Arial Unicode MS" w:hAnsi="Arial Unicode MS"/>
                <w:sz w:val="13"/>
                <w:szCs w:val="1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q</w:t>
            </w:r>
            <w:r>
              <w:rPr>
                <w:rFonts w:ascii="Arial Unicode MS" w:cs="Arial Unicode MS" w:eastAsia="Arial Unicode MS" w:hAnsi="Arial Unicode MS"/>
                <w:sz w:val="13"/>
                <w:szCs w:val="13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r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−</w:t>
            </w:r>
          </w:p>
        </w:tc>
        <w:tc>
          <w:tcPr>
            <w:tcW w:w="1160" w:type="dxa"/>
            <w:vAlign w:val="bottom"/>
            <w:gridSpan w:val="4"/>
            <w:vMerge w:val="restart"/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 xml:space="preserve">iωt 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 xml:space="preserve"> αt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gridSpan w:val="2"/>
            <w:vMerge w:val="restart"/>
          </w:tcPr>
          <w:p>
            <w:pPr>
              <w:jc w:val="center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i w:val="1"/>
                <w:iCs w:val="1"/>
                <w:color w:val="auto"/>
              </w:rPr>
              <w:t>dk</w:t>
            </w:r>
            <w:r>
              <w:rPr>
                <w:rFonts w:ascii="Arial Unicode MS" w:cs="Arial Unicode MS" w:eastAsia="Arial Unicode MS" w:hAnsi="Arial Unicode MS"/>
                <w:sz w:val="13"/>
                <w:szCs w:val="13"/>
                <w:i w:val="1"/>
                <w:iCs w:val="1"/>
                <w:color w:val="auto"/>
                <w:vertAlign w:val="superscript"/>
              </w:rPr>
              <w:t>⃗</w:t>
            </w:r>
          </w:p>
        </w:tc>
        <w:tc>
          <w:tcPr>
            <w:tcW w:w="500" w:type="dxa"/>
            <w:vAlign w:val="bottom"/>
            <w:gridSpan w:val="2"/>
            <w:vMerge w:val="restart"/>
          </w:tcPr>
          <w:p>
            <w:pPr>
              <w:ind w:left="12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ψ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</w:tcPr>
          <w:p>
            <w:pPr>
              <w:jc w:val="center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i w:val="1"/>
                <w:iCs w:val="1"/>
                <w:color w:val="auto"/>
              </w:rPr>
              <w:t>f</w:t>
            </w:r>
            <w:r>
              <w:rPr>
                <w:rFonts w:ascii="Times New Roman" w:cs="Times New Roman" w:eastAsia="Times New Roman" w:hAnsi="Times New Roman"/>
                <w:sz w:val="4"/>
                <w:szCs w:val="4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</w:rPr>
              <w:t>)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−</w:t>
            </w:r>
          </w:p>
        </w:tc>
        <w:tc>
          <w:tcPr>
            <w:tcW w:w="1400" w:type="dxa"/>
            <w:vAlign w:val="bottom"/>
          </w:tcPr>
          <w:p>
            <w:pPr>
              <w:ind w:left="40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f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9"/>
                <w:szCs w:val="9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)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23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140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S</w:t>
            </w: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60" w:type="dxa"/>
            <w:vAlign w:val="bottom"/>
            <w:gridSpan w:val="4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94967295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</w:tcPr>
          <w:p>
            <w:pPr>
              <w:ind w:left="20"/>
              <w:spacing w:after="0" w:line="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}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m,n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perscript"/>
              </w:rPr>
              <w:t>Z</w:t>
            </w: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gridSpan w:val="3"/>
          </w:tcPr>
          <w:p>
            <w:pPr>
              <w:spacing w:after="0" w:line="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+</w:t>
            </w: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q,n</w:t>
            </w: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160" w:type="dxa"/>
            <w:vAlign w:val="bottom"/>
            <w:gridSpan w:val="6"/>
          </w:tcPr>
          <w:p>
            <w:pPr>
              <w:ind w:left="180"/>
              <w:spacing w:after="0" w:line="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perscript"/>
              </w:rPr>
              <w:t>k,m</w:t>
            </w: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  <w:vertAlign w:val="superscript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ε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bscript"/>
              </w:rPr>
              <w:t>(</w:t>
            </w: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bscript"/>
              </w:rPr>
              <w:t>) +</w:t>
            </w: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bscript"/>
              </w:rPr>
              <w:t>¯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hω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0" w:type="dxa"/>
            <w:vAlign w:val="bottom"/>
            <w:gridSpan w:val="3"/>
          </w:tcPr>
          <w:p>
            <w:pPr>
              <w:spacing w:after="0" w:line="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  <w:vertAlign w:val="superscript"/>
              </w:rPr>
              <w:t>⃗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k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 Unicode MS" w:cs="Arial Unicode MS" w:eastAsia="Arial Unicode MS" w:hAnsi="Arial Unicode MS"/>
                <w:sz w:val="1"/>
                <w:szCs w:val="1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) +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ihα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¯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(2.14)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-724535</wp:posOffset>
                </wp:positionV>
                <wp:extent cx="230822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0.9pt,-57.0499pt" to="492.65pt,-57.0499pt" o:allowincell="f" strokecolor="#000000" strokeweight="0.5738pt"/>
            </w:pict>
          </mc:Fallback>
        </mc:AlternateConten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both"/>
        <w:ind w:left="260" w:right="540" w:firstLine="850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Учитывая это выражение мы получаем формулу Линдхарда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2.7.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Обла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дая этим знанием сравнительно легко получить дисперсионное соотношение для плазмонов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2.15,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решая следующее уравнение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tbl>
      <w:tblPr>
        <w:tblLayout w:type="fixed"/>
        <w:tblInd w:w="3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1040" w:type="dxa"/>
            <w:vAlign w:val="bottom"/>
            <w:gridSpan w:val="3"/>
          </w:tcPr>
          <w:p>
            <w:pPr>
              <w:ind w:left="26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 xml:space="preserve">1  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</w:rPr>
              <w:t>κ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color w:val="auto"/>
                <w:vertAlign w:val="superscript"/>
              </w:rPr>
              <w:t>2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ind w:left="10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78"/>
              </w:rPr>
              <w:t xml:space="preserve">= 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  <w:w w:val="78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8"/>
              </w:rPr>
              <w:t>q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78"/>
                <w:vertAlign w:val="superscript"/>
              </w:rPr>
              <w:t>2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−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κ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</w:rPr>
              <w:t>ω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color w:val="auto"/>
                <w:vertAlign w:val="superscript"/>
              </w:rPr>
              <w:t>2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(2.15)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right"/>
              <w:ind w:right="1177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1040" w:type="dxa"/>
            <w:vAlign w:val="bottom"/>
            <w:gridSpan w:val="3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(2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π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κ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c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perscript"/>
              </w:rPr>
              <w:t>2</w:t>
            </w: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pl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both"/>
        <w:ind w:left="260" w:right="54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Очевидно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это уравнение может иметь мнимые корни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Причём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численно удобнее решать это уравнение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задавая частоту и решая относительно волнового вектора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 w:right="540" w:firstLine="850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За счёт фононного вклада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[22] 2.16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диэлектрическую проницаемость это уравнение обладает двумя решениями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отвечающими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нижней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верх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ветвям дисперсионного соотношения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10160"/>
          </w:cols>
          <w:pgMar w:left="1440" w:top="1123" w:right="306" w:bottom="236" w:gutter="0" w:footer="0" w:header="0"/>
        </w:sectPr>
      </w:pP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5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ω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−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ω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</w:p>
    <w:p>
      <w:pPr>
        <w:ind w:left="2920"/>
        <w:spacing w:after="0"/>
        <w:tabs>
          <w:tab w:leader="none" w:pos="4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perscript"/>
        </w:rPr>
        <w:t>κ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perscript"/>
        </w:rPr>
        <w:t>ph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perscript"/>
        </w:rPr>
        <w:t>(</w:t>
      </w:r>
      <w:r>
        <w:rPr>
          <w:rFonts w:ascii="Times New Roman" w:cs="Times New Roman" w:eastAsia="Times New Roman" w:hAnsi="Times New Roman"/>
          <w:sz w:val="57"/>
          <w:szCs w:val="57"/>
          <w:i w:val="1"/>
          <w:iCs w:val="1"/>
          <w:color w:val="auto"/>
          <w:vertAlign w:val="superscript"/>
        </w:rPr>
        <w:t>ω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perscript"/>
        </w:rPr>
        <w:t>) 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1"/>
          <w:szCs w:val="41"/>
          <w:color w:val="auto"/>
          <w:vertAlign w:val="superscript"/>
        </w:rPr>
        <w:t xml:space="preserve">1 + 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ω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T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2</w:t>
      </w:r>
      <w:r>
        <w:rPr>
          <w:rFonts w:ascii="Times New Roman" w:cs="Times New Roman" w:eastAsia="Times New Roman" w:hAnsi="Times New Roman"/>
          <w:sz w:val="41"/>
          <w:szCs w:val="4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−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perscript"/>
        </w:rPr>
        <w:t>L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ω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2</w:t>
      </w:r>
      <w:r>
        <w:rPr>
          <w:rFonts w:ascii="Times New Roman" w:cs="Times New Roman" w:eastAsia="Times New Roman" w:hAnsi="Times New Roman"/>
          <w:sz w:val="41"/>
          <w:szCs w:val="4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1"/>
          <w:szCs w:val="41"/>
          <w:color w:val="auto"/>
          <w:vertAlign w:val="subscript"/>
        </w:rPr>
        <w:t>+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perscript"/>
        </w:rPr>
        <w:t>T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41"/>
          <w:szCs w:val="41"/>
          <w:color w:val="auto"/>
          <w:vertAlign w:val="subscript"/>
        </w:rPr>
        <w:t>Γ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-254635</wp:posOffset>
                </wp:positionV>
                <wp:extent cx="112903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0.65pt,-20.0499pt" to="329.55pt,-20.0499pt" o:allowincell="f" strokecolor="#000000" strokeweight="0.5738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(2.16)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6580" w:space="300"/>
            <w:col w:w="3280"/>
          </w:cols>
          <w:pgMar w:left="1440" w:top="1123" w:right="306" w:bottom="236" w:gutter="0" w:footer="0" w:header="0"/>
          <w:type w:val="continuous"/>
        </w:sectPr>
      </w:pPr>
    </w:p>
    <w:p>
      <w:pPr>
        <w:jc w:val="both"/>
        <w:ind w:left="260" w:right="540" w:firstLine="85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Оказывается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LO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фононы и плазмоны могут взаимодействовать за счет продольной компоненты поля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объемном материале эта задача была рас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смотрена 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[36].</w:t>
      </w:r>
    </w:p>
    <w:p>
      <w:pPr>
        <w:sectPr>
          <w:pgSz w:w="11900" w:h="16838" w:orient="portrait"/>
          <w:cols w:equalWidth="0" w:num="1">
            <w:col w:w="10160"/>
          </w:cols>
          <w:pgMar w:left="1440" w:top="1123" w:right="306" w:bottom="23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center"/>
        <w:ind w:righ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ectPr>
          <w:pgSz w:w="11900" w:h="16838" w:orient="portrait"/>
          <w:cols w:equalWidth="0" w:num="1">
            <w:col w:w="10160"/>
          </w:cols>
          <w:pgMar w:left="1440" w:top="1123" w:right="306" w:bottom="236" w:gutter="0" w:footer="0" w:header="0"/>
          <w:type w:val="continuous"/>
        </w:sectPr>
      </w:pPr>
    </w:p>
    <w:bookmarkStart w:id="9" w:name="page10"/>
    <w:bookmarkEnd w:id="9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 xml:space="preserve">2.3. 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Метод расчета спектра плазмонов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этом разделе будет обсуждаться техническая сторона вычисления диспер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сии плазмонов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Первым шагом для этого является вычисление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спектров носителей заряда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Это может быть сделано согласно методике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подробно опи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санной 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[32].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Такой подход позволяет получить одновременно сами спектры и соответствующие и коэффициенты разложения волновых функций по ба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зису плоских волн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2.9.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Важным обстоятельством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упрощающим расчет является 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 все подзоны размерного квантования по оси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быть учтены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посколь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ку не все из них достаточно населены носителями заряда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практике хва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тает всего нескольких валентных подзон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1­2­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 электронных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После этого производится поиск уровней ферми для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сво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дится к получению интегралов от вероятности нахождения частицы в точке с заданным значением спина и волнового вектора в зависимости от химпо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тенциала и решению уравнения относительно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ectPr>
          <w:pgSz w:w="11900" w:h="16838" w:orient="portrait"/>
          <w:cols w:equalWidth="0" w:num="1">
            <w:col w:w="9620"/>
          </w:cols>
          <w:pgMar w:left="1440" w:top="1233" w:right="846" w:bottom="236" w:gutter="0" w:footer="0" w:header="0"/>
        </w:sectPr>
      </w:pPr>
    </w:p>
    <w:p>
      <w:pPr>
        <w:jc w:val="right"/>
        <w:spacing w:after="0" w:line="1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X </w:t>
      </w:r>
      <w:r>
        <w:rPr>
          <w:rFonts w:ascii="Times New Roman" w:cs="Times New Roman" w:eastAsia="Times New Roman" w:hAnsi="Times New Roman"/>
          <w:sz w:val="57"/>
          <w:szCs w:val="57"/>
          <w:color w:val="auto"/>
          <w:vertAlign w:val="superscript"/>
        </w:rPr>
        <w:t>Z</w:t>
      </w:r>
    </w:p>
    <w:p>
      <w:pPr>
        <w:ind w:left="3860" w:hanging="334"/>
        <w:spacing w:after="0" w:line="196" w:lineRule="auto"/>
        <w:tabs>
          <w:tab w:leader="none" w:pos="38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=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5"/>
        </w:trPr>
        <w:tc>
          <w:tcPr>
            <w:tcW w:w="58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6"/>
              </w:rPr>
              <w:t>d</w:t>
            </w: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9"/>
              </w:rPr>
              <w:t>2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  <w:w w:val="89"/>
              </w:rPr>
              <w:t>⃗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5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k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vMerge w:val="restart"/>
          </w:tcPr>
          <w:p>
            <w:pPr>
              <w:jc w:val="right"/>
              <w:ind w:right="1137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right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(2.17)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</w:tcPr>
          <w:p>
            <w:pPr>
              <w:ind w:left="20"/>
              <w:spacing w:after="0" w:line="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6"/>
                <w:szCs w:val="6"/>
                <w:i w:val="1"/>
                <w:iCs w:val="1"/>
                <w:color w:val="auto"/>
              </w:rPr>
              <w:t>⃗</w:t>
            </w: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6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1 +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e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1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ε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</w:tcPr>
          <w:p>
            <w:pPr>
              <w:ind w:left="4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T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780" w:space="200"/>
            <w:col w:w="4640"/>
          </w:cols>
          <w:pgMar w:left="1440" w:top="1233" w:right="846" w:bottom="236" w:gutter="0" w:footer="0" w:header="0"/>
          <w:type w:val="continuous"/>
        </w:sectPr>
      </w:pPr>
    </w:p>
    <w:p>
      <w:pPr>
        <w:ind w:left="260" w:firstLine="850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После этого для каждого отдельно взятого значения волнового вектора плазмона осуществляется поиск решения уравнений 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??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2.15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относительно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20" w:hanging="259"/>
        <w:spacing w:after="0" w:line="389" w:lineRule="exact"/>
        <w:tabs>
          <w:tab w:leader="none" w:pos="5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</w:pPr>
      <w:r>
        <w:rPr>
          <w:rFonts w:ascii="Arial Unicode MS" w:cs="Arial Unicode MS" w:eastAsia="Arial Unicode MS" w:hAnsi="Arial Unicode MS"/>
          <w:sz w:val="29"/>
          <w:szCs w:val="29"/>
          <w:i w:val="1"/>
          <w:iCs w:val="1"/>
          <w:color w:val="auto"/>
        </w:rPr>
        <w:t>∈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C.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 решения является итеративным и использует одну из библио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течных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эта стадия крайне чувствительна к заданию началь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ного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лучшей сходимости дисперсионные соотношения полу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ченные при близкий параметрах аппроксимировались полиномами и исполь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зовались в качестве начального значения для этой рутины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позволило 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щественно ускорить вычисления и уменьшить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контроля корректности решения исползовалась оценка по остат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sectPr>
          <w:pgSz w:w="11900" w:h="16838" w:orient="portrait"/>
          <w:cols w:equalWidth="0" w:num="1">
            <w:col w:w="9620"/>
          </w:cols>
          <w:pgMar w:left="1440" w:top="1233" w:right="846" w:bottom="236" w:gutter="0" w:footer="0" w:header="0"/>
          <w:type w:val="continuous"/>
        </w:sect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ectPr>
          <w:pgSz w:w="11900" w:h="16838" w:orient="portrait"/>
          <w:cols w:equalWidth="0" w:num="1">
            <w:col w:w="9620"/>
          </w:cols>
          <w:pgMar w:left="1440" w:top="1233" w:right="846" w:bottom="236" w:gutter="0" w:footer="0" w:header="0"/>
          <w:type w:val="continuous"/>
        </w:sectPr>
      </w:pPr>
    </w:p>
    <w:bookmarkStart w:id="10" w:name="page11"/>
    <w:bookmarkEnd w:id="10"/>
    <w:p>
      <w:pPr>
        <w:jc w:val="both"/>
        <w:ind w:left="260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ку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Как пороговое решение использовалось значение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p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 котором наблю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далась одна точка имеющая положительное значение мнимой части частоты и которая имела погрешность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≤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10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perscript"/>
        </w:rPr>
        <w:t>−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eV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 xml:space="preserve">2.4. 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Результаты расчёта спектра плазмонов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260" w:firstLine="1"/>
        <w:spacing w:after="0" w:line="365" w:lineRule="auto"/>
        <w:tabs>
          <w:tab w:leader="none" w:pos="558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дальнейшем будут показаны зонные спектры плазмонов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верхней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ветки в квантовой яме толщиной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6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nm,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имеющую состав ямы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HgT 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барьеров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 w:line="3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CdT 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этом структура полагается выращенной в кристаллографическом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направлении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[013],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температура решётки и температура носителей заряда</w:t>
      </w:r>
    </w:p>
    <w:p>
      <w:pPr>
        <w:ind w:left="9120"/>
        <w:spacing w:after="0" w:line="9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9"/>
          <w:szCs w:val="9"/>
          <w:i w:val="1"/>
          <w:iCs w:val="1"/>
          <w:color w:val="auto"/>
        </w:rPr>
        <w:t>⃗</w:t>
      </w:r>
    </w:p>
    <w:p>
      <w:pPr>
        <w:ind w:left="2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равной температуре жидкого гелия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4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K.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Продемонстрированны срезы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=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0).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3505200</wp:posOffset>
            </wp:positionH>
            <wp:positionV relativeFrom="paragraph">
              <wp:posOffset>379095</wp:posOffset>
            </wp:positionV>
            <wp:extent cx="2049145" cy="13373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620"/>
          </w:cols>
          <w:pgMar w:left="1440" w:top="1100" w:right="846" w:bottom="23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0.00060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center"/>
              <w:ind w:left="2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i w:val="1"/>
                <w:iCs w:val="1"/>
                <w:color w:val="auto"/>
                <w:w w:val="74"/>
              </w:rPr>
              <w:t>P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1"/>
              </w:rPr>
              <w:t>approximation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"/>
        </w:trPr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4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0.00065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4"/>
              </w:rPr>
              <w:t xml:space="preserve">of 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  <w:highlight w:val="black"/>
                <w:w w:val="74"/>
              </w:rPr>
              <w:t>energy,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0.00070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0.00075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0.00080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0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1"/>
              </w:rPr>
              <w:t>part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0.00085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0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2"/>
              </w:rPr>
              <w:t>Imaginary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0.00090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0.00095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0.00100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0"/>
              </w:rPr>
              <w:t>0.00105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0.004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0.006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1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0.008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9"/>
              </w:rPr>
              <w:t>0.010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0.012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57"/>
              <w:spacing w:after="0" w:line="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0.002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1"/>
              </w:rPr>
              <w:t xml:space="preserve">Wave vec tor 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auto"/>
                <w:w w:val="71"/>
              </w:rPr>
              <w:t>k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  <w:w w:val="71"/>
              </w:rPr>
              <w:t>,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2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  <w:vertAlign w:val="subscript"/>
              </w:rPr>
              <w:t>A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  <w:w w:val="71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pt,-21pt" to="40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4.25pt,-21pt" to="64.2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8.45pt,-21pt" to="88.4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.65pt,-21pt" to="112.6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6.9pt,-21pt" to="136.9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1.1pt,-21pt" to="161.1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5.35pt,-21pt" to="185.35pt,-19.54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210185</wp:posOffset>
            </wp:positionH>
            <wp:positionV relativeFrom="paragraph">
              <wp:posOffset>-1594485</wp:posOffset>
            </wp:positionV>
            <wp:extent cx="2314575" cy="14662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1"/>
              </w:rPr>
              <w:t>Dirac-like approximation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0.07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8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2"/>
              </w:rPr>
              <w:t xml:space="preserve">, 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72"/>
              </w:rPr>
              <w:t>eV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8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highlight w:val="black"/>
                <w:w w:val="74"/>
              </w:rPr>
              <w:t>energy,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0.05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part of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70"/>
              </w:rPr>
              <w:t>Real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0.04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0.03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0.002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0.004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0.008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0.010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0.012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73"/>
              </w:rPr>
              <w:t xml:space="preserve">Wa vev ector 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auto"/>
                <w:w w:val="73"/>
              </w:rPr>
              <w:t>k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highlight w:val="black"/>
                <w:w w:val="73"/>
              </w:rPr>
              <w:t>,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w w:val="73"/>
              </w:rPr>
              <w:t xml:space="preserve"> 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auto"/>
                <w:w w:val="73"/>
              </w:rPr>
              <w:t>A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w w:val="73"/>
              </w:rPr>
              <w:t xml:space="preserve">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73"/>
                <w:vertAlign w:val="superscript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55pt,-18.7999pt" to="19.5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.75pt,-18.7999pt" to="43.7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pt,-18.7999pt" to="68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.2pt,-18.7999pt" to="92.2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4pt,-18.7999pt" to="116.4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0.65pt,-18.7999pt" to="140.6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85pt,-18.7999pt" to="164.85pt,-17.29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1416685</wp:posOffset>
            </wp:positionH>
            <wp:positionV relativeFrom="paragraph">
              <wp:posOffset>-128905</wp:posOffset>
            </wp:positionV>
            <wp:extent cx="46990" cy="285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-1137920</wp:posOffset>
            </wp:positionV>
            <wp:extent cx="53340" cy="4826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460" w:space="720"/>
            <w:col w:w="4440"/>
          </w:cols>
          <w:pgMar w:left="1440" w:top="1100" w:right="846" w:bottom="236" w:gutter="0" w:footer="0" w:header="0"/>
          <w:type w:val="continuous"/>
        </w:sect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468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Рис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2.2: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Мнимая часть частоты в за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­</w:t>
            </w:r>
          </w:p>
        </w:tc>
        <w:tc>
          <w:tcPr>
            <w:tcW w:w="4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Рис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. 2.3: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Действительная часть часто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46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ты в зависимости от волнового векто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468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висимости от волнового вектора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при</w:t>
            </w:r>
          </w:p>
        </w:tc>
        <w:tc>
          <w:tcPr>
            <w:tcW w:w="4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46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при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 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5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·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11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, 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1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11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9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2</w:t>
            </w:r>
          </w:p>
        </w:tc>
        <w:tc>
          <w:tcPr>
            <w:tcW w:w="4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4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 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5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·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8"/>
              </w:rPr>
              <w:t>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8"/>
                <w:vertAlign w:val="superscript"/>
              </w:rPr>
              <w:t>−</w:t>
            </w:r>
          </w:p>
        </w:tc>
        <w:tc>
          <w:tcPr>
            <w:tcW w:w="1220" w:type="dxa"/>
            <w:vAlign w:val="bottom"/>
          </w:tcPr>
          <w:p>
            <w:pPr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, 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 10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0"/>
              </w:rPr>
              <w:t>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0"/>
                <w:vertAlign w:val="superscript"/>
              </w:rPr>
              <w:t>−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9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На представленных выше графиках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2.2, 2.3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видно видно несколько особенностей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частности заметно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в данном случае плазмоны могут лишь затухать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поскольку нет достаточной инверсии населенности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Также видно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мнимая часть частоты вычисляется неустойчиво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выбросы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2.2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являются артефактами численного расчёта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Однако при некоторых условиях плазмоны могут иметь и положитель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­</w:t>
      </w:r>
    </w:p>
    <w:p>
      <w:pPr>
        <w:sectPr>
          <w:pgSz w:w="11900" w:h="16838" w:orient="portrait"/>
          <w:cols w:equalWidth="0" w:num="1">
            <w:col w:w="9620"/>
          </w:cols>
          <w:pgMar w:left="1440" w:top="1100" w:right="846" w:bottom="236" w:gutter="0" w:footer="0" w:header="0"/>
          <w:type w:val="continuous"/>
        </w:sectPr>
      </w:pP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</w:p>
    <w:p>
      <w:pPr>
        <w:sectPr>
          <w:pgSz w:w="11900" w:h="16838" w:orient="portrait"/>
          <w:cols w:equalWidth="0" w:num="1">
            <w:col w:w="9620"/>
          </w:cols>
          <w:pgMar w:left="1440" w:top="1100" w:right="846" w:bottom="236" w:gutter="0" w:footer="0" w:header="0"/>
          <w:type w:val="continuous"/>
        </w:sectPr>
      </w:pPr>
    </w:p>
    <w:bookmarkStart w:id="11" w:name="page12"/>
    <w:bookmarkEnd w:id="11"/>
    <w:p>
      <w:pPr>
        <w:jc w:val="both"/>
        <w:ind w:left="26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ную мнимую часть частоты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соответствует усилению плазмонов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Для то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чтобы эти условия удовлетворялись необходимо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чтобы в полупроводнике была существенная инверсия населенности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энергия плазмона была больше эффективной ширины запрещенной зоны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[14].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481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низкой концентрации энергия плазмонов будет меньше эффек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тивной ширины запрещённой зоны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увеличением концентрации равновес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ных носителей заряда растет и энергия плазмоны при заданном волновом векторе </w:t>
      </w:r>
      <w:r>
        <w:rPr>
          <w:rFonts w:ascii="Arial Unicode MS" w:cs="Arial Unicode MS" w:eastAsia="Arial Unicode MS" w:hAnsi="Arial Unicode MS"/>
          <w:sz w:val="28"/>
          <w:szCs w:val="28"/>
          <w:i w:val="1"/>
          <w:iCs w:val="1"/>
          <w:color w:val="auto"/>
        </w:rPr>
        <w:t>⃗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Таким образом повышая концентрацию равновесных носителей можно снизить пороговую концентрацию неравновесных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Такие явления могут наблюдаться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 примимеру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после накачки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Осо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бый интерес представляет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граница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"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концентрации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 которой будет 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блюдатьтся усиление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Одно из таких дисперсионных соотношений приведе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но ниже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2.4, 2.5.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</w:sectPr>
      </w:pPr>
    </w:p>
    <w:p>
      <w:pPr>
        <w:spacing w:after="0" w:line="315" w:lineRule="exact"/>
        <w:rPr>
          <w:sz w:val="20"/>
          <w:szCs w:val="20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0.00050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i w:val="1"/>
                <w:iCs w:val="1"/>
                <w:color w:val="auto"/>
                <w:w w:val="74"/>
              </w:rPr>
              <w:t>P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1"/>
              </w:rPr>
              <w:t>approximation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4</w:t>
            </w: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0.00025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0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76"/>
              </w:rPr>
              <w:t>energy,</w:t>
            </w: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0.00000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0.00025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0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0"/>
              </w:rPr>
              <w:t>part of</w:t>
            </w: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0.00050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0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74"/>
              </w:rPr>
              <w:t>Imaginary</w:t>
            </w: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0.00075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0.00100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0.00125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0"/>
              </w:rPr>
              <w:t>0.00150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70"/>
                <w:vertAlign w:val="subscript"/>
              </w:rPr>
              <w:t>0.002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0.004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0.006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0.008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0.010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0.012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0.014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0.016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3"/>
              </w:rPr>
              <w:t xml:space="preserve">Wave vec tor </w:t>
            </w: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auto"/>
                <w:w w:val="83"/>
              </w:rPr>
              <w:t>k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  <w:w w:val="83"/>
              </w:rPr>
              <w:t>,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2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  <w:vertAlign w:val="subscript"/>
              </w:rPr>
              <w:t>A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  <w:w w:val="71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.2pt,-21pt" to="41.2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0.6pt,-21pt" to="60.6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9.95pt,-21pt" to="79.9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35pt,-21pt" to="99.3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7pt,-21pt" to="118.7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1pt,-21pt" to="138.1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7.5pt,-21pt" to="157.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85pt,-21pt" to="176.85pt,-19.5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-266700</wp:posOffset>
                </wp:positionV>
                <wp:extent cx="0" cy="1841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25pt,-21pt" to="196.25pt,-19.54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-1584960</wp:posOffset>
            </wp:positionV>
            <wp:extent cx="2392045" cy="145669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0.09</w:t>
            </w:r>
          </w:p>
        </w:tc>
        <w:tc>
          <w:tcPr>
            <w:tcW w:w="1180" w:type="dxa"/>
            <w:vAlign w:val="bottom"/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Dirac-like approximation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2"/>
              </w:rPr>
              <w:t xml:space="preserve">, 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72"/>
              </w:rPr>
              <w:t>eV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0.08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highlight w:val="black"/>
                <w:w w:val="74"/>
              </w:rPr>
              <w:t>energy,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0.07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0.06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part of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70"/>
              </w:rPr>
              <w:t>Real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0.04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0"/>
              </w:rPr>
              <w:t>0.03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0.002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0.004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0.006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0.008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0.010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0.012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0.014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0.016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2"/>
              </w:rPr>
              <w:t>0.018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73"/>
              </w:rPr>
              <w:t xml:space="preserve">Wa vev ector 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auto"/>
                <w:w w:val="73"/>
              </w:rPr>
              <w:t>k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highlight w:val="black"/>
                <w:w w:val="73"/>
              </w:rPr>
              <w:t>,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w w:val="73"/>
              </w:rPr>
              <w:t xml:space="preserve"> 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auto"/>
                <w:w w:val="73"/>
              </w:rPr>
              <w:t>A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w w:val="73"/>
              </w:rPr>
              <w:t xml:space="preserve">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73"/>
                <w:vertAlign w:val="superscript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.75pt,-18.7999pt" to="20.7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.15pt,-18.7999pt" to="40.1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5pt,-18.7999pt" to="59.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9pt,-18.7999pt" to="78.9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8.25pt,-18.7999pt" to="98.2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7.65pt,-18.7999pt" to="117.65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pt,-18.7999pt" to="137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18.7999pt" to="156.4pt,-17.2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-238760</wp:posOffset>
                </wp:positionV>
                <wp:extent cx="0" cy="1905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5.75pt,-18.7999pt" to="175.75pt,-17.29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-1557020</wp:posOffset>
            </wp:positionV>
            <wp:extent cx="2249805" cy="14566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460" w:space="720"/>
            <w:col w:w="4440"/>
          </w:cols>
          <w:pgMar w:left="1440" w:top="1123" w:right="846" w:bottom="236" w:gutter="0" w:footer="0" w:header="0"/>
          <w:type w:val="continuous"/>
        </w:sectPr>
      </w:pPr>
    </w:p>
    <w:p>
      <w:pPr>
        <w:spacing w:after="0" w:line="144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Рис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2.4: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Мнимая часть частоты в за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­</w:t>
            </w:r>
          </w:p>
        </w:tc>
        <w:tc>
          <w:tcPr>
            <w:tcW w:w="4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Рис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. 2.5: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 xml:space="preserve"> Действительная часть часто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7"/>
              </w:rPr>
              <w:t>­</w:t>
            </w:r>
          </w:p>
        </w:tc>
      </w:tr>
      <w:tr>
        <w:trPr>
          <w:trHeight w:val="508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висимости от волнового вектора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при</w:t>
            </w:r>
          </w:p>
        </w:tc>
        <w:tc>
          <w:tcPr>
            <w:tcW w:w="4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ты в зависимости от волнового век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­</w:t>
            </w:r>
          </w:p>
        </w:tc>
      </w:tr>
      <w:tr>
        <w:trPr>
          <w:trHeight w:val="639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  3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·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11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, 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  1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25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·</w:t>
            </w:r>
          </w:p>
        </w:tc>
        <w:tc>
          <w:tcPr>
            <w:tcW w:w="4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тора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при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 3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·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11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, N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=</w:t>
            </w:r>
          </w:p>
        </w:tc>
      </w:tr>
      <w:tr>
        <w:trPr>
          <w:trHeight w:val="579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10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</w:p>
        </w:tc>
        <w:tc>
          <w:tcPr>
            <w:tcW w:w="4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25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·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10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10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cm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perscript"/>
              </w:rPr>
              <w:t>−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vertAlign w:val="superscript"/>
              </w:rPr>
              <w:t>2</w:t>
            </w:r>
          </w:p>
        </w:tc>
      </w:tr>
    </w:tbl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475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того чтобы оценить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действительно существует порог мож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посмотреть на сводную диаграмму для семейства зависимостей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ω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Arial Unicode MS" w:cs="Arial Unicode MS" w:eastAsia="Arial Unicode MS" w:hAnsi="Arial Unicode MS"/>
          <w:sz w:val="28"/>
          <w:szCs w:val="28"/>
          <w:i w:val="1"/>
          <w:iCs w:val="1"/>
          <w:color w:val="auto"/>
        </w:rPr>
        <w:t>⃗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мнимой части дисперсионных соотношений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постоянной концентрации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электронов и изменяющейся концентрации дырок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2.6.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Стоит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  <w:type w:val="continuous"/>
        </w:sectPr>
      </w:pPr>
    </w:p>
    <w:bookmarkStart w:id="12" w:name="page13"/>
    <w:bookmarkEnd w:id="12"/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9400" w:type="dxa"/>
            <w:vAlign w:val="bottom"/>
            <w:gridSpan w:val="1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именно эта зависимость определяет коэффициент усиления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/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поглощения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4"/>
            <w:vMerge w:val="restart"/>
          </w:tcPr>
          <w:p>
            <w:pPr>
              <w:jc w:val="right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α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(Re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ω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)) =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Im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 xml:space="preserve"> ω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Re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5"/>
              </w:rPr>
              <w:t>dω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d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i w:val="1"/>
                <w:iCs w:val="1"/>
                <w:color w:val="auto"/>
              </w:rPr>
              <w:t>⃗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q</w:t>
            </w:r>
          </w:p>
        </w:tc>
        <w:tc>
          <w:tcPr>
            <w:tcW w:w="940" w:type="dxa"/>
            <w:vAlign w:val="bottom"/>
          </w:tcPr>
          <w:p>
            <w:pPr>
              <w:ind w:left="300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(2.18)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4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= 0.01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00" w:type="dxa"/>
            <w:vAlign w:val="bottom"/>
            <w:vMerge w:val="restart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0.0015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</w:tcPr>
          <w:p>
            <w:pPr>
              <w:ind w:left="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= 0.10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= 0.11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</w:tcPr>
          <w:p>
            <w:pPr>
              <w:ind w:left="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= 0.12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4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0"/>
              </w:rPr>
              <w:t>energy,</w:t>
            </w:r>
          </w:p>
        </w:tc>
        <w:tc>
          <w:tcPr>
            <w:tcW w:w="1300" w:type="dxa"/>
            <w:vAlign w:val="bottom"/>
            <w:vMerge w:val="restart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0.0010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1680" w:type="dxa"/>
            <w:vAlign w:val="bottom"/>
            <w:gridSpan w:val="2"/>
          </w:tcPr>
          <w:p>
            <w:pPr>
              <w:ind w:left="6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= 0.125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= 0.15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1680" w:type="dxa"/>
            <w:vAlign w:val="bottom"/>
            <w:gridSpan w:val="2"/>
            <w:vMerge w:val="restart"/>
          </w:tcPr>
          <w:p>
            <w:pPr>
              <w:ind w:left="6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= 0.175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8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0"/>
              </w:rPr>
              <w:t>of</w:t>
            </w:r>
          </w:p>
        </w:tc>
        <w:tc>
          <w:tcPr>
            <w:tcW w:w="1300" w:type="dxa"/>
            <w:vAlign w:val="bottom"/>
            <w:vMerge w:val="restart"/>
          </w:tcPr>
          <w:p>
            <w:pPr>
              <w:jc w:val="right"/>
              <w:ind w:right="373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0.0005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60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= 0.25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4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0"/>
              </w:rPr>
              <w:t>part</w:t>
            </w: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71"/>
              </w:rPr>
              <w:t>N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1"/>
              </w:rPr>
              <w:t>h</w:t>
            </w:r>
          </w:p>
        </w:tc>
        <w:tc>
          <w:tcPr>
            <w:tcW w:w="640" w:type="dxa"/>
            <w:vAlign w:val="bottom"/>
          </w:tcPr>
          <w:p>
            <w:pPr>
              <w:ind w:left="60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= 0.5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5"/>
        </w:trPr>
        <w:tc>
          <w:tcPr>
            <w:tcW w:w="4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Imaginary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0.0000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5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vMerge w:val="restart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0.0005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9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5"/>
              </w:rPr>
              <w:t>0.0010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7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0.002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8"/>
              </w:rPr>
              <w:t>0.004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6"/>
              </w:rPr>
              <w:t>0.006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8"/>
              </w:rPr>
              <w:t>0.008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0.010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8"/>
              </w:rPr>
              <w:t>0.0</w:t>
            </w:r>
            <w:r>
              <w:rPr>
                <w:rFonts w:ascii="Arial" w:cs="Arial" w:eastAsia="Arial" w:hAnsi="Arial"/>
                <w:sz w:val="29"/>
                <w:szCs w:val="29"/>
                <w:u w:val="single" w:color="auto"/>
                <w:color w:val="auto"/>
                <w:w w:val="88"/>
              </w:rPr>
              <w:t>1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88"/>
              </w:rPr>
              <w:t>2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7"/>
              </w:rPr>
              <w:t>0.014</w:t>
            </w:r>
          </w:p>
        </w:tc>
        <w:tc>
          <w:tcPr>
            <w:tcW w:w="9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2"/>
              </w:rPr>
              <w:t>0.016</w:t>
            </w:r>
          </w:p>
        </w:tc>
        <w:tc>
          <w:tcPr>
            <w:tcW w:w="9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0.018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3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71"/>
              </w:rPr>
              <w:t>0.020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4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1"/>
              </w:rPr>
              <w:t xml:space="preserve">Wavevector 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  <w:w w:val="71"/>
              </w:rPr>
              <w:t>k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1"/>
              </w:rPr>
              <w:t xml:space="preserve">, 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  <w:w w:val="71"/>
              </w:rPr>
              <w:t>A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1"/>
              </w:rPr>
              <w:t xml:space="preserve"> 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w w:val="71"/>
                <w:vertAlign w:val="superscript"/>
              </w:rPr>
              <w:t>1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8"/>
        </w:trPr>
        <w:tc>
          <w:tcPr>
            <w:tcW w:w="9400" w:type="dxa"/>
            <w:vAlign w:val="bottom"/>
            <w:gridSpan w:val="1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Рис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2.6: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Мнимая часть частоты в зависимости от волнового вектора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при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-5050155</wp:posOffset>
                </wp:positionV>
                <wp:extent cx="210820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5.3pt,-397.6499pt" to="321.9pt,-397.6499pt" o:allowincell="f" strokecolor="#000000" strokeweight="0.573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1.5pt,-79.0499pt" to="71.5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75pt,-79.0499pt" to="111.75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2.05pt,-79.0499pt" to="152.05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2.3pt,-79.0499pt" to="192.3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79.0499pt" to="232.6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2.85pt,-79.0499pt" to="272.85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3.15pt,-79.0499pt" to="313.15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3.4pt,-79.0499pt" to="353.4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3.7pt,-79.0499pt" to="393.7pt,-75.6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-1003935</wp:posOffset>
                </wp:positionV>
                <wp:extent cx="0" cy="42545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4pt,-79.0499pt" to="434pt,-75.69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178435</wp:posOffset>
            </wp:positionH>
            <wp:positionV relativeFrom="paragraph">
              <wp:posOffset>-3993515</wp:posOffset>
            </wp:positionV>
            <wp:extent cx="5337810" cy="325564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e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= 3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·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10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11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cm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perscript"/>
        </w:rPr>
        <w:t>−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, N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h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=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x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·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10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10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cm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perscript"/>
        </w:rPr>
        <w:t>−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где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x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указан на графике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 xml:space="preserve">2.5. 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Пороговая неравновесная концентрация уси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­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ления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481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Важным возможным применением подобных структур является усиление ЭМ волн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Коэффициент усиления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 всегда является положитель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ным и завсисит от волнового вектора плазмона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ω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Arial Unicode MS" w:cs="Arial Unicode MS" w:eastAsia="Arial Unicode MS" w:hAnsi="Arial Unicode MS"/>
          <w:sz w:val="29"/>
          <w:szCs w:val="29"/>
          <w:i w:val="1"/>
          <w:iCs w:val="1"/>
          <w:color w:val="auto"/>
        </w:rPr>
        <w:t>⃗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также от параметров структуры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равновесной и индуцированной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например легированием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кон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центрации носителей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</w:sectPr>
      </w:pP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  <w:type w:val="continuous"/>
        </w:sectPr>
      </w:pPr>
    </w:p>
    <w:bookmarkStart w:id="13" w:name="page14"/>
    <w:bookmarkEnd w:id="13"/>
    <w:p>
      <w:pPr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Очевидно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чем меньше равновесная концентрация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тем сложнее добиться усиления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меньше и инверсия населенностей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850"/>
        <w:spacing w:after="0" w:line="31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Таким образом была получена зависимость пороговой концентрации дырок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38"/>
          <w:szCs w:val="38"/>
          <w:i w:val="1"/>
          <w:iCs w:val="1"/>
          <w:color w:val="auto"/>
          <w:vertAlign w:val="subscript"/>
        </w:rPr>
        <w:t>h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 концентрации электронов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38"/>
          <w:szCs w:val="38"/>
          <w:i w:val="1"/>
          <w:iCs w:val="1"/>
          <w:color w:val="auto"/>
          <w:vertAlign w:val="subscript"/>
        </w:rPr>
        <w:t>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Она представлена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tbl>
      <w:tblPr>
        <w:tblLayout w:type="fixed"/>
        <w:tblInd w:w="769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0"/>
        </w:trPr>
        <w:tc>
          <w:tcPr>
            <w:tcW w:w="172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e</w:t>
            </w: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=1.0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640" w:type="dxa"/>
            <w:vAlign w:val="bottom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0.055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88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88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>= 0.5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0.050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76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76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76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= 0.75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30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auto"/>
                <w:w w:val="72"/>
              </w:rPr>
              <w:t>N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auto"/>
                <w:w w:val="72"/>
              </w:rPr>
              <w:t>h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72"/>
              </w:rPr>
              <w:t>= 0.775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640" w:type="dxa"/>
            <w:vAlign w:val="bottom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0.045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88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88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>= 0.8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0.040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88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88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>= 0.9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640" w:type="dxa"/>
            <w:vAlign w:val="bottom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0.035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640" w:type="dxa"/>
            <w:vAlign w:val="bottom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0.030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640" w:type="dxa"/>
            <w:vAlign w:val="bottom"/>
          </w:tcPr>
          <w:p>
            <w:pPr>
              <w:jc w:val="right"/>
              <w:ind w:right="1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0.025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39370</wp:posOffset>
                </wp:positionV>
                <wp:extent cx="0" cy="32385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5pt,3.1pt" to="16.5pt,5.6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39370</wp:posOffset>
                </wp:positionV>
                <wp:extent cx="0" cy="32385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.85pt,3.1pt" to="41.85pt,5.6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39370</wp:posOffset>
                </wp:positionV>
                <wp:extent cx="0" cy="3238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7.2pt,3.1pt" to="67.2pt,5.6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39370</wp:posOffset>
                </wp:positionV>
                <wp:extent cx="0" cy="3238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.5pt,3.1pt" to="92.5pt,5.6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39370</wp:posOffset>
                </wp:positionV>
                <wp:extent cx="0" cy="32385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7.85pt,3.1pt" to="117.85pt,5.65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180975</wp:posOffset>
            </wp:positionH>
            <wp:positionV relativeFrom="paragraph">
              <wp:posOffset>-1421765</wp:posOffset>
            </wp:positionV>
            <wp:extent cx="2197735" cy="149479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0.0002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-2983865</wp:posOffset>
                </wp:positionH>
                <wp:positionV relativeFrom="paragraph">
                  <wp:posOffset>-1553210</wp:posOffset>
                </wp:positionV>
                <wp:extent cx="5939790" cy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4.9499pt,-122.2999pt" to="232.75pt,-122.2999pt" o:allowincell="f" strokecolor="#000000" strokeweight="0.3984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240665</wp:posOffset>
            </wp:positionH>
            <wp:positionV relativeFrom="paragraph">
              <wp:posOffset>-173355</wp:posOffset>
            </wp:positionV>
            <wp:extent cx="2124710" cy="149479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0.0000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0.0002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0.0004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 xml:space="preserve">0.0006 </w:t>
      </w: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0.0008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9.7499pt,11pt" to="-49.7499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4.3999pt,11pt" to="-24.3999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.2pt,11pt" to="21.2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.55pt,11pt" to="46.55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1.9pt,11pt" to="71.9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7.25pt,11pt" to="97.25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2.6pt,11pt" to="122.6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.95pt,11pt" to="147.95pt,13.55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139700</wp:posOffset>
                </wp:positionV>
                <wp:extent cx="0" cy="32385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3.3pt,11pt" to="173.3pt,13.55pt" o:allowincell="f" strokecolor="#000000" strokeweight="0pt"/>
            </w:pict>
          </mc:Fallback>
        </mc:AlternateConten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941" w:space="159"/>
            <w:col w:w="3140" w:space="720"/>
            <w:col w:w="4660"/>
          </w:cols>
          <w:pgMar w:left="1440" w:top="1440" w:right="846" w:bottom="0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0.07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0.15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0.00050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ind w:left="30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0.16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0.06</w:t>
            </w: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0.00025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60"/>
              <w:spacing w:after="0" w:line="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i w:val="1"/>
                <w:iCs w:val="1"/>
                <w:color w:val="auto"/>
              </w:rPr>
              <w:t xml:space="preserve">h </w:t>
            </w: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= 0.17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  <w:textDirection w:val="btLr"/>
          </w:tcPr>
          <w:p>
            <w:pPr>
              <w:ind w:left="1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>=2.0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  <w:w w:val="72"/>
              </w:rPr>
              <w:t>N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auto"/>
                <w:w w:val="72"/>
              </w:rPr>
              <w:t>e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= 0.175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20" w:type="dxa"/>
            <w:vAlign w:val="bottom"/>
            <w:vMerge w:val="restart"/>
            <w:textDirection w:val="btLr"/>
          </w:tcPr>
          <w:p>
            <w:pPr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72"/>
              </w:rPr>
              <w:t>eV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0.05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0.2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0.00025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3"/>
        </w:trPr>
        <w:tc>
          <w:tcPr>
            <w:tcW w:w="32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w w:val="77"/>
              </w:rPr>
              <w:t>/ ,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0.04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0.00050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320" w:type="dxa"/>
            <w:vAlign w:val="bottom"/>
            <w:vMerge w:val="restart"/>
            <w:textDirection w:val="btLr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3"/>
              </w:rPr>
              <w:t>energy,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0.03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0.00075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0.00100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8"/>
        </w:trPr>
        <w:tc>
          <w:tcPr>
            <w:tcW w:w="320" w:type="dxa"/>
            <w:vAlign w:val="bottom"/>
            <w:textDirection w:val="btLr"/>
          </w:tcPr>
          <w:p>
            <w:pPr>
              <w:ind w:lef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0"/>
              </w:rPr>
              <w:t>part of</w:t>
            </w:r>
          </w:p>
        </w:tc>
        <w:tc>
          <w:tcPr>
            <w:tcW w:w="400" w:type="dxa"/>
            <w:vAlign w:val="bottom"/>
            <w:vMerge w:val="restart"/>
            <w:textDirection w:val="btLr"/>
          </w:tcPr>
          <w:p>
            <w:pPr>
              <w:ind w:lef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2"/>
              </w:rPr>
              <w:t>=3.0</w:t>
            </w: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  <w:w w:val="72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72"/>
              </w:rPr>
              <w:t>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0.05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0.175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320" w:type="dxa"/>
            <w:vAlign w:val="bottom"/>
            <w:textDirection w:val="btLr"/>
          </w:tcPr>
          <w:p>
            <w:pPr>
              <w:ind w:lef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Real/Imaginary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0.07</w:t>
            </w: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0.11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ind w:left="300"/>
              <w:spacing w:after="0" w:line="1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0.12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0.06</w:t>
            </w: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0.125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0.15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0.25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0.04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0.03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0.08</w:t>
            </w: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0.05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0.07</w:t>
            </w: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0.055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N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60"/>
              <w:spacing w:after="0" w:line="1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i w:val="1"/>
                <w:iCs w:val="1"/>
                <w:color w:val="auto"/>
              </w:rPr>
              <w:t xml:space="preserve">h 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 0.06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  <w:textDirection w:val="btLr"/>
          </w:tcPr>
          <w:p>
            <w:pPr>
              <w:ind w:lef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2"/>
              </w:rPr>
              <w:t>=5.0</w:t>
            </w: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  <w:w w:val="72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  <w:w w:val="72"/>
              </w:rPr>
              <w:t>e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30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= 0.07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0.06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ind w:left="3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auto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0.075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0.0004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"/>
        </w:trPr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0.05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0.0006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9"/>
              </w:rPr>
              <w:t>0.04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1.5pt,-252.6499pt" to="71.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6.85pt,-252.6499pt" to="96.8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2.2pt,-252.6499pt" to="122.2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.5pt,-252.6499pt" to="147.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2.85pt,-252.6499pt" to="172.8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8.2pt,-252.6499pt" to="198.2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3.55pt,-252.6499pt" to="223.5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.2pt,-252.6499pt" to="269.2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4.55pt,-252.6499pt" to="294.5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9pt,-252.6499pt" to="319.9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.25pt,-252.6499pt" to="345.2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0.6pt,-252.6499pt" to="370.6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95pt,-252.6499pt" to="395.95pt,-250.0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-3208655</wp:posOffset>
                </wp:positionV>
                <wp:extent cx="0" cy="32385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1.3pt,-252.6499pt" to="421.3pt,-250.09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-4670425</wp:posOffset>
            </wp:positionV>
            <wp:extent cx="5241925" cy="500443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00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4"/>
        </w:trPr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0"/>
              </w:rPr>
              <w:t>0.03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89"/>
              </w:rPr>
              <w:t>0.0008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7"/>
              </w:rPr>
              <w:t>0.0010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6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0.002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0.004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0.006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0.008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0.010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0.012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0.014</w:t>
            </w:r>
          </w:p>
        </w:tc>
        <w:tc>
          <w:tcPr>
            <w:tcW w:w="900" w:type="dxa"/>
            <w:vAlign w:val="bottom"/>
            <w:gridSpan w:val="2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0.</w:t>
            </w:r>
            <w:r>
              <w:rPr>
                <w:rFonts w:ascii="Arial" w:cs="Arial" w:eastAsia="Arial" w:hAnsi="Arial"/>
                <w:sz w:val="22"/>
                <w:szCs w:val="22"/>
                <w:u w:val="single" w:color="auto"/>
                <w:color w:val="auto"/>
              </w:rPr>
              <w:t>0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02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0.004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0.006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0.008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0.010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0.012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0.014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gridSpan w:val="2"/>
          </w:tcPr>
          <w:p>
            <w:pPr>
              <w:jc w:val="right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4"/>
              </w:rPr>
              <w:t xml:space="preserve">Wavevector 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74"/>
              </w:rPr>
              <w:t>k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74"/>
              </w:rPr>
              <w:t>,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70"/>
              </w:rPr>
              <w:t xml:space="preserve">A 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70"/>
                <w:vertAlign w:val="superscript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1.5pt,-32pt" to="71.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6.85pt,-32pt" to="96.8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2.2pt,-32pt" to="122.2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.5pt,-32pt" to="147.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2.85pt,-32pt" to="172.8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8.2pt,-32pt" to="198.2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3.55pt,-32pt" to="223.5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.2pt,-32pt" to="269.2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4.55pt,-32pt" to="294.5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9pt,-32pt" to="319.9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.25pt,-32pt" to="345.2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0.6pt,-32pt" to="370.6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95pt,-32pt" to="395.95pt,-29.44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-406400</wp:posOffset>
                </wp:positionV>
                <wp:extent cx="0" cy="32385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1.3pt,-32pt" to="421.3pt,-29.44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3397885</wp:posOffset>
            </wp:positionH>
            <wp:positionV relativeFrom="paragraph">
              <wp:posOffset>-283845</wp:posOffset>
            </wp:positionV>
            <wp:extent cx="33020" cy="4191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" cy="4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2.7: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Дисперсионные соотношения плазмонов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разных концентраци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</w:p>
    <w:p>
      <w:pPr>
        <w:jc w:val="center"/>
        <w:ind w:right="-259"/>
        <w:spacing w:after="0" w:line="2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ях носителей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Концентрации указаны в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·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10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11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cm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perscript"/>
        </w:rPr>
        <w:t>−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tbl>
      <w:tblPr>
        <w:tblLayout w:type="fixed"/>
        <w:tblInd w:w="7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40"/>
        </w:trPr>
        <w:tc>
          <w:tcPr>
            <w:tcW w:w="218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</w:rPr>
              <w:t>p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, 10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11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auto"/>
              </w:rPr>
              <w:t xml:space="preserve"> cm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499745</wp:posOffset>
            </wp:positionH>
            <wp:positionV relativeFrom="paragraph">
              <wp:posOffset>-168910</wp:posOffset>
            </wp:positionV>
            <wp:extent cx="39370" cy="3683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474980</wp:posOffset>
            </wp:positionH>
            <wp:positionV relativeFrom="paragraph">
              <wp:posOffset>-673735</wp:posOffset>
            </wp:positionV>
            <wp:extent cx="31750" cy="7366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Amplification threshold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-3142615</wp:posOffset>
                </wp:positionV>
                <wp:extent cx="5939790" cy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9499pt,-247.4499pt" to="420.75pt,-247.4499pt" o:allowincell="f" strokecolor="#000000" strokeweight="0.3984pt"/>
            </w:pict>
          </mc:Fallback>
        </mc:AlternateContent>
      </w:r>
    </w:p>
    <w:p>
      <w:pPr>
        <w:spacing w:after="0" w:line="2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107315</wp:posOffset>
            </wp:positionH>
            <wp:positionV relativeFrom="paragraph">
              <wp:posOffset>-142240</wp:posOffset>
            </wp:positionV>
            <wp:extent cx="4646295" cy="299847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99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0.7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0.6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0.5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0.4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0.3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0.2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0.1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0"/>
        </w:trPr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72"/>
              </w:rPr>
              <w:t>0.</w:t>
            </w:r>
          </w:p>
        </w:tc>
        <w:tc>
          <w:tcPr>
            <w:tcW w:w="400" w:type="dxa"/>
            <w:vAlign w:val="bottom"/>
            <w:gridSpan w:val="2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71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733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713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625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</w:t>
            </w:r>
          </w:p>
        </w:tc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733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5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733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6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auto"/>
              </w:rPr>
              <w:t>e</w:t>
            </w: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,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11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ind w:left="4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auto"/>
                <w:w w:val="83"/>
              </w:rPr>
              <w:t>c</w:t>
            </w: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auto"/>
                <w:strike w:val="1"/>
                <w:w w:val="83"/>
              </w:rPr>
              <w:t>m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227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5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2"/>
              </w:rPr>
              <w:t>10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95pt,-40.1499pt" to="27.95pt,-36.7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2.9pt,-40.1499pt" to="82.9pt,-36.7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8pt,-40.1499pt" to="137.8pt,-36.7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2.75pt,-40.1499pt" to="192.75pt,-36.7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7.65pt,-40.1499pt" to="247.65pt,-36.7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2.6pt,-40.1499pt" to="302.6pt,-36.7999pt" o:allowincell="f" strokecolor="#000000" strokeweight="0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-509905</wp:posOffset>
                </wp:positionV>
                <wp:extent cx="0" cy="42545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7.5pt,-40.1499pt" to="357.5pt,-36.7999pt" o:allowincell="f" strokecolor="#000000" strokeweight="0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2275205</wp:posOffset>
            </wp:positionH>
            <wp:positionV relativeFrom="paragraph">
              <wp:posOffset>-237490</wp:posOffset>
            </wp:positionV>
            <wp:extent cx="36830" cy="3937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center"/>
        <w:ind w:right="3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2.8: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Пороговые концентрации носителей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958" w:space="242"/>
            <w:col w:w="7826"/>
          </w:cols>
          <w:pgMar w:left="1440" w:top="1440" w:right="1440" w:bottom="23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236" w:gutter="0" w:footer="0" w:header="0"/>
          <w:type w:val="continuous"/>
        </w:sectPr>
      </w:pPr>
    </w:p>
    <w:bookmarkStart w:id="16" w:name="page17"/>
    <w:bookmarkEnd w:id="16"/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 xml:space="preserve">3  </w:t>
      </w: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BFBFBF"/>
        </w:rPr>
        <w:t>|</w:t>
      </w: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Заключение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 xml:space="preserve">3.1. </w:t>
      </w: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Результаты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Изучены теоретические основы расчётов дисперсионных соотношений 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сителей заряда в гетероструктурах с квантовыми ямами на основе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HgCdT 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Разработана программная реализация этих численных моделей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Это программное обеспечение позволяет расчитывать зонные спектры таких структур при всех возможных параметрах и произвольном профиле распре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деления состава по структуре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Произведённые с его помощью расчёты совпадают с ранее получен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ными результатами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в некоторых случаях позволяют предсказывать и новые эффекты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 w:firstLine="850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помощи сторонней программы были произведены расчёты дис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персионных соотношений плазмонов в квантовых ямах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Продемонстрирова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возможность управления процессами поглощения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излучения плазмонами при помощи изменения концентрации носителей заряда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23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17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239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9"/>
          <w:szCs w:val="59"/>
          <w:b w:val="1"/>
          <w:bCs w:val="1"/>
          <w:color w:val="auto"/>
        </w:rPr>
        <w:t>Список литературы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jc w:val="both"/>
        <w:ind w:left="900" w:hanging="496"/>
        <w:spacing w:after="0" w:line="380" w:lineRule="auto"/>
        <w:tabs>
          <w:tab w:leader="none" w:pos="9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Akima H.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 new method of interpolation and smooth curve fitting based on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local procedures // Journal of the ACM (JACM). — 1970. — Т. 17, № 4. —</w:t>
      </w:r>
    </w:p>
    <w:p>
      <w:pPr>
        <w:ind w:left="1240" w:hanging="334"/>
        <w:spacing w:after="0"/>
        <w:tabs>
          <w:tab w:leader="none" w:pos="124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589—602.</w:t>
      </w:r>
    </w:p>
    <w:p>
      <w:pPr>
        <w:spacing w:after="0" w:line="28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496"/>
        <w:spacing w:after="0" w:line="382" w:lineRule="auto"/>
        <w:tabs>
          <w:tab w:leader="none" w:pos="9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Andreev A.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O’Reilly E. P.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Theoretical study of Auger recombination in a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GaInNAs 1.3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m quantum well laser structure // Applied physics letters. — 2004. — Т. 84, № 11. — С. 1826—1828.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496"/>
        <w:spacing w:after="0" w:line="382" w:lineRule="auto"/>
        <w:tabs>
          <w:tab w:leader="none" w:pos="9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Anwar M. F.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Crowe T. W.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Manzur T.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Terahertz Physics, Devices, and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Systems IX: Advanced Applications in Industry and Defense // Proc. of SPIE Vol. — 2015. — Т. 9483. — С. 948301—1.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496"/>
        <w:spacing w:after="0" w:line="382" w:lineRule="auto"/>
        <w:tabs>
          <w:tab w:leader="none" w:pos="9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Asryan L. V.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Spontaneous radiative recombination and nonradiative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Auger recombination in quantum­confined heterostructures // Quantum Electronics. — 2005. — Т. 35, № 12. — С. 1117.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496"/>
        <w:spacing w:after="0" w:line="377" w:lineRule="auto"/>
        <w:tabs>
          <w:tab w:leader="none" w:pos="9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Auger recombination in Dirac materials: A tangle of many­body effects / G. Alymov [и др.] // Phys. Rev. B. — 2018. — Май. — Т. 97, вып. 20. —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74"/>
        <w:spacing w:after="0"/>
        <w:tabs>
          <w:tab w:leader="none" w:pos="128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205411. — DOI: </w:t>
      </w:r>
      <w:hyperlink r:id="rId25">
        <w:r>
          <w:rPr>
            <w:rFonts w:ascii="Courier New" w:cs="Courier New" w:eastAsia="Courier New" w:hAnsi="Courier New"/>
            <w:sz w:val="26"/>
            <w:szCs w:val="26"/>
            <w:color w:val="auto"/>
          </w:rPr>
          <w:t>10 . 1103 / PhysRevB . 97 . 205411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 — URL: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rFonts w:ascii="Courier New" w:cs="Courier New" w:eastAsia="Courier New" w:hAnsi="Courier New"/>
          <w:sz w:val="22"/>
          <w:szCs w:val="22"/>
          <w:color w:val="auto"/>
        </w:rPr>
      </w:pPr>
      <w:hyperlink r:id="rId26">
        <w:r>
          <w:rPr>
            <w:rFonts w:ascii="Courier New" w:cs="Courier New" w:eastAsia="Courier New" w:hAnsi="Courier New"/>
            <w:sz w:val="22"/>
            <w:szCs w:val="22"/>
            <w:color w:val="auto"/>
          </w:rPr>
          <w:t>https : / / link . aps . org / doi / 10 . 1103 / PhysRevB . 97 .</w:t>
        </w:r>
      </w:hyperlink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rFonts w:ascii="Courier New" w:cs="Courier New" w:eastAsia="Courier New" w:hAnsi="Courier New"/>
          <w:sz w:val="29"/>
          <w:szCs w:val="29"/>
          <w:color w:val="auto"/>
        </w:rPr>
      </w:pPr>
      <w:hyperlink r:id="rId26">
        <w:r>
          <w:rPr>
            <w:rFonts w:ascii="Courier New" w:cs="Courier New" w:eastAsia="Courier New" w:hAnsi="Courier New"/>
            <w:sz w:val="29"/>
            <w:szCs w:val="29"/>
            <w:color w:val="auto"/>
          </w:rPr>
          <w:t>205411</w:t>
        </w:r>
      </w:hyperlink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both"/>
        <w:ind w:left="900" w:hanging="496"/>
        <w:spacing w:after="0" w:line="420" w:lineRule="auto"/>
        <w:tabs>
          <w:tab w:leader="none" w:pos="9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Bergman D. J.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Stockman M. I.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Surface plasmon amplification by stimulated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emission of radiation: quantum generation of coherent surface plasmons in nanosystems // Physical review letters. — 2003. — Т. 90, № 2. — С. 027402.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900" w:hanging="496"/>
        <w:spacing w:after="0" w:line="399" w:lineRule="auto"/>
        <w:tabs>
          <w:tab w:leader="none" w:pos="9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Berini P.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De Leon I.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Surface plasmon­­polariton amplifiers and lasers //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Nature photonics. — 2012. — Т. 6, № 1. — С. 16—24.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23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18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239" w:gutter="0" w:footer="0" w:header="0"/>
          <w:type w:val="continuous"/>
        </w:sectPr>
      </w:pPr>
    </w:p>
    <w:bookmarkStart w:id="18" w:name="page19"/>
    <w:bookmarkEnd w:id="18"/>
    <w:p>
      <w:pPr>
        <w:jc w:val="both"/>
        <w:ind w:left="900" w:hanging="496"/>
        <w:spacing w:after="0" w:line="367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Bernevig B. A.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Hughes T. L.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Zhang S.­C.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Quantum spin Hall effect and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topological phase transition in HgTe quantum wells // science. — 2006. —</w:t>
      </w:r>
    </w:p>
    <w:p>
      <w:pPr>
        <w:ind w:left="1200" w:hanging="294"/>
        <w:spacing w:after="0"/>
        <w:tabs>
          <w:tab w:leader="none" w:pos="1200" w:val="left"/>
        </w:tabs>
        <w:numPr>
          <w:ilvl w:val="1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314, № 5806. — С. 1757—1761.</w:t>
      </w:r>
    </w:p>
    <w:p>
      <w:pPr>
        <w:spacing w:after="0" w:line="29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496"/>
        <w:spacing w:after="0" w:line="381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Carrier Recombination, Long­Wavelength Photoluminescence, and Stimulated Emission in HgCdTe Quantum Well Heterostructures / V. Rumyantsev [и др.] // Physica status solidi (b). — 2019. — С. 1800546.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 w:line="399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Conn A. R.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Gould G.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Toint P. L.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LANCELOT: a Fortran package for large­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scale nonlinear optimization (Release A). — 2013.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29"/>
        <w:spacing w:after="0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Dierckx P.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Curve and surface fitting with splines. — 1995.</w:t>
      </w:r>
    </w:p>
    <w:p>
      <w:pPr>
        <w:spacing w:after="0" w:line="29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639"/>
        <w:spacing w:after="0" w:line="422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Dimmock J.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Melngailis I.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Strauss A.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Band structure and laser action in Pb x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Sn 1­ x Te // Physical Review Letters. — 1966. — Т. 16, № 26. — С. 1193.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00" w:hanging="639"/>
        <w:spacing w:after="0" w:line="399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Dutta N. K.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Long wavelength semiconductor lasers // Technical Digest.,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International Electron Devices Meeting. — 1988. — С. 304—306.</w:t>
      </w:r>
    </w:p>
    <w:p>
      <w:pPr>
        <w:spacing w:after="0" w:line="3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639"/>
        <w:spacing w:after="0" w:line="381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Feasibility of surface plasmon lasing in HgTe quantum wells with population inversion / K. Kapralov [и др.] // Journal of Physics: Condensed Matter. — 2019. — Т. 32, № 6. — С. 065301.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639"/>
        <w:spacing w:after="0" w:line="381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HgCdTe based quantum well heterostructures for long­wavelength lasers operating in 5­15 THz range / V. Rumyantsev [и др.] // Journal of Physics: Conference Series. — 2018. — Т. 1092, № 1. — С. 012126.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HgCdTe epilayers on GaAs: growth and devices / V. S. Varavin [и др.] // Solid</w:t>
      </w:r>
    </w:p>
    <w:p>
      <w:pPr>
        <w:spacing w:after="0" w:line="197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900"/>
        <w:spacing w:after="0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State Crystals 2002: Crystalline Materials for Optoelectronics. — 2003. —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1200" w:hanging="294"/>
        <w:spacing w:after="0"/>
        <w:tabs>
          <w:tab w:leader="none" w:pos="1200" w:val="left"/>
        </w:tabs>
        <w:numPr>
          <w:ilvl w:val="1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5136. — С. 381—396.</w:t>
      </w:r>
    </w:p>
    <w:p>
      <w:pPr>
        <w:spacing w:after="0" w:line="28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 w:line="394" w:lineRule="auto"/>
        <w:tabs>
          <w:tab w:leader="none" w:pos="900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Johnson S. G.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The NLopt nonlinear­optimization package. — 2014. — URL: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hyperlink r:id="rId27">
        <w:r>
          <w:rPr>
            <w:rFonts w:ascii="Courier New" w:cs="Courier New" w:eastAsia="Courier New" w:hAnsi="Courier New"/>
            <w:sz w:val="29"/>
            <w:szCs w:val="29"/>
            <w:color w:val="auto"/>
          </w:rPr>
          <w:t>http://github.com/stevengj/nlopt</w:t>
        </w:r>
      </w:hyperlink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ind w:left="900" w:hanging="639"/>
        <w:spacing w:after="0" w:line="399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Kane E. O.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Band structure of indium antimonide // Journal of Physics and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Chemistry of Solids. — 1957. — Т. 1, № 4. — С. 249—261.</w:t>
      </w:r>
    </w:p>
    <w:p>
      <w:pPr>
        <w:sectPr>
          <w:pgSz w:w="11900" w:h="16838" w:orient="portrait"/>
          <w:cols w:equalWidth="0" w:num="1">
            <w:col w:w="9620"/>
          </w:cols>
          <w:pgMar w:left="1440" w:top="1119" w:right="846" w:bottom="236" w:gutter="0" w:footer="0" w:header="0"/>
        </w:sectPr>
      </w:pP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</w:t>
      </w:r>
    </w:p>
    <w:p>
      <w:pPr>
        <w:sectPr>
          <w:pgSz w:w="11900" w:h="16838" w:orient="portrait"/>
          <w:cols w:equalWidth="0" w:num="1">
            <w:col w:w="9620"/>
          </w:cols>
          <w:pgMar w:left="1440" w:top="1119" w:right="846" w:bottom="236" w:gutter="0" w:footer="0" w:header="0"/>
          <w:type w:val="continuous"/>
        </w:sectPr>
      </w:pPr>
    </w:p>
    <w:bookmarkStart w:id="19" w:name="page20"/>
    <w:bookmarkEnd w:id="19"/>
    <w:p>
      <w:pPr>
        <w:jc w:val="both"/>
        <w:ind w:left="900" w:hanging="639"/>
        <w:spacing w:after="0" w:line="382" w:lineRule="auto"/>
        <w:tabs>
          <w:tab w:leader="none" w:pos="9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>Khurgin J. B.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Sun G.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Practicality of compensating the loss in the plasmonic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waveguides using semiconductor gain medium // Applied Physics Letters. — 2012. — Т. 100, № 1. — С. 011105.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639"/>
        <w:spacing w:after="0" w:line="381" w:lineRule="auto"/>
        <w:tabs>
          <w:tab w:leader="none" w:pos="9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Magnetospectroscopy of two­dimensional HgTe­based topological insulators around the critical thickness / M. Zholudev [и др.] // Physical Review B. — 2012. — Т. 86, № 20. — С. 205420.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639"/>
        <w:spacing w:after="0" w:line="319" w:lineRule="auto"/>
        <w:tabs>
          <w:tab w:leader="none" w:pos="9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Novik, E. G.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Band structure of semimagnetic Hg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−y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Mn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y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Te quantum wells /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E. G. Novik [и др.] // Phys. Rev. B. — 2005. — Июль. — Т. 72, вып.</w:t>
      </w:r>
    </w:p>
    <w:p>
      <w:pPr>
        <w:ind w:left="1200" w:hanging="294"/>
        <w:spacing w:after="0"/>
        <w:tabs>
          <w:tab w:leader="none" w:pos="12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— С. 035321. — DOI: </w:t>
      </w:r>
      <w:hyperlink r:id="rId28">
        <w:r>
          <w:rPr>
            <w:rFonts w:ascii="Courier New" w:cs="Courier New" w:eastAsia="Courier New" w:hAnsi="Courier New"/>
            <w:sz w:val="28"/>
            <w:szCs w:val="28"/>
            <w:color w:val="auto"/>
          </w:rPr>
          <w:t>10.1103/PhysRevB.72.035321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— URL: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rFonts w:ascii="Courier New" w:cs="Courier New" w:eastAsia="Courier New" w:hAnsi="Courier New"/>
          <w:sz w:val="28"/>
          <w:szCs w:val="28"/>
          <w:color w:val="auto"/>
        </w:rPr>
      </w:pPr>
      <w:hyperlink r:id="rId29">
        <w:r>
          <w:rPr>
            <w:rFonts w:ascii="Courier New" w:cs="Courier New" w:eastAsia="Courier New" w:hAnsi="Courier New"/>
            <w:sz w:val="28"/>
            <w:szCs w:val="28"/>
            <w:color w:val="auto"/>
          </w:rPr>
          <w:t>http://link.aps.org/doi/10.1103/PhysRevB.72.035321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900" w:hanging="639"/>
        <w:spacing w:after="0" w:line="399" w:lineRule="auto"/>
        <w:tabs>
          <w:tab w:leader="none" w:pos="9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Palik E. D.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Handbook of optical constants of solids. Т. 3. — Academic press,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1998.</w:t>
      </w:r>
    </w:p>
    <w:p>
      <w:pPr>
        <w:spacing w:after="0" w:line="3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 w:line="396" w:lineRule="auto"/>
        <w:tabs>
          <w:tab w:leader="none" w:pos="9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Plasmon lasers at deep subwavelength scale / R. F. Oulton [и др.] // Nature. — 2009. — Т. 461, № 7264. — С. 629—632.</w:t>
      </w:r>
    </w:p>
    <w:p>
      <w:pPr>
        <w:spacing w:after="0" w:line="3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hanging="639"/>
        <w:spacing w:after="0" w:line="438" w:lineRule="auto"/>
        <w:tabs>
          <w:tab w:leader="none" w:pos="9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Steiauf D.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Kioupakis E.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Van de Walle C. G.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Auger recombination in GaAs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from first principles // Acs Photonics. — 2014. — Т. 1, № 8. — С. 643—646.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900" w:hanging="639"/>
        <w:spacing w:after="0" w:line="399" w:lineRule="auto"/>
        <w:tabs>
          <w:tab w:leader="none" w:pos="9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Stern F.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Polarizability of a two­dimensional electron gas // Physical Review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Letters. — 1967. — Т. 18, № 14. — С. 546.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80" w:val="left"/>
          <w:tab w:leader="none" w:pos="2160" w:val="left"/>
          <w:tab w:leader="none" w:pos="3380" w:val="left"/>
          <w:tab w:leader="none" w:pos="4320" w:val="left"/>
          <w:tab w:leader="none" w:pos="5220" w:val="left"/>
          <w:tab w:leader="none" w:pos="5700" w:val="left"/>
          <w:tab w:leader="none" w:pos="6020" w:val="left"/>
          <w:tab w:leader="none" w:pos="7120" w:val="left"/>
          <w:tab w:leader="none" w:pos="7920" w:val="left"/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26.</w:t>
        <w:tab/>
        <w:t>Terahertz</w:t>
        <w:tab/>
        <w:t>Injection</w:t>
        <w:tab/>
        <w:t>Lasers</w:t>
        <w:tab/>
        <w:t>Based</w:t>
        <w:tab/>
        <w:t>on</w:t>
        <w:tab/>
        <w:t>a</w:t>
        <w:tab/>
        <w:t>PbSnSe</w:t>
        <w:tab/>
        <w:t>Solid</w:t>
        <w:tab/>
        <w:t>Solution</w:t>
        <w:tab/>
        <w:t>with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jc w:val="both"/>
        <w:ind w:left="900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an Emission Wavelength up to 50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m and Their Application in the Magnetospectroscopy of Semiconductors / K. Maremyanin [и др.] // Semiconductors. — 2018. — Т. 52, № 12. — С. 1590—1594.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jc w:val="both"/>
        <w:ind w:left="900" w:hanging="639"/>
        <w:spacing w:after="0" w:line="381" w:lineRule="auto"/>
        <w:tabs>
          <w:tab w:leader="none" w:pos="90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Valence band energy spectrum of HgTe quantum wells with an inverted band structure / G. Minkov [и др.] // Physical Review B. — 2017. — Т. 96, № 3. — С. 035310.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 w:line="319" w:lineRule="auto"/>
        <w:tabs>
          <w:tab w:leader="none" w:pos="90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Vasko F. T.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Raichev O. E.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Quantum Kinetic Theory and Applications: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Electrons, Photons, Phonons. — 2006.</w:t>
      </w:r>
    </w:p>
    <w:p>
      <w:pPr>
        <w:sectPr>
          <w:pgSz w:w="11900" w:h="16838" w:orient="portrait"/>
          <w:cols w:equalWidth="0" w:num="1">
            <w:col w:w="9620"/>
          </w:cols>
          <w:pgMar w:left="1440" w:top="1119" w:right="846" w:bottom="210" w:gutter="0" w:footer="0" w:header="0"/>
        </w:sectPr>
      </w:pP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</w:t>
      </w:r>
    </w:p>
    <w:p>
      <w:pPr>
        <w:sectPr>
          <w:pgSz w:w="11900" w:h="16838" w:orient="portrait"/>
          <w:cols w:equalWidth="0" w:num="1">
            <w:col w:w="9620"/>
          </w:cols>
          <w:pgMar w:left="1440" w:top="1119" w:right="846" w:bottom="210" w:gutter="0" w:footer="0" w:header="0"/>
          <w:type w:val="continuous"/>
        </w:sectPr>
      </w:pPr>
    </w:p>
    <w:bookmarkStart w:id="20" w:name="page21"/>
    <w:bookmarkEnd w:id="20"/>
    <w:p>
      <w:pPr>
        <w:ind w:left="900" w:hanging="639"/>
        <w:spacing w:after="0"/>
        <w:tabs>
          <w:tab w:leader="none" w:pos="90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 xml:space="preserve">Zholudev,  M. 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Magnetospectroscopy  of  two­dimensional  HgTe­based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none" w:pos="2400" w:val="left"/>
          <w:tab w:leader="none" w:pos="3740" w:val="left"/>
          <w:tab w:leader="none" w:pos="4760" w:val="left"/>
          <w:tab w:leader="none" w:pos="5340" w:val="left"/>
          <w:tab w:leader="none" w:pos="6360" w:val="left"/>
          <w:tab w:leader="none" w:pos="7640" w:val="left"/>
          <w:tab w:leader="none" w:pos="7940" w:val="left"/>
          <w:tab w:leader="none" w:pos="8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topological</w:t>
        <w:tab/>
        <w:t>insulators</w:t>
        <w:tab/>
        <w:t>around</w:t>
        <w:tab/>
        <w:t>the</w:t>
        <w:tab/>
        <w:t>critical</w:t>
        <w:tab/>
        <w:t>thickness</w:t>
        <w:tab/>
        <w:t>/</w:t>
        <w:tab/>
        <w:t>M.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Zholudev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[и  др.]  //  Phys.  Rev.  B.  —  2012.  —  Нояб.  —  Т.  86,  вып.  20.  —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1280" w:hanging="374"/>
        <w:spacing w:after="0"/>
        <w:tabs>
          <w:tab w:leader="none" w:pos="128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205420. — DOI: </w:t>
      </w:r>
      <w:hyperlink r:id="rId30">
        <w:r>
          <w:rPr>
            <w:rFonts w:ascii="Courier New" w:cs="Courier New" w:eastAsia="Courier New" w:hAnsi="Courier New"/>
            <w:sz w:val="26"/>
            <w:szCs w:val="26"/>
            <w:color w:val="auto"/>
          </w:rPr>
          <w:t>10 . 1103 / PhysRevB . 86 . 205420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 — URL: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rFonts w:ascii="Courier New" w:cs="Courier New" w:eastAsia="Courier New" w:hAnsi="Courier New"/>
          <w:sz w:val="29"/>
          <w:szCs w:val="29"/>
          <w:color w:val="auto"/>
        </w:rPr>
      </w:pPr>
      <w:hyperlink r:id="rId31">
        <w:r>
          <w:rPr>
            <w:rFonts w:ascii="Courier New" w:cs="Courier New" w:eastAsia="Courier New" w:hAnsi="Courier New"/>
            <w:sz w:val="29"/>
            <w:szCs w:val="29"/>
            <w:color w:val="auto"/>
          </w:rPr>
          <w:t>http://link.aps.org/doi/10.1103/PhysRevB.86.205420</w:t>
        </w:r>
      </w:hyperlink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900" w:right="120" w:hanging="639"/>
        <w:spacing w:after="0" w:line="399" w:lineRule="auto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Абакумов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Перель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Яссиевич И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Безызлучательная рекомбинация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полупроводниках // Изд­во ПИЯФ, СПб. — 1997.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Акивис М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Гольдберг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Тензорное исчисление. — 2011.</w:t>
      </w:r>
    </w:p>
    <w:p>
      <w:pPr>
        <w:spacing w:after="0" w:line="29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ЖолудевМ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Терагерцоваяспектроскопияквантовыхям</w:t>
      </w:r>
    </w:p>
    <w:p>
      <w:pPr>
        <w:spacing w:after="0" w:line="10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Hg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1−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Cd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T 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/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Cd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y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Hg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1−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y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T 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— 2013.</w:t>
      </w:r>
    </w:p>
    <w:p>
      <w:pPr>
        <w:spacing w:after="0" w:line="25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right="120" w:hanging="639"/>
        <w:spacing w:after="0" w:line="377" w:lineRule="auto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Засавицкий И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Инфракрасная люминесценция и характеристики энер­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гетического спектра полупроводников типа А4В6 // Труды ФИАН. Оп­ тические и электрические свойства полупроводников. — 1993. — Т. 224. — С. 3—118.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Ландау Л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Лифшиц Е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Теория упругости. — 1965.</w:t>
      </w:r>
    </w:p>
    <w:p>
      <w:pPr>
        <w:spacing w:after="0" w:line="29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00" w:right="120" w:hanging="639"/>
        <w:spacing w:after="0" w:line="392" w:lineRule="auto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Особенности фотолюминесценции двойных акцепторов в гетерострук­ турах HgTe/СdHgTe с квантовыми ямами в терагерцовом диапазоне / Д. В. Козлов [и др.] // Письма в Журнал экспериментальной и теорети­ ческой физики. — 2019. — Т. 109, № 10. — С. 679—684.</w:t>
      </w:r>
    </w:p>
    <w:p>
      <w:pPr>
        <w:spacing w:after="0" w:line="4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00" w:hanging="639"/>
        <w:spacing w:after="0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Питер Ю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Мануэль Кардона // Основы физики полупроводников: Пер.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 англ.­ М: Физматлит. — 2002.</w:t>
      </w:r>
    </w:p>
    <w:p>
      <w:pPr>
        <w:spacing w:after="0" w:line="29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900" w:hanging="639"/>
        <w:spacing w:after="0" w:line="399" w:lineRule="auto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Расчёт порога оже­рекомбинации в узкозонных гетероструктурах на ос­ нове HgCdTe / N. Kulikov [и др.] // Материалы XXIV Международного симпозиума Н̈анофизика и наноэлектроникӓ. — 2020. — Т. 2. — С. 639.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00" w:right="120" w:hanging="639"/>
        <w:spacing w:after="0" w:line="399" w:lineRule="auto"/>
        <w:tabs>
          <w:tab w:leader="none" w:pos="9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Румянцев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Влияние особенностей зонного спектра на характери­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стики стимулированного излучения в узкозонных гетероструктурах с</w:t>
      </w:r>
    </w:p>
    <w:p>
      <w:pPr>
        <w:sectPr>
          <w:pgSz w:w="11900" w:h="16838" w:orient="portrait"/>
          <w:cols w:equalWidth="0" w:num="1">
            <w:col w:w="9740"/>
          </w:cols>
          <w:pgMar w:left="1440" w:top="1119" w:right="726" w:bottom="236" w:gutter="0" w:footer="0" w:header="0"/>
        </w:sect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21</w:t>
      </w:r>
    </w:p>
    <w:p>
      <w:pPr>
        <w:sectPr>
          <w:pgSz w:w="11900" w:h="16838" w:orient="portrait"/>
          <w:cols w:equalWidth="0" w:num="1">
            <w:col w:w="9740"/>
          </w:cols>
          <w:pgMar w:left="1440" w:top="1119" w:right="726" w:bottom="236" w:gutter="0" w:footer="0" w:header="0"/>
          <w:type w:val="continuous"/>
        </w:sectPr>
      </w:pPr>
    </w:p>
    <w:bookmarkStart w:id="21" w:name="page22"/>
    <w:bookmarkEnd w:id="21"/>
    <w:p>
      <w:pPr>
        <w:ind w:left="900"/>
        <w:spacing w:after="0" w:line="3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405765</wp:posOffset>
                </wp:positionV>
                <wp:extent cx="5940425" cy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pt,31.95pt" to="552.75pt,31.95pt" o:allowincell="f" strokecolor="#000000" strokeweight="0.3984pt">
                <w10:wrap anchorx="page" anchory="page"/>
              </v:line>
            </w:pict>
          </mc:Fallback>
        </mc:AlternateContent>
        <w:t xml:space="preserve">квантовыми ямами на основе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HgCdTe /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Румянцев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др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.] //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Физика и техника полупроводников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— 2018. —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52,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вып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20. —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1263.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both"/>
        <w:ind w:left="900" w:hanging="639"/>
        <w:spacing w:after="0" w:line="377" w:lineRule="auto"/>
        <w:tabs>
          <w:tab w:leader="none" w:pos="90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Уточкин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Исследование пороговой энергии оже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рекомбинации в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волноводных структурах с квантовыми ямами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HgTe/Cd0.7Hg0.3Te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об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ласти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мкм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/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Уточкин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[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др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.] //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Физика и техника полупроводни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— 2019.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3" w:right="846" w:bottom="23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22</w:t>
      </w:r>
    </w:p>
    <w:sectPr>
      <w:pgSz w:w="11900" w:h="16838" w:orient="portrait"/>
      <w:cols w:equalWidth="0" w:num="1">
        <w:col w:w="9620"/>
      </w:cols>
      <w:pgMar w:left="1440" w:top="1123" w:right="846" w:bottom="23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DB127F8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216231B"/>
    <w:multiLevelType w:val="hybridMultilevel"/>
    <w:lvl w:ilvl="0">
      <w:lvlJc w:val="left"/>
      <w:lvlText w:val="[%1]"/>
      <w:numFmt w:val="decimal"/>
      <w:start w:val="12"/>
    </w:lvl>
  </w:abstractNum>
  <w:abstractNum w:abstractNumId="2">
    <w:nsid w:val="1F16E9E8"/>
    <w:multiLevelType w:val="hybridMultilevel"/>
    <w:lvl w:ilvl="0">
      <w:lvlJc w:val="left"/>
      <w:lvlText w:val="и"/>
      <w:numFmt w:val="bullet"/>
      <w:start w:val="1"/>
    </w:lvl>
  </w:abstractNum>
  <w:abstractNum w:abstractNumId="3">
    <w:nsid w:val="1190CDE7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4">
    <w:nsid w:val="66EF438D"/>
    <w:multiLevelType w:val="hybridMultilevel"/>
    <w:lvl w:ilvl="0">
      <w:lvlJc w:val="left"/>
      <w:lvlText w:val="В"/>
      <w:numFmt w:val="bullet"/>
      <w:start w:val="1"/>
    </w:lvl>
  </w:abstractNum>
  <w:abstractNum w:abstractNumId="5">
    <w:nsid w:val="140E0F76"/>
    <w:multiLevelType w:val="hybridMultilevel"/>
    <w:lvl w:ilvl="0">
      <w:lvlJc w:val="left"/>
      <w:lvlText w:val="N"/>
      <w:numFmt w:val="bullet"/>
      <w:start w:val="1"/>
    </w:lvl>
  </w:abstractNum>
  <w:abstractNum w:abstractNumId="6">
    <w:nsid w:val="3352255A"/>
    <w:multiLevelType w:val="hybridMultilevel"/>
    <w:lvl w:ilvl="0">
      <w:lvlJc w:val="left"/>
      <w:lvlText w:val="ω"/>
      <w:numFmt w:val="bullet"/>
      <w:start w:val="1"/>
    </w:lvl>
  </w:abstractNum>
  <w:abstractNum w:abstractNumId="7">
    <w:nsid w:val="109CF92E"/>
    <w:multiLevelType w:val="hybridMultilevel"/>
    <w:lvl w:ilvl="0">
      <w:lvlJc w:val="left"/>
      <w:lvlText w:val="В"/>
      <w:numFmt w:val="bullet"/>
      <w:start w:val="1"/>
    </w:lvl>
  </w:abstractNum>
  <w:abstractNum w:abstractNumId="8">
    <w:nsid w:val="DED726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С."/>
      <w:numFmt w:val="bullet"/>
      <w:start w:val="1"/>
    </w:lvl>
  </w:abstractNum>
  <w:abstractNum w:abstractNumId="9">
    <w:nsid w:val="7FDCC233"/>
    <w:multiLevelType w:val="hybridMultilevel"/>
    <w:lvl w:ilvl="0">
      <w:lvlJc w:val="left"/>
      <w:lvlText w:val="%1."/>
      <w:numFmt w:val="decimal"/>
      <w:start w:val="6"/>
    </w:lvl>
  </w:abstractNum>
  <w:abstractNum w:abstractNumId="10">
    <w:nsid w:val="1BEFD79F"/>
    <w:multiLevelType w:val="hybridMultilevel"/>
    <w:lvl w:ilvl="0">
      <w:lvlJc w:val="left"/>
      <w:lvlText w:val="%1."/>
      <w:numFmt w:val="decimal"/>
      <w:start w:val="8"/>
    </w:lvl>
    <w:lvl w:ilvl="1">
      <w:lvlJc w:val="left"/>
      <w:lvlText w:val="Т."/>
      <w:numFmt w:val="bullet"/>
      <w:start w:val="1"/>
    </w:lvl>
  </w:abstractNum>
  <w:abstractNum w:abstractNumId="11">
    <w:nsid w:val="41A7C4C9"/>
    <w:multiLevelType w:val="hybridMultilevel"/>
    <w:lvl w:ilvl="0">
      <w:lvlJc w:val="left"/>
      <w:lvlText w:val="%1."/>
      <w:numFmt w:val="decimal"/>
      <w:start w:val="19"/>
    </w:lvl>
  </w:abstractNum>
  <w:abstractNum w:abstractNumId="12">
    <w:nsid w:val="6B68079A"/>
    <w:multiLevelType w:val="hybridMultilevel"/>
    <w:lvl w:ilvl="0">
      <w:lvlJc w:val="left"/>
      <w:lvlText w:val="%1."/>
      <w:numFmt w:val="decimal"/>
      <w:start w:val="3"/>
    </w:lvl>
  </w:abstractNum>
  <w:abstractNum w:abstractNumId="13">
    <w:nsid w:val="4E6AFB66"/>
    <w:multiLevelType w:val="hybridMultilevel"/>
    <w:lvl w:ilvl="0">
      <w:lvlJc w:val="left"/>
      <w:lvlText w:val="%1."/>
      <w:numFmt w:val="decimal"/>
      <w:start w:val="22"/>
    </w:lvl>
  </w:abstractNum>
  <w:abstractNum w:abstractNumId="14">
    <w:nsid w:val="25E45D32"/>
    <w:multiLevelType w:val="hybridMultilevel"/>
    <w:lvl w:ilvl="0">
      <w:lvlJc w:val="left"/>
      <w:lvlText w:val="%1."/>
      <w:numFmt w:val="decimal"/>
      <w:start w:val="27"/>
    </w:lvl>
  </w:abstractNum>
  <w:abstractNum w:abstractNumId="15">
    <w:nsid w:val="519B500D"/>
    <w:multiLevelType w:val="hybridMultilevel"/>
    <w:lvl w:ilvl="0">
      <w:lvlJc w:val="left"/>
      <w:lvlText w:val="%1."/>
      <w:numFmt w:val="decimal"/>
      <w:start w:val="29"/>
    </w:lvl>
  </w:abstractNum>
  <w:abstractNum w:abstractNumId="16">
    <w:nsid w:val="431BD7B7"/>
    <w:multiLevelType w:val="hybridMultilevel"/>
    <w:lvl w:ilvl="0">
      <w:lvlJc w:val="left"/>
      <w:lvlText w:val="С."/>
      <w:numFmt w:val="bullet"/>
      <w:start w:val="1"/>
    </w:lvl>
  </w:abstractNum>
  <w:abstractNum w:abstractNumId="17">
    <w:nsid w:val="3F2DBA31"/>
    <w:multiLevelType w:val="hybridMultilevel"/>
    <w:lvl w:ilvl="0">
      <w:lvlJc w:val="left"/>
      <w:lvlText w:val="%1."/>
      <w:numFmt w:val="decimal"/>
      <w:start w:val="30"/>
    </w:lvl>
  </w:abstractNum>
  <w:abstractNum w:abstractNumId="18">
    <w:nsid w:val="7C83E458"/>
    <w:multiLevelType w:val="hybridMultilevel"/>
    <w:lvl w:ilvl="0">
      <w:lvlJc w:val="left"/>
      <w:lvlText w:val="%1."/>
      <w:numFmt w:val="decimal"/>
      <w:start w:val="3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s://doi.org/10.1103/PhysRevB.97.205411" TargetMode="External"/><Relationship Id="rId26" Type="http://schemas.openxmlformats.org/officeDocument/2006/relationships/hyperlink" Target="https://link.aps.org/doi/10.1103/PhysRevB.97.205411" TargetMode="External"/><Relationship Id="rId27" Type="http://schemas.openxmlformats.org/officeDocument/2006/relationships/hyperlink" Target="http://github.com/stevengj/nlopt" TargetMode="External"/><Relationship Id="rId28" Type="http://schemas.openxmlformats.org/officeDocument/2006/relationships/hyperlink" Target="https://doi.org/10.1103/PhysRevB.72.035321" TargetMode="External"/><Relationship Id="rId29" Type="http://schemas.openxmlformats.org/officeDocument/2006/relationships/hyperlink" Target="http://link.aps.org/doi/10.1103/PhysRevB.72.035321" TargetMode="External"/><Relationship Id="rId30" Type="http://schemas.openxmlformats.org/officeDocument/2006/relationships/hyperlink" Target="https://doi.org/10.1103/PhysRevB.86.205420" TargetMode="External"/><Relationship Id="rId31" Type="http://schemas.openxmlformats.org/officeDocument/2006/relationships/hyperlink" Target="http://link.aps.org/doi/10.1103/PhysRevB.86.205420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2021-03-19T15:14:55Z</dcterms:created>
  <dcterms:modified xsi:type="dcterms:W3CDTF">2021-03-19T15:14:55Z</dcterms:modified>
</cp:coreProperties>
</file>