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Pr>
      <w:r>
        <w:t xml:space="preserve">USTore Analytics Question Map</w:t>
      </w:r>
    </w:p>
    <w:p>
      <w:pPr>
        <w:spacing w:after="120"/>
      </w:pPr>
      <w:r>
        <w:rPr>
          <w:color w:val="595959"/>
        </w:rPr>
        <w:t xml:space="preserve">As of October 24, 2026</w:t>
      </w:r>
    </w:p>
    <w:p>
      <w:pPr>
        <w:pStyle w:val="Heading2"/>
        <w:keepNext/>
        <w:keepLines/>
        <w:spacing w:before="280" w:after="120"/>
      </w:pPr>
      <w:r>
        <w:t xml:space="preserve">North star</w:t>
      </w:r>
    </w:p>
    <w:p>
      <w:pPr>
        <w:spacing w:after="120"/>
      </w:pPr>
      <w:r>
        <w:rPr>
          <w:b/>
          <w:bCs/>
        </w:rPr>
        <w:t xml:space="preserve">When should USTore reorder each item, and how much should it order?</w:t>
      </w:r>
    </w:p>
    <w:p>
      <w:pPr>
        <w:spacing w:after="120"/>
      </w:pPr>
      <w:r>
        <w:t xml:space="preserve">Every question below feeds that one. The map follows the manuscript’s three levels of analytics (Sec. 3.4): descriptive questions say what happened, predictive questions say what will happen, and prescriptive questions say what to do.</w:t>
      </w:r>
    </w:p>
    <w:p>
      <w:pPr>
        <w:spacing w:after="120"/>
      </w:pPr>
      <w:r>
        <w:t xml:space="preserve">Each row names the method that answers the question and the page where staff see the answer. Rows marked </w:t>
      </w:r>
      <w:r>
        <w:rPr>
          <w:i/>
          <w:iCs/>
        </w:rPr>
        <w:t xml:space="preserve">(new)</w:t>
      </w:r>
      <w:r>
        <w:t xml:space="preserve"> are questions the dashboard now answers that the first version of this table did not list. This version follows the dashboard redesign of October 24, 2026, which puts the reorder decision at the top of the Overview and moves one-time explanations behind ⓘ buttons.</w:t>
      </w:r>
    </w:p>
    <w:p>
      <w:pPr>
        <w:pStyle w:val="Heading2"/>
        <w:keepNext/>
        <w:keepLines/>
        <w:spacing w:before="280" w:after="120"/>
      </w:pPr>
      <w:r>
        <w:t xml:space="preserve">Descriptive: what happened?</w:t>
      </w:r>
    </w:p>
    <w:tbl>
      <w:tblPr>
        <w:tblW w:type="dxa" w:w="13680"/>
        <w:tblBorders>
          <w:top w:val="single" w:color="auto" w:sz="4"/>
          <w:left w:val="single" w:color="auto" w:sz="4"/>
          <w:bottom w:val="single" w:color="auto" w:sz="4"/>
          <w:right w:val="single" w:color="auto" w:sz="4"/>
          <w:insideH w:val="single" w:color="auto" w:sz="4"/>
          <w:insideV w:val="single" w:color="auto" w:sz="4"/>
        </w:tblBorders>
      </w:tblPr>
      <w:tblGrid>
        <w:gridCol w:w="520"/>
        <w:gridCol w:w="2560"/>
        <w:gridCol w:w="3400"/>
        <w:gridCol w:w="2120"/>
        <w:gridCol w:w="5080"/>
      </w:tblGrid>
      <w:tr>
        <w:trPr>
          <w:tblHeader/>
        </w:trPr>
        <w:tc>
          <w:tcPr>
            <w:tcW w:type="dxa" w:w="520"/>
            <w:tcBorders>
              <w:top w:val="single" w:color="BFBFBF" w:sz="4"/>
              <w:left w:val="single" w:color="BFBFBF" w:sz="4"/>
              <w:bottom w:val="single" w:color="BFBFBF" w:sz="4"/>
              <w:right w:val="single" w:color="BFBFBF" w:sz="4"/>
            </w:tcBorders>
            <w:shd w:fill="FFE599" w:color="auto" w:val="clear"/>
            <w:tcMar>
              <w:top w:type="dxa" w:w="60"/>
              <w:left w:type="dxa" w:w="100"/>
              <w:bottom w:type="dxa" w:w="60"/>
              <w:right w:type="dxa" w:w="100"/>
            </w:tcMar>
          </w:tcPr>
          <w:p>
            <w:pPr>
              <w:spacing w:before="0" w:after="0" w:line="252"/>
            </w:pPr>
            <w:r>
              <w:rPr>
                <w:rFonts w:ascii="Arial" w:cs="Arial" w:eastAsia="Arial" w:hAnsi="Arial"/>
                <w:b/>
                <w:bCs/>
                <w:sz w:val="19"/>
                <w:szCs w:val="19"/>
              </w:rPr>
              <w:t xml:space="preserve">#</w:t>
            </w:r>
          </w:p>
        </w:tc>
        <w:tc>
          <w:tcPr>
            <w:tcW w:type="dxa" w:w="2560"/>
            <w:tcBorders>
              <w:top w:val="single" w:color="BFBFBF" w:sz="4"/>
              <w:left w:val="single" w:color="BFBFBF" w:sz="4"/>
              <w:bottom w:val="single" w:color="BFBFBF" w:sz="4"/>
              <w:right w:val="single" w:color="BFBFBF" w:sz="4"/>
            </w:tcBorders>
            <w:shd w:fill="FFE599" w:color="auto" w:val="clear"/>
            <w:tcMar>
              <w:top w:type="dxa" w:w="60"/>
              <w:left w:type="dxa" w:w="100"/>
              <w:bottom w:type="dxa" w:w="60"/>
              <w:right w:type="dxa" w:w="100"/>
            </w:tcMar>
          </w:tcPr>
          <w:p>
            <w:pPr>
              <w:spacing w:before="0" w:after="0" w:line="252"/>
            </w:pPr>
            <w:r>
              <w:rPr>
                <w:rFonts w:ascii="Arial" w:cs="Arial" w:eastAsia="Arial" w:hAnsi="Arial"/>
                <w:b/>
                <w:bCs/>
                <w:sz w:val="19"/>
                <w:szCs w:val="19"/>
              </w:rPr>
              <w:t xml:space="preserve">Question</w:t>
            </w:r>
          </w:p>
        </w:tc>
        <w:tc>
          <w:tcPr>
            <w:tcW w:type="dxa" w:w="3400"/>
            <w:tcBorders>
              <w:top w:val="single" w:color="BFBFBF" w:sz="4"/>
              <w:left w:val="single" w:color="BFBFBF" w:sz="4"/>
              <w:bottom w:val="single" w:color="BFBFBF" w:sz="4"/>
              <w:right w:val="single" w:color="BFBFBF" w:sz="4"/>
            </w:tcBorders>
            <w:shd w:fill="FFE599" w:color="auto" w:val="clear"/>
            <w:tcMar>
              <w:top w:type="dxa" w:w="60"/>
              <w:left w:type="dxa" w:w="100"/>
              <w:bottom w:type="dxa" w:w="60"/>
              <w:right w:type="dxa" w:w="100"/>
            </w:tcMar>
          </w:tcPr>
          <w:p>
            <w:pPr>
              <w:spacing w:before="0" w:after="0" w:line="252"/>
            </w:pPr>
            <w:r>
              <w:rPr>
                <w:rFonts w:ascii="Arial" w:cs="Arial" w:eastAsia="Arial" w:hAnsi="Arial"/>
                <w:b/>
                <w:bCs/>
                <w:sz w:val="19"/>
                <w:szCs w:val="19"/>
              </w:rPr>
              <w:t xml:space="preserve">What answers it</w:t>
            </w:r>
          </w:p>
        </w:tc>
        <w:tc>
          <w:tcPr>
            <w:tcW w:type="dxa" w:w="2120"/>
            <w:tcBorders>
              <w:top w:val="single" w:color="BFBFBF" w:sz="4"/>
              <w:left w:val="single" w:color="BFBFBF" w:sz="4"/>
              <w:bottom w:val="single" w:color="BFBFBF" w:sz="4"/>
              <w:right w:val="single" w:color="BFBFBF" w:sz="4"/>
            </w:tcBorders>
            <w:shd w:fill="FFE599" w:color="auto" w:val="clear"/>
            <w:tcMar>
              <w:top w:type="dxa" w:w="60"/>
              <w:left w:type="dxa" w:w="100"/>
              <w:bottom w:type="dxa" w:w="60"/>
              <w:right w:type="dxa" w:w="100"/>
            </w:tcMar>
          </w:tcPr>
          <w:p>
            <w:pPr>
              <w:spacing w:before="0" w:after="0" w:line="252"/>
            </w:pPr>
            <w:r>
              <w:rPr>
                <w:rFonts w:ascii="Arial" w:cs="Arial" w:eastAsia="Arial" w:hAnsi="Arial"/>
                <w:b/>
                <w:bCs/>
                <w:sz w:val="19"/>
                <w:szCs w:val="19"/>
              </w:rPr>
              <w:t xml:space="preserve">Page</w:t>
            </w:r>
          </w:p>
        </w:tc>
        <w:tc>
          <w:tcPr>
            <w:tcW w:type="dxa" w:w="5080"/>
            <w:tcBorders>
              <w:top w:val="single" w:color="BFBFBF" w:sz="4"/>
              <w:left w:val="single" w:color="BFBFBF" w:sz="4"/>
              <w:bottom w:val="single" w:color="BFBFBF" w:sz="4"/>
              <w:right w:val="single" w:color="BFBFBF" w:sz="4"/>
            </w:tcBorders>
            <w:shd w:fill="FFE599" w:color="auto" w:val="clear"/>
            <w:tcMar>
              <w:top w:type="dxa" w:w="60"/>
              <w:left w:type="dxa" w:w="100"/>
              <w:bottom w:type="dxa" w:w="60"/>
              <w:right w:type="dxa" w:w="100"/>
            </w:tcMar>
          </w:tcPr>
          <w:p>
            <w:pPr>
              <w:spacing w:before="0" w:after="0" w:line="252"/>
            </w:pPr>
            <w:r>
              <w:rPr>
                <w:rFonts w:ascii="Arial" w:cs="Arial" w:eastAsia="Arial" w:hAnsi="Arial"/>
                <w:b/>
                <w:bCs/>
                <w:sz w:val="19"/>
                <w:szCs w:val="19"/>
              </w:rPr>
              <w:t xml:space="preserve">What the page shows</w:t>
            </w:r>
          </w:p>
        </w:tc>
      </w:tr>
      <w:tr>
        <w:trPr>
          <w:cantSplit/>
        </w:trPr>
        <w:tc>
          <w:tcPr>
            <w:tcW w:type="dxa" w:w="52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before="0" w:after="0" w:line="252"/>
            </w:pPr>
            <w:r>
              <w:rPr>
                <w:rFonts w:ascii="Arial" w:cs="Arial" w:eastAsia="Arial" w:hAnsi="Arial"/>
                <w:sz w:val="18"/>
                <w:szCs w:val="18"/>
              </w:rPr>
              <w:t xml:space="preserve">1</w:t>
            </w:r>
          </w:p>
        </w:tc>
        <w:tc>
          <w:tcPr>
            <w:tcW w:type="dxa" w:w="25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before="0" w:after="0" w:line="252"/>
            </w:pPr>
            <w:r>
              <w:rPr>
                <w:rFonts w:ascii="Arial" w:cs="Arial" w:eastAsia="Arial" w:hAnsi="Arial"/>
                <w:sz w:val="18"/>
                <w:szCs w:val="18"/>
              </w:rPr>
              <w:t xml:space="preserve">What sold, on what day, how many, and from which supplier?</w:t>
            </w:r>
          </w:p>
        </w:tc>
        <w:tc>
          <w:tcPr>
            <w:tcW w:type="dxa" w:w="34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before="0" w:after="0" w:line="252"/>
            </w:pPr>
            <w:r>
              <w:rPr>
                <w:rFonts w:ascii="Arial" w:cs="Arial" w:eastAsia="Arial" w:hAnsi="Arial"/>
                <w:sz w:val="18"/>
                <w:szCs w:val="18"/>
              </w:rPr>
              <w:t xml:space="preserve">Consolidated sales database: tally sheets now, Digital Tallying Interface entries going forward (Sec. 1.2, 3.1–3.2)</w:t>
            </w:r>
          </w:p>
        </w:tc>
        <w:tc>
          <w:tcPr>
            <w:tcW w:type="dxa" w:w="212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before="0" w:after="0" w:line="252"/>
            </w:pPr>
            <w:r>
              <w:rPr>
                <w:rFonts w:ascii="Arial" w:cs="Arial" w:eastAsia="Arial" w:hAnsi="Arial"/>
                <w:sz w:val="18"/>
                <w:szCs w:val="18"/>
              </w:rPr>
              <w:t xml:space="preserve">Tally Interface; Dashboard Overview</w:t>
            </w:r>
          </w:p>
        </w:tc>
        <w:tc>
          <w:tcPr>
            <w:tcW w:type="dxa" w:w="508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before="0" w:after="0" w:line="252"/>
            </w:pPr>
            <w:r>
              <w:rPr>
                <w:rFonts w:ascii="Arial" w:cs="Arial" w:eastAsia="Arial" w:hAnsi="Arial"/>
                <w:sz w:val="18"/>
                <w:szCs w:val="18"/>
              </w:rPr>
              <w:t xml:space="preserve">Tally (Sales tab): Sales Tally with Recent Entries and Edit entries, Entries by Date. Overview, Sales Detail: Monthly Units Sold line, Best Sellers with each item’s stock status, Browse all products</w:t>
            </w:r>
          </w:p>
        </w:tc>
      </w:tr>
      <w:tr>
        <w:trPr>
          <w:cantSplit/>
        </w:trPr>
        <w:tc>
          <w:tcPr>
            <w:tcW w:type="dxa" w:w="52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before="0" w:after="0" w:line="252"/>
            </w:pPr>
            <w:r>
              <w:rPr>
                <w:rFonts w:ascii="Arial" w:cs="Arial" w:eastAsia="Arial" w:hAnsi="Arial"/>
                <w:sz w:val="18"/>
                <w:szCs w:val="18"/>
              </w:rPr>
              <w:t xml:space="preserve">2</w:t>
            </w:r>
          </w:p>
        </w:tc>
        <w:tc>
          <w:tcPr>
            <w:tcW w:type="dxa" w:w="25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before="0" w:after="0" w:line="252"/>
            </w:pPr>
            <w:r>
              <w:rPr>
                <w:rFonts w:ascii="Arial" w:cs="Arial" w:eastAsia="Arial" w:hAnsi="Arial"/>
                <w:sz w:val="18"/>
                <w:szCs w:val="18"/>
              </w:rPr>
              <w:t xml:space="preserve">How much stock is left, and how fast is it running down?</w:t>
            </w:r>
          </w:p>
        </w:tc>
        <w:tc>
          <w:tcPr>
            <w:tcW w:type="dxa" w:w="34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before="0" w:after="0" w:line="252"/>
            </w:pPr>
            <w:r>
              <w:rPr>
                <w:rFonts w:ascii="Arial" w:cs="Arial" w:eastAsia="Arial" w:hAnsi="Arial"/>
                <w:sz w:val="18"/>
                <w:szCs w:val="18"/>
              </w:rPr>
              <w:t xml:space="preserve">Stock status view: monthly inventory counts and ADUS (average daily units sold)</w:t>
            </w:r>
          </w:p>
        </w:tc>
        <w:tc>
          <w:tcPr>
            <w:tcW w:type="dxa" w:w="212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before="0" w:after="0" w:line="252"/>
            </w:pPr>
            <w:r>
              <w:rPr>
                <w:rFonts w:ascii="Arial" w:cs="Arial" w:eastAsia="Arial" w:hAnsi="Arial"/>
                <w:sz w:val="18"/>
                <w:szCs w:val="18"/>
              </w:rPr>
              <w:t xml:space="preserve">Reorder Alerts; Tally Interface; Dashboard Overview</w:t>
            </w:r>
          </w:p>
        </w:tc>
        <w:tc>
          <w:tcPr>
            <w:tcW w:type="dxa" w:w="508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before="0" w:after="0" w:line="252"/>
            </w:pPr>
            <w:r>
              <w:rPr>
                <w:rFonts w:ascii="Arial" w:cs="Arial" w:eastAsia="Arial" w:hAnsi="Arial"/>
                <w:sz w:val="18"/>
                <w:szCs w:val="18"/>
              </w:rPr>
              <w:t xml:space="preserve">Reorder Alerts: Stock Position table (Current Stock, Counted, Days of Supply in amber under 30, ADUS, Stockout days) and the Median Days of Supply KPI. Tally (Stock tab): Monthly Inventory Count and Current Inventory with Days left. Overview: how many items to reorder have no stock left, in the hero banner</w:t>
            </w:r>
          </w:p>
        </w:tc>
      </w:tr>
      <w:tr>
        <w:trPr>
          <w:cantSplit/>
        </w:trPr>
        <w:tc>
          <w:tcPr>
            <w:tcW w:type="dxa" w:w="52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before="0" w:after="0" w:line="252"/>
            </w:pPr>
            <w:r>
              <w:rPr>
                <w:rFonts w:ascii="Arial" w:cs="Arial" w:eastAsia="Arial" w:hAnsi="Arial"/>
                <w:sz w:val="18"/>
                <w:szCs w:val="18"/>
              </w:rPr>
              <w:t xml:space="preserve">3</w:t>
            </w:r>
          </w:p>
        </w:tc>
        <w:tc>
          <w:tcPr>
            <w:tcW w:type="dxa" w:w="25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before="0" w:after="0" w:line="252"/>
            </w:pPr>
            <w:r>
              <w:rPr>
                <w:rFonts w:ascii="Arial" w:cs="Arial" w:eastAsia="Arial" w:hAnsi="Arial"/>
                <w:sz w:val="18"/>
                <w:szCs w:val="18"/>
              </w:rPr>
              <w:t xml:space="preserve">Which items are fast, slow or non-moving?</w:t>
            </w:r>
          </w:p>
        </w:tc>
        <w:tc>
          <w:tcPr>
            <w:tcW w:type="dxa" w:w="34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before="0" w:after="0" w:line="252"/>
            </w:pPr>
            <w:r>
              <w:rPr>
                <w:rFonts w:ascii="Arial" w:cs="Arial" w:eastAsia="Arial" w:hAnsi="Arial"/>
                <w:sz w:val="18"/>
                <w:szCs w:val="18"/>
              </w:rPr>
              <w:t xml:space="preserve">FSN Analysis: 80th-percentile cutoff; no sale in 90 days means not Fast; High-Velocity Limited flag under 30 selling days (Sec. 3.3.1)</w:t>
            </w:r>
          </w:p>
        </w:tc>
        <w:tc>
          <w:tcPr>
            <w:tcW w:type="dxa" w:w="212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before="0" w:after="0" w:line="252"/>
            </w:pPr>
            <w:r>
              <w:rPr>
                <w:rFonts w:ascii="Arial" w:cs="Arial" w:eastAsia="Arial" w:hAnsi="Arial"/>
                <w:sz w:val="18"/>
                <w:szCs w:val="18"/>
              </w:rPr>
              <w:t xml:space="preserve">FSN Classification; Dashboard Overview; Analytics (Power BI)</w:t>
            </w:r>
          </w:p>
        </w:tc>
        <w:tc>
          <w:tcPr>
            <w:tcW w:type="dxa" w:w="508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before="0" w:after="0" w:line="252"/>
            </w:pPr>
            <w:r>
              <w:rPr>
                <w:rFonts w:ascii="Arial" w:cs="Arial" w:eastAsia="Arial" w:hAnsi="Arial"/>
                <w:sz w:val="18"/>
                <w:szCs w:val="18"/>
              </w:rPr>
              <w:t xml:space="preserve">FSN Classification: Fast, Slow and Non-moving tiles, Best Sellers bars, item list with a Thin history tag. Overview: What to Do With Each Group counts. Power BI FSN page: split by category, top sellers with cumulative share. The 75th and 85th percentile sensitivity check is not on screen (Chapter 4 only)</w:t>
            </w:r>
          </w:p>
        </w:tc>
      </w:tr>
      <w:tr>
        <w:trPr>
          <w:cantSplit/>
        </w:trPr>
        <w:tc>
          <w:tcPr>
            <w:tcW w:type="dxa" w:w="52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before="0" w:after="0" w:line="252"/>
            </w:pPr>
            <w:r>
              <w:rPr>
                <w:rFonts w:ascii="Arial" w:cs="Arial" w:eastAsia="Arial" w:hAnsi="Arial"/>
                <w:sz w:val="18"/>
                <w:szCs w:val="18"/>
              </w:rPr>
              <w:t xml:space="preserve">4</w:t>
            </w:r>
          </w:p>
        </w:tc>
        <w:tc>
          <w:tcPr>
            <w:tcW w:type="dxa" w:w="25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before="0" w:after="0" w:line="252"/>
            </w:pPr>
            <w:r>
              <w:rPr>
                <w:rFonts w:ascii="Arial" w:cs="Arial" w:eastAsia="Arial" w:hAnsi="Arial"/>
                <w:sz w:val="18"/>
                <w:szCs w:val="18"/>
              </w:rPr>
              <w:t xml:space="preserve">How do sales rise and fall with the school calendar (enrollment, exams, breaks, events)?</w:t>
            </w:r>
          </w:p>
        </w:tc>
        <w:tc>
          <w:tcPr>
            <w:tcW w:type="dxa" w:w="34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before="0" w:after="0" w:line="252"/>
            </w:pPr>
            <w:r>
              <w:rPr>
                <w:rFonts w:ascii="Arial" w:cs="Arial" w:eastAsia="Arial" w:hAnsi="Arial"/>
                <w:sz w:val="18"/>
                <w:szCs w:val="18"/>
              </w:rPr>
              <w:t xml:space="preserve">Academic calendar flags, the Event Log and store closures</w:t>
            </w:r>
          </w:p>
        </w:tc>
        <w:tc>
          <w:tcPr>
            <w:tcW w:type="dxa" w:w="212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before="0" w:after="0" w:line="252"/>
            </w:pPr>
            <w:r>
              <w:rPr>
                <w:rFonts w:ascii="Arial" w:cs="Arial" w:eastAsia="Arial" w:hAnsi="Arial"/>
                <w:sz w:val="18"/>
                <w:szCs w:val="18"/>
              </w:rPr>
              <w:t xml:space="preserve">Dashboard Overview; Analytics (Power BI); Tally Interface</w:t>
            </w:r>
          </w:p>
        </w:tc>
        <w:tc>
          <w:tcPr>
            <w:tcW w:type="dxa" w:w="508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before="0" w:after="0" w:line="252"/>
            </w:pPr>
            <w:r>
              <w:rPr>
                <w:rFonts w:ascii="Arial" w:cs="Arial" w:eastAsia="Arial" w:hAnsi="Arial"/>
                <w:sz w:val="18"/>
                <w:szCs w:val="18"/>
              </w:rPr>
              <w:t xml:space="preserve">Overview: Monthly Units Sold (Sales Detail) shows the seasonal swings; Next on the Calendar tile. Power BI Calendar page: sales heatmap by week and weekday, average daily units by month and by day type, days to have stock ready by. Tally (Calendar tab): Store Closure / Suspension and Flag an Event</w:t>
            </w:r>
          </w:p>
        </w:tc>
      </w:tr>
      <w:tr>
        <w:trPr>
          <w:cantSplit/>
        </w:trPr>
        <w:tc>
          <w:tcPr>
            <w:tcW w:type="dxa" w:w="52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before="0" w:after="0" w:line="252"/>
            </w:pPr>
            <w:r>
              <w:rPr>
                <w:rFonts w:ascii="Arial" w:cs="Arial" w:eastAsia="Arial" w:hAnsi="Arial"/>
                <w:sz w:val="18"/>
                <w:szCs w:val="18"/>
              </w:rPr>
              <w:t xml:space="preserve">5</w:t>
            </w:r>
          </w:p>
        </w:tc>
        <w:tc>
          <w:tcPr>
            <w:tcW w:type="dxa" w:w="25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before="0" w:after="0" w:line="252"/>
            </w:pPr>
            <w:r>
              <w:rPr>
                <w:rFonts w:ascii="Arial" w:cs="Arial" w:eastAsia="Arial" w:hAnsi="Arial"/>
                <w:sz w:val="18"/>
                <w:szCs w:val="18"/>
              </w:rPr>
              <w:t xml:space="preserve">How much did each consignment supplier sell this month, so they can be paid?</w:t>
            </w:r>
          </w:p>
        </w:tc>
        <w:tc>
          <w:tcPr>
            <w:tcW w:type="dxa" w:w="34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before="0" w:after="0" w:line="252"/>
            </w:pPr>
            <w:r>
              <w:rPr>
                <w:rFonts w:ascii="Arial" w:cs="Arial" w:eastAsia="Arial" w:hAnsi="Arial"/>
                <w:sz w:val="18"/>
                <w:szCs w:val="18"/>
              </w:rPr>
              <w:t xml:space="preserve">Monthly batch sales report</w:t>
            </w:r>
          </w:p>
        </w:tc>
        <w:tc>
          <w:tcPr>
            <w:tcW w:type="dxa" w:w="212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before="0" w:after="0" w:line="252"/>
            </w:pPr>
            <w:r>
              <w:rPr>
                <w:rFonts w:ascii="Arial" w:cs="Arial" w:eastAsia="Arial" w:hAnsi="Arial"/>
                <w:sz w:val="18"/>
                <w:szCs w:val="18"/>
              </w:rPr>
              <w:t xml:space="preserve">Batch Sales Report; Analytics (Power BI)</w:t>
            </w:r>
          </w:p>
        </w:tc>
        <w:tc>
          <w:tcPr>
            <w:tcW w:type="dxa" w:w="508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before="0" w:after="0" w:line="252"/>
            </w:pPr>
            <w:r>
              <w:rPr>
                <w:rFonts w:ascii="Arial" w:cs="Arial" w:eastAsia="Arial" w:hAnsi="Arial"/>
                <w:sz w:val="18"/>
                <w:szCs w:val="18"/>
              </w:rPr>
              <w:t xml:space="preserve">Per-supplier tables with unit subtotals, exported as PDF, CSV or Excel. Power BI Batch Sales page: units per supplier with cumulative share, filters by month and payment status</w:t>
            </w:r>
          </w:p>
        </w:tc>
      </w:tr>
      <w:tr>
        <w:trPr>
          <w:cantSplit/>
        </w:trPr>
        <w:tc>
          <w:tcPr>
            <w:tcW w:type="dxa" w:w="52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before="0" w:after="0" w:line="252"/>
            </w:pPr>
            <w:r>
              <w:rPr>
                <w:rFonts w:ascii="Arial" w:cs="Arial" w:eastAsia="Arial" w:hAnsi="Arial"/>
                <w:sz w:val="18"/>
                <w:szCs w:val="18"/>
              </w:rPr>
              <w:t xml:space="preserve">6</w:t>
            </w:r>
          </w:p>
        </w:tc>
        <w:tc>
          <w:tcPr>
            <w:tcW w:type="dxa" w:w="25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before="0" w:after="0" w:line="252"/>
            </w:pPr>
            <w:r>
              <w:rPr>
                <w:rFonts w:ascii="Arial" w:cs="Arial" w:eastAsia="Arial" w:hAnsi="Arial"/>
                <w:sz w:val="18"/>
                <w:szCs w:val="18"/>
              </w:rPr>
              <w:t xml:space="preserve">How long does each supplier take to deliver? </w:t>
            </w:r>
            <w:r>
              <w:rPr>
                <w:rFonts w:ascii="Arial" w:cs="Arial" w:eastAsia="Arial" w:hAnsi="Arial"/>
                <w:i/>
                <w:iCs/>
                <w:sz w:val="18"/>
                <w:szCs w:val="18"/>
              </w:rPr>
              <w:t xml:space="preserve">(new)</w:t>
            </w:r>
          </w:p>
        </w:tc>
        <w:tc>
          <w:tcPr>
            <w:tcW w:type="dxa" w:w="34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before="0" w:after="0" w:line="252"/>
            </w:pPr>
            <w:r>
              <w:rPr>
                <w:rFonts w:ascii="Arial" w:cs="Arial" w:eastAsia="Arial" w:hAnsi="Arial"/>
                <w:sz w:val="18"/>
                <w:szCs w:val="18"/>
              </w:rPr>
              <w:t xml:space="preserve">Restock log; the median of real deliveries replaces the verbal lead time (Constraint 6)</w:t>
            </w:r>
          </w:p>
        </w:tc>
        <w:tc>
          <w:tcPr>
            <w:tcW w:type="dxa" w:w="212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before="0" w:after="0" w:line="252"/>
            </w:pPr>
            <w:r>
              <w:rPr>
                <w:rFonts w:ascii="Arial" w:cs="Arial" w:eastAsia="Arial" w:hAnsi="Arial"/>
                <w:sz w:val="18"/>
                <w:szCs w:val="18"/>
              </w:rPr>
              <w:t xml:space="preserve">Tally Interface</w:t>
            </w:r>
          </w:p>
        </w:tc>
        <w:tc>
          <w:tcPr>
            <w:tcW w:type="dxa" w:w="508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before="0" w:after="0" w:line="252"/>
            </w:pPr>
            <w:r>
              <w:rPr>
                <w:rFonts w:ascii="Arial" w:cs="Arial" w:eastAsia="Arial" w:hAnsi="Arial"/>
                <w:sz w:val="18"/>
                <w:szCs w:val="18"/>
              </w:rPr>
              <w:t xml:space="preserve">Tally (Stock tab): Restock Deliveries, Lead times by supplier</w:t>
            </w:r>
          </w:p>
        </w:tc>
      </w:tr>
      <w:tr>
        <w:trPr>
          <w:cantSplit/>
        </w:trPr>
        <w:tc>
          <w:tcPr>
            <w:tcW w:type="dxa" w:w="52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before="0" w:after="0" w:line="252"/>
            </w:pPr>
            <w:r>
              <w:rPr>
                <w:rFonts w:ascii="Arial" w:cs="Arial" w:eastAsia="Arial" w:hAnsi="Arial"/>
                <w:sz w:val="18"/>
                <w:szCs w:val="18"/>
              </w:rPr>
              <w:t xml:space="preserve">7</w:t>
            </w:r>
          </w:p>
        </w:tc>
        <w:tc>
          <w:tcPr>
            <w:tcW w:type="dxa" w:w="25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before="0" w:after="0" w:line="252"/>
            </w:pPr>
            <w:r>
              <w:rPr>
                <w:rFonts w:ascii="Arial" w:cs="Arial" w:eastAsia="Arial" w:hAnsi="Arial"/>
                <w:sz w:val="18"/>
                <w:szCs w:val="18"/>
              </w:rPr>
              <w:t xml:space="preserve">Which items can the system not check yet, because they have no inventory count? </w:t>
            </w:r>
            <w:r>
              <w:rPr>
                <w:rFonts w:ascii="Arial" w:cs="Arial" w:eastAsia="Arial" w:hAnsi="Arial"/>
                <w:i/>
                <w:iCs/>
                <w:sz w:val="18"/>
                <w:szCs w:val="18"/>
              </w:rPr>
              <w:t xml:space="preserve">(new)</w:t>
            </w:r>
          </w:p>
        </w:tc>
        <w:tc>
          <w:tcPr>
            <w:tcW w:type="dxa" w:w="34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before="0" w:after="0" w:line="252"/>
            </w:pPr>
            <w:r>
              <w:rPr>
                <w:rFonts w:ascii="Arial" w:cs="Arial" w:eastAsia="Arial" w:hAnsi="Arial"/>
                <w:sz w:val="18"/>
                <w:szCs w:val="18"/>
              </w:rPr>
              <w:t xml:space="preserve">Stock status view: items with a reorder point but no Monthly Inventory Count</w:t>
            </w:r>
          </w:p>
        </w:tc>
        <w:tc>
          <w:tcPr>
            <w:tcW w:type="dxa" w:w="212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before="0" w:after="0" w:line="252"/>
            </w:pPr>
            <w:r>
              <w:rPr>
                <w:rFonts w:ascii="Arial" w:cs="Arial" w:eastAsia="Arial" w:hAnsi="Arial"/>
                <w:sz w:val="18"/>
                <w:szCs w:val="18"/>
              </w:rPr>
              <w:t xml:space="preserve">Dashboard Overview</w:t>
            </w:r>
          </w:p>
        </w:tc>
        <w:tc>
          <w:tcPr>
            <w:tcW w:type="dxa" w:w="508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before="0" w:after="0" w:line="252"/>
            </w:pPr>
            <w:r>
              <w:rPr>
                <w:rFonts w:ascii="Arial" w:cs="Arial" w:eastAsia="Arial" w:hAnsi="Arial"/>
                <w:sz w:val="18"/>
                <w:szCs w:val="18"/>
              </w:rPr>
              <w:t xml:space="preserve">Overview: Items Without an Inventory Count tile, and the hero footnote (“Only N of M items have an inventory count… Count the other N to include them”)</w:t>
            </w:r>
          </w:p>
        </w:tc>
      </w:tr>
    </w:tbl>
    <w:p>
      <w:pPr>
        <w:pStyle w:val="Heading2"/>
        <w:keepNext/>
        <w:keepLines/>
        <w:spacing w:before="280" w:after="120"/>
      </w:pPr>
      <w:r>
        <w:t xml:space="preserve">Predictive: what will happen?</w:t>
      </w:r>
    </w:p>
    <w:tbl>
      <w:tblPr>
        <w:tblW w:type="dxa" w:w="13680"/>
        <w:tblBorders>
          <w:top w:val="single" w:color="auto" w:sz="4"/>
          <w:left w:val="single" w:color="auto" w:sz="4"/>
          <w:bottom w:val="single" w:color="auto" w:sz="4"/>
          <w:right w:val="single" w:color="auto" w:sz="4"/>
          <w:insideH w:val="single" w:color="auto" w:sz="4"/>
          <w:insideV w:val="single" w:color="auto" w:sz="4"/>
        </w:tblBorders>
      </w:tblPr>
      <w:tblGrid>
        <w:gridCol w:w="520"/>
        <w:gridCol w:w="2560"/>
        <w:gridCol w:w="3400"/>
        <w:gridCol w:w="2120"/>
        <w:gridCol w:w="5080"/>
      </w:tblGrid>
      <w:tr>
        <w:trPr>
          <w:tblHeader/>
        </w:trPr>
        <w:tc>
          <w:tcPr>
            <w:tcW w:type="dxa" w:w="520"/>
            <w:tcBorders>
              <w:top w:val="single" w:color="BFBFBF" w:sz="4"/>
              <w:left w:val="single" w:color="BFBFBF" w:sz="4"/>
              <w:bottom w:val="single" w:color="BFBFBF" w:sz="4"/>
              <w:right w:val="single" w:color="BFBFBF" w:sz="4"/>
            </w:tcBorders>
            <w:shd w:fill="FFE599" w:color="auto" w:val="clear"/>
            <w:tcMar>
              <w:top w:type="dxa" w:w="60"/>
              <w:left w:type="dxa" w:w="100"/>
              <w:bottom w:type="dxa" w:w="60"/>
              <w:right w:type="dxa" w:w="100"/>
            </w:tcMar>
          </w:tcPr>
          <w:p>
            <w:pPr>
              <w:spacing w:before="0" w:after="0" w:line="252"/>
            </w:pPr>
            <w:r>
              <w:rPr>
                <w:rFonts w:ascii="Arial" w:cs="Arial" w:eastAsia="Arial" w:hAnsi="Arial"/>
                <w:b/>
                <w:bCs/>
                <w:sz w:val="19"/>
                <w:szCs w:val="19"/>
              </w:rPr>
              <w:t xml:space="preserve">#</w:t>
            </w:r>
          </w:p>
        </w:tc>
        <w:tc>
          <w:tcPr>
            <w:tcW w:type="dxa" w:w="2560"/>
            <w:tcBorders>
              <w:top w:val="single" w:color="BFBFBF" w:sz="4"/>
              <w:left w:val="single" w:color="BFBFBF" w:sz="4"/>
              <w:bottom w:val="single" w:color="BFBFBF" w:sz="4"/>
              <w:right w:val="single" w:color="BFBFBF" w:sz="4"/>
            </w:tcBorders>
            <w:shd w:fill="FFE599" w:color="auto" w:val="clear"/>
            <w:tcMar>
              <w:top w:type="dxa" w:w="60"/>
              <w:left w:type="dxa" w:w="100"/>
              <w:bottom w:type="dxa" w:w="60"/>
              <w:right w:type="dxa" w:w="100"/>
            </w:tcMar>
          </w:tcPr>
          <w:p>
            <w:pPr>
              <w:spacing w:before="0" w:after="0" w:line="252"/>
            </w:pPr>
            <w:r>
              <w:rPr>
                <w:rFonts w:ascii="Arial" w:cs="Arial" w:eastAsia="Arial" w:hAnsi="Arial"/>
                <w:b/>
                <w:bCs/>
                <w:sz w:val="19"/>
                <w:szCs w:val="19"/>
              </w:rPr>
              <w:t xml:space="preserve">Question</w:t>
            </w:r>
          </w:p>
        </w:tc>
        <w:tc>
          <w:tcPr>
            <w:tcW w:type="dxa" w:w="3400"/>
            <w:tcBorders>
              <w:top w:val="single" w:color="BFBFBF" w:sz="4"/>
              <w:left w:val="single" w:color="BFBFBF" w:sz="4"/>
              <w:bottom w:val="single" w:color="BFBFBF" w:sz="4"/>
              <w:right w:val="single" w:color="BFBFBF" w:sz="4"/>
            </w:tcBorders>
            <w:shd w:fill="FFE599" w:color="auto" w:val="clear"/>
            <w:tcMar>
              <w:top w:type="dxa" w:w="60"/>
              <w:left w:type="dxa" w:w="100"/>
              <w:bottom w:type="dxa" w:w="60"/>
              <w:right w:type="dxa" w:w="100"/>
            </w:tcMar>
          </w:tcPr>
          <w:p>
            <w:pPr>
              <w:spacing w:before="0" w:after="0" w:line="252"/>
            </w:pPr>
            <w:r>
              <w:rPr>
                <w:rFonts w:ascii="Arial" w:cs="Arial" w:eastAsia="Arial" w:hAnsi="Arial"/>
                <w:b/>
                <w:bCs/>
                <w:sz w:val="19"/>
                <w:szCs w:val="19"/>
              </w:rPr>
              <w:t xml:space="preserve">What answers it</w:t>
            </w:r>
          </w:p>
        </w:tc>
        <w:tc>
          <w:tcPr>
            <w:tcW w:type="dxa" w:w="2120"/>
            <w:tcBorders>
              <w:top w:val="single" w:color="BFBFBF" w:sz="4"/>
              <w:left w:val="single" w:color="BFBFBF" w:sz="4"/>
              <w:bottom w:val="single" w:color="BFBFBF" w:sz="4"/>
              <w:right w:val="single" w:color="BFBFBF" w:sz="4"/>
            </w:tcBorders>
            <w:shd w:fill="FFE599" w:color="auto" w:val="clear"/>
            <w:tcMar>
              <w:top w:type="dxa" w:w="60"/>
              <w:left w:type="dxa" w:w="100"/>
              <w:bottom w:type="dxa" w:w="60"/>
              <w:right w:type="dxa" w:w="100"/>
            </w:tcMar>
          </w:tcPr>
          <w:p>
            <w:pPr>
              <w:spacing w:before="0" w:after="0" w:line="252"/>
            </w:pPr>
            <w:r>
              <w:rPr>
                <w:rFonts w:ascii="Arial" w:cs="Arial" w:eastAsia="Arial" w:hAnsi="Arial"/>
                <w:b/>
                <w:bCs/>
                <w:sz w:val="19"/>
                <w:szCs w:val="19"/>
              </w:rPr>
              <w:t xml:space="preserve">Page</w:t>
            </w:r>
          </w:p>
        </w:tc>
        <w:tc>
          <w:tcPr>
            <w:tcW w:type="dxa" w:w="5080"/>
            <w:tcBorders>
              <w:top w:val="single" w:color="BFBFBF" w:sz="4"/>
              <w:left w:val="single" w:color="BFBFBF" w:sz="4"/>
              <w:bottom w:val="single" w:color="BFBFBF" w:sz="4"/>
              <w:right w:val="single" w:color="BFBFBF" w:sz="4"/>
            </w:tcBorders>
            <w:shd w:fill="FFE599" w:color="auto" w:val="clear"/>
            <w:tcMar>
              <w:top w:type="dxa" w:w="60"/>
              <w:left w:type="dxa" w:w="100"/>
              <w:bottom w:type="dxa" w:w="60"/>
              <w:right w:type="dxa" w:w="100"/>
            </w:tcMar>
          </w:tcPr>
          <w:p>
            <w:pPr>
              <w:spacing w:before="0" w:after="0" w:line="252"/>
            </w:pPr>
            <w:r>
              <w:rPr>
                <w:rFonts w:ascii="Arial" w:cs="Arial" w:eastAsia="Arial" w:hAnsi="Arial"/>
                <w:b/>
                <w:bCs/>
                <w:sz w:val="19"/>
                <w:szCs w:val="19"/>
              </w:rPr>
              <w:t xml:space="preserve">What the page shows</w:t>
            </w:r>
          </w:p>
        </w:tc>
      </w:tr>
      <w:tr>
        <w:trPr>
          <w:cantSplit/>
        </w:trPr>
        <w:tc>
          <w:tcPr>
            <w:tcW w:type="dxa" w:w="52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before="0" w:after="0" w:line="252"/>
            </w:pPr>
            <w:r>
              <w:rPr>
                <w:rFonts w:ascii="Arial" w:cs="Arial" w:eastAsia="Arial" w:hAnsi="Arial"/>
                <w:sz w:val="18"/>
                <w:szCs w:val="18"/>
              </w:rPr>
              <w:t xml:space="preserve">8</w:t>
            </w:r>
          </w:p>
        </w:tc>
        <w:tc>
          <w:tcPr>
            <w:tcW w:type="dxa" w:w="25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before="0" w:after="0" w:line="252"/>
            </w:pPr>
            <w:r>
              <w:rPr>
                <w:rFonts w:ascii="Arial" w:cs="Arial" w:eastAsia="Arial" w:hAnsi="Arial"/>
                <w:sz w:val="18"/>
                <w:szCs w:val="18"/>
              </w:rPr>
              <w:t xml:space="preserve">How much will each category and each fast item sell over the next 30 days?</w:t>
            </w:r>
          </w:p>
        </w:tc>
        <w:tc>
          <w:tcPr>
            <w:tcW w:type="dxa" w:w="34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before="0" w:after="0" w:line="252"/>
            </w:pPr>
            <w:r>
              <w:rPr>
                <w:rFonts w:ascii="Arial" w:cs="Arial" w:eastAsia="Arial" w:hAnsi="Arial"/>
                <w:sz w:val="18"/>
                <w:szCs w:val="18"/>
              </w:rPr>
              <w:t xml:space="preserve">Demand forecast: six-month moving average per category; for each Fast item, an even blend of its category share and TSB (Teunter-Syntetos-Babai), lowered by the calendar adjustment (Sec. 3.3.2)</w:t>
            </w:r>
          </w:p>
        </w:tc>
        <w:tc>
          <w:tcPr>
            <w:tcW w:type="dxa" w:w="212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before="0" w:after="0" w:line="252"/>
            </w:pPr>
            <w:r>
              <w:rPr>
                <w:rFonts w:ascii="Arial" w:cs="Arial" w:eastAsia="Arial" w:hAnsi="Arial"/>
                <w:sz w:val="18"/>
                <w:szCs w:val="18"/>
              </w:rPr>
              <w:t xml:space="preserve">Demand Forecast; Dashboard Overview</w:t>
            </w:r>
          </w:p>
        </w:tc>
        <w:tc>
          <w:tcPr>
            <w:tcW w:type="dxa" w:w="508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before="0" w:after="0" w:line="252"/>
            </w:pPr>
            <w:r>
              <w:rPr>
                <w:rFonts w:ascii="Arial" w:cs="Arial" w:eastAsia="Arial" w:hAnsi="Arial"/>
                <w:sz w:val="18"/>
                <w:szCs w:val="18"/>
              </w:rPr>
              <w:t xml:space="preserve">Demand Forecast: the forecast chart (past months in grey, the next 30 days by day), Expected Demand — Next 30 Days, the Fast items driving the category, and the ⓘ beside Category listing every item the forecast includes. Overview: Expected Demand · 30 Days tile</w:t>
            </w:r>
          </w:p>
        </w:tc>
      </w:tr>
      <w:tr>
        <w:trPr>
          <w:cantSplit/>
        </w:trPr>
        <w:tc>
          <w:tcPr>
            <w:tcW w:type="dxa" w:w="52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before="0" w:after="0" w:line="252"/>
            </w:pPr>
            <w:r>
              <w:rPr>
                <w:rFonts w:ascii="Arial" w:cs="Arial" w:eastAsia="Arial" w:hAnsi="Arial"/>
                <w:sz w:val="18"/>
                <w:szCs w:val="18"/>
              </w:rPr>
              <w:t xml:space="preserve">9</w:t>
            </w:r>
          </w:p>
        </w:tc>
        <w:tc>
          <w:tcPr>
            <w:tcW w:type="dxa" w:w="25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before="0" w:after="0" w:line="252"/>
            </w:pPr>
            <w:r>
              <w:rPr>
                <w:rFonts w:ascii="Arial" w:cs="Arial" w:eastAsia="Arial" w:hAnsi="Arial"/>
                <w:sz w:val="18"/>
                <w:szCs w:val="18"/>
              </w:rPr>
              <w:t xml:space="preserve">How sure are we? What is the likely high and low?</w:t>
            </w:r>
          </w:p>
        </w:tc>
        <w:tc>
          <w:tcPr>
            <w:tcW w:type="dxa" w:w="34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before="0" w:after="0" w:line="252"/>
            </w:pPr>
            <w:r>
              <w:rPr>
                <w:rFonts w:ascii="Arial" w:cs="Arial" w:eastAsia="Arial" w:hAnsi="Arial"/>
                <w:sz w:val="18"/>
                <w:szCs w:val="18"/>
              </w:rPr>
              <w:t xml:space="preserve">Forecast confidence bands</w:t>
            </w:r>
          </w:p>
        </w:tc>
        <w:tc>
          <w:tcPr>
            <w:tcW w:type="dxa" w:w="212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before="0" w:after="0" w:line="252"/>
            </w:pPr>
            <w:r>
              <w:rPr>
                <w:rFonts w:ascii="Arial" w:cs="Arial" w:eastAsia="Arial" w:hAnsi="Arial"/>
                <w:sz w:val="18"/>
                <w:szCs w:val="18"/>
              </w:rPr>
              <w:t xml:space="preserve">Demand Forecast</w:t>
            </w:r>
          </w:p>
        </w:tc>
        <w:tc>
          <w:tcPr>
            <w:tcW w:type="dxa" w:w="508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before="0" w:after="0" w:line="252"/>
            </w:pPr>
            <w:r>
              <w:rPr>
                <w:rFonts w:ascii="Arial" w:cs="Arial" w:eastAsia="Arial" w:hAnsi="Arial"/>
                <w:sz w:val="18"/>
                <w:szCs w:val="18"/>
              </w:rPr>
              <w:t xml:space="preserve">The shaded Likely range on the chart, “X–Y units likely · best estimate N” on Expected Demand, and the likely range under What this means (ⓘ)</w:t>
            </w:r>
          </w:p>
        </w:tc>
      </w:tr>
      <w:tr>
        <w:trPr>
          <w:cantSplit/>
        </w:trPr>
        <w:tc>
          <w:tcPr>
            <w:tcW w:type="dxa" w:w="52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before="0" w:after="0" w:line="252"/>
            </w:pPr>
            <w:r>
              <w:rPr>
                <w:rFonts w:ascii="Arial" w:cs="Arial" w:eastAsia="Arial" w:hAnsi="Arial"/>
                <w:sz w:val="18"/>
                <w:szCs w:val="18"/>
              </w:rPr>
              <w:t xml:space="preserve">10</w:t>
            </w:r>
          </w:p>
        </w:tc>
        <w:tc>
          <w:tcPr>
            <w:tcW w:type="dxa" w:w="25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before="0" w:after="0" w:line="252"/>
            </w:pPr>
            <w:r>
              <w:rPr>
                <w:rFonts w:ascii="Arial" w:cs="Arial" w:eastAsia="Arial" w:hAnsi="Arial"/>
                <w:sz w:val="18"/>
                <w:szCs w:val="18"/>
              </w:rPr>
              <w:t xml:space="preserve">Is the forecast good enough to trust?</w:t>
            </w:r>
          </w:p>
        </w:tc>
        <w:tc>
          <w:tcPr>
            <w:tcW w:type="dxa" w:w="34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before="0" w:after="0" w:line="252"/>
            </w:pPr>
            <w:r>
              <w:rPr>
                <w:rFonts w:ascii="Arial" w:cs="Arial" w:eastAsia="Arial" w:hAnsi="Arial"/>
                <w:sz w:val="18"/>
                <w:szCs w:val="18"/>
              </w:rPr>
              <w:t xml:space="preserve">Walk-forward 80/20 validation: MAPE ≤ 20% (kept, not met: 1 of 58 SKUs), with MAE and RMSE compared against a naive baseline (Sec. 3.3.4)</w:t>
            </w:r>
          </w:p>
        </w:tc>
        <w:tc>
          <w:tcPr>
            <w:tcW w:type="dxa" w:w="212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before="0" w:after="0" w:line="252"/>
            </w:pPr>
            <w:r>
              <w:rPr>
                <w:rFonts w:ascii="Arial" w:cs="Arial" w:eastAsia="Arial" w:hAnsi="Arial"/>
                <w:sz w:val="18"/>
                <w:szCs w:val="18"/>
              </w:rPr>
              <w:t xml:space="preserve">Demand Forecast</w:t>
            </w:r>
          </w:p>
        </w:tc>
        <w:tc>
          <w:tcPr>
            <w:tcW w:type="dxa" w:w="508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before="0" w:after="0" w:line="252"/>
            </w:pPr>
            <w:r>
              <w:rPr>
                <w:rFonts w:ascii="Arial" w:cs="Arial" w:eastAsia="Arial" w:hAnsi="Arial"/>
                <w:sz w:val="18"/>
                <w:szCs w:val="18"/>
              </w:rPr>
              <w:t xml:space="preserve">The reliability tag (Reliable means it beats the naive forecast on MAE; otherwise Rough estimate or Not enough history) and “typically off by N units”. MAPE and RMSE are not shown (Chapter 4 only)</w:t>
            </w:r>
          </w:p>
        </w:tc>
      </w:tr>
      <w:tr>
        <w:trPr>
          <w:cantSplit/>
        </w:trPr>
        <w:tc>
          <w:tcPr>
            <w:tcW w:type="dxa" w:w="52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before="0" w:after="0" w:line="252"/>
            </w:pPr>
            <w:r>
              <w:rPr>
                <w:rFonts w:ascii="Arial" w:cs="Arial" w:eastAsia="Arial" w:hAnsi="Arial"/>
                <w:sz w:val="18"/>
                <w:szCs w:val="18"/>
              </w:rPr>
              <w:t xml:space="preserve">11</w:t>
            </w:r>
          </w:p>
        </w:tc>
        <w:tc>
          <w:tcPr>
            <w:tcW w:type="dxa" w:w="25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before="0" w:after="0" w:line="252"/>
            </w:pPr>
            <w:r>
              <w:rPr>
                <w:rFonts w:ascii="Arial" w:cs="Arial" w:eastAsia="Arial" w:hAnsi="Arial"/>
                <w:sz w:val="18"/>
                <w:szCs w:val="18"/>
              </w:rPr>
              <w:t xml:space="preserve">When are the busy and quiet days ahead? </w:t>
            </w:r>
            <w:r>
              <w:rPr>
                <w:rFonts w:ascii="Arial" w:cs="Arial" w:eastAsia="Arial" w:hAnsi="Arial"/>
                <w:i/>
                <w:iCs/>
                <w:sz w:val="18"/>
                <w:szCs w:val="18"/>
              </w:rPr>
              <w:t xml:space="preserve">(new)</w:t>
            </w:r>
          </w:p>
        </w:tc>
        <w:tc>
          <w:tcPr>
            <w:tcW w:type="dxa" w:w="34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before="0" w:after="0" w:line="252"/>
            </w:pPr>
            <w:r>
              <w:rPr>
                <w:rFonts w:ascii="Arial" w:cs="Arial" w:eastAsia="Arial" w:hAnsi="Arial"/>
                <w:sz w:val="18"/>
                <w:szCs w:val="18"/>
              </w:rPr>
              <w:t xml:space="preserve">Calendar adjustment and the weekday sales pattern</w:t>
            </w:r>
          </w:p>
        </w:tc>
        <w:tc>
          <w:tcPr>
            <w:tcW w:type="dxa" w:w="212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before="0" w:after="0" w:line="252"/>
            </w:pPr>
            <w:r>
              <w:rPr>
                <w:rFonts w:ascii="Arial" w:cs="Arial" w:eastAsia="Arial" w:hAnsi="Arial"/>
                <w:sz w:val="18"/>
                <w:szCs w:val="18"/>
              </w:rPr>
              <w:t xml:space="preserve">Demand Forecast</w:t>
            </w:r>
          </w:p>
        </w:tc>
        <w:tc>
          <w:tcPr>
            <w:tcW w:type="dxa" w:w="508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before="0" w:after="0" w:line="252"/>
            </w:pPr>
            <w:r>
              <w:rPr>
                <w:rFonts w:ascii="Arial" w:cs="Arial" w:eastAsia="Arial" w:hAnsi="Arial"/>
                <w:sz w:val="18"/>
                <w:szCs w:val="18"/>
              </w:rPr>
              <w:t xml:space="preserve">What this means (ⓘ): the busiest week, and the enrollment, exams, breaks, events and closures inside the forecast window. A warning stays in view when the window has already passed</w:t>
            </w:r>
          </w:p>
        </w:tc>
      </w:tr>
    </w:tbl>
    <w:p>
      <w:pPr>
        <w:pStyle w:val="Heading2"/>
        <w:keepNext/>
        <w:keepLines/>
        <w:spacing w:before="280" w:after="120"/>
      </w:pPr>
      <w:r>
        <w:t xml:space="preserve">Prescriptive: what should we do?</w:t>
      </w:r>
    </w:p>
    <w:tbl>
      <w:tblPr>
        <w:tblW w:type="dxa" w:w="13680"/>
        <w:tblBorders>
          <w:top w:val="single" w:color="auto" w:sz="4"/>
          <w:left w:val="single" w:color="auto" w:sz="4"/>
          <w:bottom w:val="single" w:color="auto" w:sz="4"/>
          <w:right w:val="single" w:color="auto" w:sz="4"/>
          <w:insideH w:val="single" w:color="auto" w:sz="4"/>
          <w:insideV w:val="single" w:color="auto" w:sz="4"/>
        </w:tblBorders>
      </w:tblPr>
      <w:tblGrid>
        <w:gridCol w:w="520"/>
        <w:gridCol w:w="2560"/>
        <w:gridCol w:w="3400"/>
        <w:gridCol w:w="2120"/>
        <w:gridCol w:w="5080"/>
      </w:tblGrid>
      <w:tr>
        <w:trPr>
          <w:tblHeader/>
        </w:trPr>
        <w:tc>
          <w:tcPr>
            <w:tcW w:type="dxa" w:w="520"/>
            <w:tcBorders>
              <w:top w:val="single" w:color="BFBFBF" w:sz="4"/>
              <w:left w:val="single" w:color="BFBFBF" w:sz="4"/>
              <w:bottom w:val="single" w:color="BFBFBF" w:sz="4"/>
              <w:right w:val="single" w:color="BFBFBF" w:sz="4"/>
            </w:tcBorders>
            <w:shd w:fill="FFE599" w:color="auto" w:val="clear"/>
            <w:tcMar>
              <w:top w:type="dxa" w:w="60"/>
              <w:left w:type="dxa" w:w="100"/>
              <w:bottom w:type="dxa" w:w="60"/>
              <w:right w:type="dxa" w:w="100"/>
            </w:tcMar>
          </w:tcPr>
          <w:p>
            <w:pPr>
              <w:spacing w:before="0" w:after="0" w:line="252"/>
            </w:pPr>
            <w:r>
              <w:rPr>
                <w:rFonts w:ascii="Arial" w:cs="Arial" w:eastAsia="Arial" w:hAnsi="Arial"/>
                <w:b/>
                <w:bCs/>
                <w:sz w:val="19"/>
                <w:szCs w:val="19"/>
              </w:rPr>
              <w:t xml:space="preserve">#</w:t>
            </w:r>
          </w:p>
        </w:tc>
        <w:tc>
          <w:tcPr>
            <w:tcW w:type="dxa" w:w="2560"/>
            <w:tcBorders>
              <w:top w:val="single" w:color="BFBFBF" w:sz="4"/>
              <w:left w:val="single" w:color="BFBFBF" w:sz="4"/>
              <w:bottom w:val="single" w:color="BFBFBF" w:sz="4"/>
              <w:right w:val="single" w:color="BFBFBF" w:sz="4"/>
            </w:tcBorders>
            <w:shd w:fill="FFE599" w:color="auto" w:val="clear"/>
            <w:tcMar>
              <w:top w:type="dxa" w:w="60"/>
              <w:left w:type="dxa" w:w="100"/>
              <w:bottom w:type="dxa" w:w="60"/>
              <w:right w:type="dxa" w:w="100"/>
            </w:tcMar>
          </w:tcPr>
          <w:p>
            <w:pPr>
              <w:spacing w:before="0" w:after="0" w:line="252"/>
            </w:pPr>
            <w:r>
              <w:rPr>
                <w:rFonts w:ascii="Arial" w:cs="Arial" w:eastAsia="Arial" w:hAnsi="Arial"/>
                <w:b/>
                <w:bCs/>
                <w:sz w:val="19"/>
                <w:szCs w:val="19"/>
              </w:rPr>
              <w:t xml:space="preserve">Question</w:t>
            </w:r>
          </w:p>
        </w:tc>
        <w:tc>
          <w:tcPr>
            <w:tcW w:type="dxa" w:w="3400"/>
            <w:tcBorders>
              <w:top w:val="single" w:color="BFBFBF" w:sz="4"/>
              <w:left w:val="single" w:color="BFBFBF" w:sz="4"/>
              <w:bottom w:val="single" w:color="BFBFBF" w:sz="4"/>
              <w:right w:val="single" w:color="BFBFBF" w:sz="4"/>
            </w:tcBorders>
            <w:shd w:fill="FFE599" w:color="auto" w:val="clear"/>
            <w:tcMar>
              <w:top w:type="dxa" w:w="60"/>
              <w:left w:type="dxa" w:w="100"/>
              <w:bottom w:type="dxa" w:w="60"/>
              <w:right w:type="dxa" w:w="100"/>
            </w:tcMar>
          </w:tcPr>
          <w:p>
            <w:pPr>
              <w:spacing w:before="0" w:after="0" w:line="252"/>
            </w:pPr>
            <w:r>
              <w:rPr>
                <w:rFonts w:ascii="Arial" w:cs="Arial" w:eastAsia="Arial" w:hAnsi="Arial"/>
                <w:b/>
                <w:bCs/>
                <w:sz w:val="19"/>
                <w:szCs w:val="19"/>
              </w:rPr>
              <w:t xml:space="preserve">What answers it</w:t>
            </w:r>
          </w:p>
        </w:tc>
        <w:tc>
          <w:tcPr>
            <w:tcW w:type="dxa" w:w="2120"/>
            <w:tcBorders>
              <w:top w:val="single" w:color="BFBFBF" w:sz="4"/>
              <w:left w:val="single" w:color="BFBFBF" w:sz="4"/>
              <w:bottom w:val="single" w:color="BFBFBF" w:sz="4"/>
              <w:right w:val="single" w:color="BFBFBF" w:sz="4"/>
            </w:tcBorders>
            <w:shd w:fill="FFE599" w:color="auto" w:val="clear"/>
            <w:tcMar>
              <w:top w:type="dxa" w:w="60"/>
              <w:left w:type="dxa" w:w="100"/>
              <w:bottom w:type="dxa" w:w="60"/>
              <w:right w:type="dxa" w:w="100"/>
            </w:tcMar>
          </w:tcPr>
          <w:p>
            <w:pPr>
              <w:spacing w:before="0" w:after="0" w:line="252"/>
            </w:pPr>
            <w:r>
              <w:rPr>
                <w:rFonts w:ascii="Arial" w:cs="Arial" w:eastAsia="Arial" w:hAnsi="Arial"/>
                <w:b/>
                <w:bCs/>
                <w:sz w:val="19"/>
                <w:szCs w:val="19"/>
              </w:rPr>
              <w:t xml:space="preserve">Page</w:t>
            </w:r>
          </w:p>
        </w:tc>
        <w:tc>
          <w:tcPr>
            <w:tcW w:type="dxa" w:w="5080"/>
            <w:tcBorders>
              <w:top w:val="single" w:color="BFBFBF" w:sz="4"/>
              <w:left w:val="single" w:color="BFBFBF" w:sz="4"/>
              <w:bottom w:val="single" w:color="BFBFBF" w:sz="4"/>
              <w:right w:val="single" w:color="BFBFBF" w:sz="4"/>
            </w:tcBorders>
            <w:shd w:fill="FFE599" w:color="auto" w:val="clear"/>
            <w:tcMar>
              <w:top w:type="dxa" w:w="60"/>
              <w:left w:type="dxa" w:w="100"/>
              <w:bottom w:type="dxa" w:w="60"/>
              <w:right w:type="dxa" w:w="100"/>
            </w:tcMar>
          </w:tcPr>
          <w:p>
            <w:pPr>
              <w:spacing w:before="0" w:after="0" w:line="252"/>
            </w:pPr>
            <w:r>
              <w:rPr>
                <w:rFonts w:ascii="Arial" w:cs="Arial" w:eastAsia="Arial" w:hAnsi="Arial"/>
                <w:b/>
                <w:bCs/>
                <w:sz w:val="19"/>
                <w:szCs w:val="19"/>
              </w:rPr>
              <w:t xml:space="preserve">What the page shows</w:t>
            </w:r>
          </w:p>
        </w:tc>
      </w:tr>
      <w:tr>
        <w:trPr>
          <w:cantSplit/>
        </w:trPr>
        <w:tc>
          <w:tcPr>
            <w:tcW w:type="dxa" w:w="52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before="0" w:after="0" w:line="252"/>
            </w:pPr>
            <w:r>
              <w:rPr>
                <w:rFonts w:ascii="Arial" w:cs="Arial" w:eastAsia="Arial" w:hAnsi="Arial"/>
                <w:sz w:val="18"/>
                <w:szCs w:val="18"/>
              </w:rPr>
              <w:t xml:space="preserve">12</w:t>
            </w:r>
          </w:p>
        </w:tc>
        <w:tc>
          <w:tcPr>
            <w:tcW w:type="dxa" w:w="25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before="0" w:after="0" w:line="252"/>
            </w:pPr>
            <w:r>
              <w:rPr>
                <w:rFonts w:ascii="Arial" w:cs="Arial" w:eastAsia="Arial" w:hAnsi="Arial"/>
                <w:sz w:val="18"/>
                <w:szCs w:val="18"/>
              </w:rPr>
              <w:t xml:space="preserve">At what stock level do we place an order?</w:t>
            </w:r>
          </w:p>
        </w:tc>
        <w:tc>
          <w:tcPr>
            <w:tcW w:type="dxa" w:w="34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before="0" w:after="0" w:line="252"/>
            </w:pPr>
            <w:r>
              <w:rPr>
                <w:rFonts w:ascii="Arial" w:cs="Arial" w:eastAsia="Arial" w:hAnsi="Arial"/>
                <w:sz w:val="18"/>
                <w:szCs w:val="18"/>
              </w:rPr>
              <w:t xml:space="preserve">Reorder Point = average daily demand (last 365 days) × lead time + safety stock (Sec. 3.3.3)</w:t>
            </w:r>
          </w:p>
        </w:tc>
        <w:tc>
          <w:tcPr>
            <w:tcW w:type="dxa" w:w="212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before="0" w:after="0" w:line="252"/>
            </w:pPr>
            <w:r>
              <w:rPr>
                <w:rFonts w:ascii="Arial" w:cs="Arial" w:eastAsia="Arial" w:hAnsi="Arial"/>
                <w:sz w:val="18"/>
                <w:szCs w:val="18"/>
              </w:rPr>
              <w:t xml:space="preserve">Reorder Alerts; Dashboard Overview</w:t>
            </w:r>
          </w:p>
        </w:tc>
        <w:tc>
          <w:tcPr>
            <w:tcW w:type="dxa" w:w="508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before="0" w:after="0" w:line="252"/>
            </w:pPr>
            <w:r>
              <w:rPr>
                <w:rFonts w:ascii="Arial" w:cs="Arial" w:eastAsia="Arial" w:hAnsi="Arial"/>
                <w:sz w:val="18"/>
                <w:szCs w:val="18"/>
              </w:rPr>
              <w:t xml:space="preserve">Reorder Alerts: Reorder Now and Approaching ROP KPIs, ROP column in amber at or below the reorder point. Overview: the hero banner, “Reorder N items”</w:t>
            </w:r>
          </w:p>
        </w:tc>
      </w:tr>
      <w:tr>
        <w:trPr>
          <w:cantSplit/>
        </w:trPr>
        <w:tc>
          <w:tcPr>
            <w:tcW w:type="dxa" w:w="52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before="0" w:after="0" w:line="252"/>
            </w:pPr>
            <w:r>
              <w:rPr>
                <w:rFonts w:ascii="Arial" w:cs="Arial" w:eastAsia="Arial" w:hAnsi="Arial"/>
                <w:sz w:val="18"/>
                <w:szCs w:val="18"/>
              </w:rPr>
              <w:t xml:space="preserve">13</w:t>
            </w:r>
          </w:p>
        </w:tc>
        <w:tc>
          <w:tcPr>
            <w:tcW w:type="dxa" w:w="25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before="0" w:after="0" w:line="252"/>
            </w:pPr>
            <w:r>
              <w:rPr>
                <w:rFonts w:ascii="Arial" w:cs="Arial" w:eastAsia="Arial" w:hAnsi="Arial"/>
                <w:sz w:val="18"/>
                <w:szCs w:val="18"/>
              </w:rPr>
              <w:t xml:space="preserve">How much extra stock covers us while the supplier delivers?</w:t>
            </w:r>
          </w:p>
        </w:tc>
        <w:tc>
          <w:tcPr>
            <w:tcW w:type="dxa" w:w="34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before="0" w:after="0" w:line="252"/>
            </w:pPr>
            <w:r>
              <w:rPr>
                <w:rFonts w:ascii="Arial" w:cs="Arial" w:eastAsia="Arial" w:hAnsi="Arial"/>
                <w:sz w:val="18"/>
                <w:szCs w:val="18"/>
              </w:rPr>
              <w:t xml:space="preserve">Safety stock sized from each item’s measured shortfalls, at a service level set by its service tier (servable, partial, not stockable)</w:t>
            </w:r>
          </w:p>
        </w:tc>
        <w:tc>
          <w:tcPr>
            <w:tcW w:type="dxa" w:w="212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before="0" w:after="0" w:line="252"/>
            </w:pPr>
            <w:r>
              <w:rPr>
                <w:rFonts w:ascii="Arial" w:cs="Arial" w:eastAsia="Arial" w:hAnsi="Arial"/>
                <w:sz w:val="18"/>
                <w:szCs w:val="18"/>
              </w:rPr>
              <w:t xml:space="preserve">Reorder Alerts</w:t>
            </w:r>
          </w:p>
        </w:tc>
        <w:tc>
          <w:tcPr>
            <w:tcW w:type="dxa" w:w="508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before="0" w:after="0" w:line="252"/>
            </w:pPr>
            <w:r>
              <w:rPr>
                <w:rFonts w:ascii="Arial" w:cs="Arial" w:eastAsia="Arial" w:hAnsi="Arial"/>
                <w:sz w:val="18"/>
                <w:szCs w:val="18"/>
              </w:rPr>
              <w:t xml:space="preserve">Buffer Stock column, and a Measured or Estimated flag on the demand variability</w:t>
            </w:r>
          </w:p>
        </w:tc>
      </w:tr>
      <w:tr>
        <w:trPr>
          <w:cantSplit/>
        </w:trPr>
        <w:tc>
          <w:tcPr>
            <w:tcW w:type="dxa" w:w="52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before="0" w:after="0" w:line="252"/>
            </w:pPr>
            <w:r>
              <w:rPr>
                <w:rFonts w:ascii="Arial" w:cs="Arial" w:eastAsia="Arial" w:hAnsi="Arial"/>
                <w:sz w:val="18"/>
                <w:szCs w:val="18"/>
              </w:rPr>
              <w:t xml:space="preserve">14</w:t>
            </w:r>
          </w:p>
        </w:tc>
        <w:tc>
          <w:tcPr>
            <w:tcW w:type="dxa" w:w="25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before="0" w:after="0" w:line="252"/>
            </w:pPr>
            <w:r>
              <w:rPr>
                <w:rFonts w:ascii="Arial" w:cs="Arial" w:eastAsia="Arial" w:hAnsi="Arial"/>
                <w:sz w:val="18"/>
                <w:szCs w:val="18"/>
              </w:rPr>
              <w:t xml:space="preserve">How many units do we order each time?</w:t>
            </w:r>
          </w:p>
        </w:tc>
        <w:tc>
          <w:tcPr>
            <w:tcW w:type="dxa" w:w="34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before="0" w:after="0" w:line="252"/>
            </w:pPr>
            <w:r>
              <w:rPr>
                <w:rFonts w:ascii="Arial" w:cs="Arial" w:eastAsia="Arial" w:hAnsi="Arial"/>
                <w:sz w:val="18"/>
                <w:szCs w:val="18"/>
              </w:rPr>
              <w:t xml:space="preserve">EOQ under two cost scenarios, plus an order-up-to level (reorder point + 30 days of demand − on hand), which is the quantity actually suggested</w:t>
            </w:r>
          </w:p>
        </w:tc>
        <w:tc>
          <w:tcPr>
            <w:tcW w:type="dxa" w:w="212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before="0" w:after="0" w:line="252"/>
            </w:pPr>
            <w:r>
              <w:rPr>
                <w:rFonts w:ascii="Arial" w:cs="Arial" w:eastAsia="Arial" w:hAnsi="Arial"/>
                <w:sz w:val="18"/>
                <w:szCs w:val="18"/>
              </w:rPr>
              <w:t xml:space="preserve">Reorder Alerts; Dashboard Overview</w:t>
            </w:r>
          </w:p>
        </w:tc>
        <w:tc>
          <w:tcPr>
            <w:tcW w:type="dxa" w:w="508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before="0" w:after="0" w:line="252"/>
            </w:pPr>
            <w:r>
              <w:rPr>
                <w:rFonts w:ascii="Arial" w:cs="Arial" w:eastAsia="Arial" w:hAnsi="Arial"/>
                <w:sz w:val="18"/>
                <w:szCs w:val="18"/>
              </w:rPr>
              <w:t xml:space="preserve">Reorder Alerts: Order column, and EOQ columns greyed out when above a year of demand. Overview: units to order in the hero, Order column in Order These First</w:t>
            </w:r>
          </w:p>
        </w:tc>
      </w:tr>
      <w:tr>
        <w:trPr>
          <w:cantSplit/>
        </w:trPr>
        <w:tc>
          <w:tcPr>
            <w:tcW w:type="dxa" w:w="52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before="0" w:after="0" w:line="252"/>
            </w:pPr>
            <w:r>
              <w:rPr>
                <w:rFonts w:ascii="Arial" w:cs="Arial" w:eastAsia="Arial" w:hAnsi="Arial"/>
                <w:sz w:val="18"/>
                <w:szCs w:val="18"/>
              </w:rPr>
              <w:t xml:space="preserve">15</w:t>
            </w:r>
          </w:p>
        </w:tc>
        <w:tc>
          <w:tcPr>
            <w:tcW w:type="dxa" w:w="25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before="0" w:after="0" w:line="252"/>
            </w:pPr>
            <w:r>
              <w:rPr>
                <w:rFonts w:ascii="Arial" w:cs="Arial" w:eastAsia="Arial" w:hAnsi="Arial"/>
                <w:sz w:val="18"/>
                <w:szCs w:val="18"/>
              </w:rPr>
              <w:t xml:space="preserve">Which items do we order today, and from which suppliers? </w:t>
            </w:r>
            <w:r>
              <w:rPr>
                <w:rFonts w:ascii="Arial" w:cs="Arial" w:eastAsia="Arial" w:hAnsi="Arial"/>
                <w:i/>
                <w:iCs/>
                <w:sz w:val="18"/>
                <w:szCs w:val="18"/>
              </w:rPr>
              <w:t xml:space="preserve">(new)</w:t>
            </w:r>
          </w:p>
        </w:tc>
        <w:tc>
          <w:tcPr>
            <w:tcW w:type="dxa" w:w="34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before="0" w:after="0" w:line="252"/>
            </w:pPr>
            <w:r>
              <w:rPr>
                <w:rFonts w:ascii="Arial" w:cs="Arial" w:eastAsia="Arial" w:hAnsi="Arial"/>
                <w:sz w:val="18"/>
                <w:szCs w:val="18"/>
              </w:rPr>
              <w:t xml:space="preserve">Items at or below the reorder point, ranked by days of stock left</w:t>
            </w:r>
          </w:p>
        </w:tc>
        <w:tc>
          <w:tcPr>
            <w:tcW w:type="dxa" w:w="212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before="0" w:after="0" w:line="252"/>
            </w:pPr>
            <w:r>
              <w:rPr>
                <w:rFonts w:ascii="Arial" w:cs="Arial" w:eastAsia="Arial" w:hAnsi="Arial"/>
                <w:sz w:val="18"/>
                <w:szCs w:val="18"/>
              </w:rPr>
              <w:t xml:space="preserve">Reorder Alerts; Dashboard Overview</w:t>
            </w:r>
          </w:p>
        </w:tc>
        <w:tc>
          <w:tcPr>
            <w:tcW w:type="dxa" w:w="508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before="0" w:after="0" w:line="252"/>
            </w:pPr>
            <w:r>
              <w:rPr>
                <w:rFonts w:ascii="Arial" w:cs="Arial" w:eastAsia="Arial" w:hAnsi="Arial"/>
                <w:sz w:val="18"/>
                <w:szCs w:val="18"/>
              </w:rPr>
              <w:t xml:space="preserve">Reorder Alerts: Priority Items to Reorder, most urgent first, with a Total to Order across suppliers. Overview: the hero’s Categories and Suppliers lists, and Order These First (the 8 most urgent items)</w:t>
            </w:r>
          </w:p>
        </w:tc>
      </w:tr>
      <w:tr>
        <w:trPr>
          <w:cantSplit/>
        </w:trPr>
        <w:tc>
          <w:tcPr>
            <w:tcW w:type="dxa" w:w="52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before="0" w:after="0" w:line="252"/>
            </w:pPr>
            <w:r>
              <w:rPr>
                <w:rFonts w:ascii="Arial" w:cs="Arial" w:eastAsia="Arial" w:hAnsi="Arial"/>
                <w:sz w:val="18"/>
                <w:szCs w:val="18"/>
              </w:rPr>
              <w:t xml:space="preserve">16</w:t>
            </w:r>
          </w:p>
        </w:tc>
        <w:tc>
          <w:tcPr>
            <w:tcW w:type="dxa" w:w="25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before="0" w:after="0" w:line="252"/>
            </w:pPr>
            <w:r>
              <w:rPr>
                <w:rFonts w:ascii="Arial" w:cs="Arial" w:eastAsia="Arial" w:hAnsi="Arial"/>
                <w:sz w:val="18"/>
                <w:szCs w:val="18"/>
              </w:rPr>
              <w:t xml:space="preserve">By what date must the next order go in? </w:t>
            </w:r>
            <w:r>
              <w:rPr>
                <w:rFonts w:ascii="Arial" w:cs="Arial" w:eastAsia="Arial" w:hAnsi="Arial"/>
                <w:i/>
                <w:iCs/>
                <w:sz w:val="18"/>
                <w:szCs w:val="18"/>
              </w:rPr>
              <w:t xml:space="preserve">(new)</w:t>
            </w:r>
          </w:p>
        </w:tc>
        <w:tc>
          <w:tcPr>
            <w:tcW w:type="dxa" w:w="34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before="0" w:after="0" w:line="252"/>
            </w:pPr>
            <w:r>
              <w:rPr>
                <w:rFonts w:ascii="Arial" w:cs="Arial" w:eastAsia="Arial" w:hAnsi="Arial"/>
                <w:sz w:val="18"/>
                <w:szCs w:val="18"/>
              </w:rPr>
              <w:t xml:space="preserve">Reorder Now against Approaching ROP, and days of stock left at the recent selling rate</w:t>
            </w:r>
          </w:p>
        </w:tc>
        <w:tc>
          <w:tcPr>
            <w:tcW w:type="dxa" w:w="212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before="0" w:after="0" w:line="252"/>
            </w:pPr>
            <w:r>
              <w:rPr>
                <w:rFonts w:ascii="Arial" w:cs="Arial" w:eastAsia="Arial" w:hAnsi="Arial"/>
                <w:sz w:val="18"/>
                <w:szCs w:val="18"/>
              </w:rPr>
              <w:t xml:space="preserve">Reorder Alerts; Tally Interface</w:t>
            </w:r>
          </w:p>
        </w:tc>
        <w:tc>
          <w:tcPr>
            <w:tcW w:type="dxa" w:w="508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before="0" w:after="0" w:line="252"/>
            </w:pPr>
            <w:r>
              <w:rPr>
                <w:rFonts w:ascii="Arial" w:cs="Arial" w:eastAsia="Arial" w:hAnsi="Arial"/>
                <w:sz w:val="18"/>
                <w:szCs w:val="18"/>
              </w:rPr>
              <w:t xml:space="preserve">Reorder Alerts: Reorder Now (order today) and Approaching ROP (add to the next order from the same supplier), Days of Supply. Tally: Days left in Current Inventory. No order-by date is shown (see notes)</w:t>
            </w:r>
          </w:p>
        </w:tc>
      </w:tr>
      <w:tr>
        <w:trPr>
          <w:cantSplit/>
        </w:trPr>
        <w:tc>
          <w:tcPr>
            <w:tcW w:type="dxa" w:w="52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before="0" w:after="0" w:line="252"/>
            </w:pPr>
            <w:r>
              <w:rPr>
                <w:rFonts w:ascii="Arial" w:cs="Arial" w:eastAsia="Arial" w:hAnsi="Arial"/>
                <w:sz w:val="18"/>
                <w:szCs w:val="18"/>
              </w:rPr>
              <w:t xml:space="preserve">17</w:t>
            </w:r>
          </w:p>
        </w:tc>
        <w:tc>
          <w:tcPr>
            <w:tcW w:type="dxa" w:w="25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before="0" w:after="0" w:line="252"/>
            </w:pPr>
            <w:r>
              <w:rPr>
                <w:rFonts w:ascii="Arial" w:cs="Arial" w:eastAsia="Arial" w:hAnsi="Arial"/>
                <w:sz w:val="18"/>
                <w:szCs w:val="18"/>
              </w:rPr>
              <w:t xml:space="preserve">What do we do with slow and non-moving items?</w:t>
            </w:r>
          </w:p>
        </w:tc>
        <w:tc>
          <w:tcPr>
            <w:tcW w:type="dxa" w:w="34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before="0" w:after="0" w:line="252"/>
            </w:pPr>
            <w:r>
              <w:rPr>
                <w:rFonts w:ascii="Arial" w:cs="Arial" w:eastAsia="Arial" w:hAnsi="Arial"/>
                <w:sz w:val="18"/>
                <w:szCs w:val="18"/>
              </w:rPr>
              <w:t xml:space="preserve">FSN decision rules: Fast → keep in stock; Slow → promote; Slow for two semesters → review for discontinuation; Non-moving → clear out, never reordered (Sec. 3.3.1)</w:t>
            </w:r>
          </w:p>
        </w:tc>
        <w:tc>
          <w:tcPr>
            <w:tcW w:type="dxa" w:w="212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before="0" w:after="0" w:line="252"/>
            </w:pPr>
            <w:r>
              <w:rPr>
                <w:rFonts w:ascii="Arial" w:cs="Arial" w:eastAsia="Arial" w:hAnsi="Arial"/>
                <w:sz w:val="18"/>
                <w:szCs w:val="18"/>
              </w:rPr>
              <w:t xml:space="preserve">FSN Classification; Dashboard Overview</w:t>
            </w:r>
          </w:p>
        </w:tc>
        <w:tc>
          <w:tcPr>
            <w:tcW w:type="dxa" w:w="508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before="0" w:after="0" w:line="252"/>
            </w:pPr>
            <w:r>
              <w:rPr>
                <w:rFonts w:ascii="Arial" w:cs="Arial" w:eastAsia="Arial" w:hAnsi="Arial"/>
                <w:sz w:val="18"/>
                <w:szCs w:val="18"/>
              </w:rPr>
              <w:t xml:space="preserve">FSN Classification: Decision rules ⓘ (gold button in the item list header, with Show N items and the discontinuation threshold), Action column and filter. Overview: What to Do With Each Group (Keep in stock, Promote, Review, Clear out). Overview advisories: Promote Slow-Moving Items, Review for Discontinuation, Non-Moving Items Holding Stock</w:t>
            </w:r>
          </w:p>
        </w:tc>
      </w:tr>
      <w:tr>
        <w:trPr>
          <w:cantSplit/>
        </w:trPr>
        <w:tc>
          <w:tcPr>
            <w:tcW w:type="dxa" w:w="52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before="0" w:after="0" w:line="252"/>
            </w:pPr>
            <w:r>
              <w:rPr>
                <w:rFonts w:ascii="Arial" w:cs="Arial" w:eastAsia="Arial" w:hAnsi="Arial"/>
                <w:sz w:val="18"/>
                <w:szCs w:val="18"/>
              </w:rPr>
              <w:t xml:space="preserve">18</w:t>
            </w:r>
          </w:p>
        </w:tc>
        <w:tc>
          <w:tcPr>
            <w:tcW w:type="dxa" w:w="25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before="0" w:after="0" w:line="252"/>
            </w:pPr>
            <w:r>
              <w:rPr>
                <w:rFonts w:ascii="Arial" w:cs="Arial" w:eastAsia="Arial" w:hAnsi="Arial"/>
                <w:sz w:val="18"/>
                <w:szCs w:val="18"/>
              </w:rPr>
              <w:t xml:space="preserve">What should we prepare for, given what’s coming on the calendar? </w:t>
            </w:r>
            <w:r>
              <w:rPr>
                <w:rFonts w:ascii="Arial" w:cs="Arial" w:eastAsia="Arial" w:hAnsi="Arial"/>
                <w:i/>
                <w:iCs/>
                <w:sz w:val="18"/>
                <w:szCs w:val="18"/>
              </w:rPr>
              <w:t xml:space="preserve">(new)</w:t>
            </w:r>
          </w:p>
        </w:tc>
        <w:tc>
          <w:tcPr>
            <w:tcW w:type="dxa" w:w="34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before="0" w:after="0" w:line="252"/>
            </w:pPr>
            <w:r>
              <w:rPr>
                <w:rFonts w:ascii="Arial" w:cs="Arial" w:eastAsia="Arial" w:hAnsi="Arial"/>
                <w:sz w:val="18"/>
                <w:szCs w:val="18"/>
              </w:rPr>
              <w:t xml:space="preserve">Calendar-contextual interpretation cards (Sec. 1.2, fifth view)</w:t>
            </w:r>
          </w:p>
        </w:tc>
        <w:tc>
          <w:tcPr>
            <w:tcW w:type="dxa" w:w="212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before="0" w:after="0" w:line="252"/>
            </w:pPr>
            <w:r>
              <w:rPr>
                <w:rFonts w:ascii="Arial" w:cs="Arial" w:eastAsia="Arial" w:hAnsi="Arial"/>
                <w:sz w:val="18"/>
                <w:szCs w:val="18"/>
              </w:rPr>
              <w:t xml:space="preserve">Dashboard Overview; every dashboard page</w:t>
            </w:r>
          </w:p>
        </w:tc>
        <w:tc>
          <w:tcPr>
            <w:tcW w:type="dxa" w:w="508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before="0" w:after="0" w:line="252"/>
            </w:pPr>
            <w:r>
              <w:rPr>
                <w:rFonts w:ascii="Arial" w:cs="Arial" w:eastAsia="Arial" w:hAnsi="Arial"/>
                <w:sz w:val="18"/>
                <w:szCs w:val="18"/>
              </w:rPr>
              <w:t xml:space="preserve">Overview: Upcoming Event Advisories, the Next on the Calendar tile and the floating Event Advisories button. Every page: the Advisories button in the top bar</w:t>
            </w:r>
          </w:p>
        </w:tc>
      </w:tr>
      <w:tr>
        <w:trPr>
          <w:cantSplit/>
        </w:trPr>
        <w:tc>
          <w:tcPr>
            <w:tcW w:type="dxa" w:w="52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before="0" w:after="0" w:line="252"/>
            </w:pPr>
            <w:r>
              <w:rPr>
                <w:rFonts w:ascii="Arial" w:cs="Arial" w:eastAsia="Arial" w:hAnsi="Arial"/>
                <w:sz w:val="18"/>
                <w:szCs w:val="18"/>
              </w:rPr>
              <w:t xml:space="preserve">19</w:t>
            </w:r>
          </w:p>
        </w:tc>
        <w:tc>
          <w:tcPr>
            <w:tcW w:type="dxa" w:w="25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before="0" w:after="0" w:line="252"/>
            </w:pPr>
            <w:r>
              <w:rPr>
                <w:rFonts w:ascii="Arial" w:cs="Arial" w:eastAsia="Arial" w:hAnsi="Arial"/>
                <w:sz w:val="18"/>
                <w:szCs w:val="18"/>
              </w:rPr>
              <w:t xml:space="preserve">Are these recommendations good enough to act on?</w:t>
            </w:r>
          </w:p>
        </w:tc>
        <w:tc>
          <w:tcPr>
            <w:tcW w:type="dxa" w:w="34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before="0" w:after="0" w:line="252"/>
            </w:pPr>
            <w:r>
              <w:rPr>
                <w:rFonts w:ascii="Arial" w:cs="Arial" w:eastAsia="Arial" w:hAnsi="Arial"/>
                <w:sz w:val="18"/>
                <w:szCs w:val="18"/>
              </w:rPr>
              <w:t xml:space="preserve">Acceptance standard: currently </w:t>
            </w:r>
            <w:r>
              <w:rPr>
                <w:rFonts w:ascii="Arial" w:cs="Arial" w:eastAsia="Arial" w:hAnsi="Arial"/>
                <w:b/>
                <w:bCs/>
                <w:sz w:val="18"/>
                <w:szCs w:val="18"/>
              </w:rPr>
              <w:t xml:space="preserve">NOT ACCEPTED</w:t>
            </w:r>
            <w:r>
              <w:rPr>
                <w:rFonts w:ascii="Arial" w:cs="Arial" w:eastAsia="Arial" w:hAnsi="Arial"/>
                <w:sz w:val="18"/>
                <w:szCs w:val="18"/>
              </w:rPr>
              <w:t xml:space="preserve">, 13 of 14 checks pass (forward demand coverage fails)</w:t>
            </w:r>
          </w:p>
        </w:tc>
        <w:tc>
          <w:tcPr>
            <w:tcW w:type="dxa" w:w="212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before="0" w:after="0" w:line="252"/>
            </w:pPr>
            <w:r>
              <w:rPr>
                <w:rFonts w:ascii="Arial" w:cs="Arial" w:eastAsia="Arial" w:hAnsi="Arial"/>
                <w:sz w:val="18"/>
                <w:szCs w:val="18"/>
              </w:rPr>
              <w:t xml:space="preserve">Not in the app</w:t>
            </w:r>
          </w:p>
        </w:tc>
        <w:tc>
          <w:tcPr>
            <w:tcW w:type="dxa" w:w="508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before="0" w:after="0" w:line="252"/>
            </w:pPr>
            <w:r>
              <w:rPr>
                <w:rFonts w:ascii="Arial" w:cs="Arial" w:eastAsia="Arial" w:hAnsi="Arial"/>
                <w:sz w:val="18"/>
                <w:szCs w:val="18"/>
              </w:rPr>
              <w:t xml:space="preserve">Chapter 4 and tools/acceptance_standard.py</w:t>
            </w:r>
          </w:p>
        </w:tc>
      </w:tr>
    </w:tbl>
    <w:p>
      <w:pPr>
        <w:pStyle w:val="Heading2"/>
        <w:keepNext/>
        <w:keepLines/>
        <w:spacing w:before="280" w:after="120"/>
      </w:pPr>
      <w:r>
        <w:t xml:space="preserve">Notes for the defense</w:t>
      </w:r>
    </w:p>
    <w:p>
      <w:pPr>
        <w:pStyle w:val="ListParagraph"/>
        <w:numPr>
          <w:ilvl w:val="0"/>
          <w:numId w:val="2"/>
        </w:numPr>
        <w:spacing w:after="80"/>
      </w:pPr>
      <w:r>
        <w:rPr>
          <w:b/>
          <w:bCs/>
        </w:rPr>
        <w:t xml:space="preserve">Safety stock wording (row 13).</w:t>
      </w:r>
      <w:r>
        <w:t xml:space="preserve"> The earlier table said the service level is set by FSN class. The manuscript (Sec. 3.3.3, Objective 4) now sets it by each item’s service tier, not a z-score per FSN class.</w:t>
      </w:r>
    </w:p>
    <w:p>
      <w:pPr>
        <w:pStyle w:val="ListParagraph"/>
        <w:numPr>
          <w:ilvl w:val="0"/>
          <w:numId w:val="2"/>
        </w:numPr>
        <w:spacing w:after="80"/>
      </w:pPr>
      <w:r>
        <w:rPr>
          <w:b/>
          <w:bCs/>
        </w:rPr>
        <w:t xml:space="preserve">Not visible in the app (rows 10 and 19).</w:t>
      </w:r>
      <w:r>
        <w:t xml:space="preserve"> MAPE, RMSE and the acceptance verdict appear only in Chapter 4; the Demand Forecast page shows a simpler reliability tag. Either state this in Chapter 4, or add a small Model validation panel.</w:t>
      </w:r>
    </w:p>
    <w:p>
      <w:pPr>
        <w:pStyle w:val="ListParagraph"/>
        <w:numPr>
          <w:ilvl w:val="0"/>
          <w:numId w:val="2"/>
        </w:numPr>
        <w:spacing w:after="80"/>
      </w:pPr>
      <w:r>
        <w:rPr>
          <w:b/>
          <w:bCs/>
        </w:rPr>
        <w:t xml:space="preserve">Power BI coverage.</w:t>
      </w:r>
      <w:r>
        <w:t xml:space="preserve"> The embedded report answers descriptive questions only (FSN, Calendar, Batch Sales); every predictive and prescriptive question is answered in the coded pages.</w:t>
      </w:r>
    </w:p>
    <w:p>
      <w:pPr>
        <w:pStyle w:val="ListParagraph"/>
        <w:numPr>
          <w:ilvl w:val="0"/>
          <w:numId w:val="2"/>
        </w:numPr>
        <w:spacing w:after="80"/>
      </w:pPr>
      <w:r>
        <w:rPr>
          <w:b/>
          <w:bCs/>
        </w:rPr>
        <w:t xml:space="preserve">Order-by date (row 16).</w:t>
      </w:r>
      <w:r>
        <w:t xml:space="preserve"> The Demand Forecast page used to say “Place the next order by …”. Since October 21 its What to do line points to Reorder Alerts instead, so the timing is answered as order today (Reorder Now) or with the next order from that supplier (Approaching ROP).</w:t>
      </w:r>
    </w:p>
    <w:p>
      <w:pPr>
        <w:pStyle w:val="ListParagraph"/>
        <w:numPr>
          <w:ilvl w:val="0"/>
          <w:numId w:val="2"/>
        </w:numPr>
        <w:spacing w:after="80"/>
      </w:pPr>
      <w:r>
        <w:rPr>
          <w:b/>
          <w:bCs/>
        </w:rPr>
        <w:t xml:space="preserve">Inventory counts limit the reorder answer (rows 2, 7 and 12).</w:t>
      </w:r>
      <w:r>
        <w:t xml:space="preserve"> Only counted items can be checked against their reorder point. The Overview footnote reads “Only 76 of 268 items have an inventory count (last counted April 2026)”, and none of the top 10 best sellers has a count, so none of them can show up as Reorder Now.</w:t>
      </w:r>
    </w:p>
    <w:p>
      <w:pPr>
        <w:pStyle w:val="ListParagraph"/>
        <w:numPr>
          <w:ilvl w:val="0"/>
          <w:numId w:val="2"/>
        </w:numPr>
        <w:spacing w:after="80"/>
      </w:pPr>
      <w:r>
        <w:rPr>
          <w:b/>
          <w:bCs/>
        </w:rPr>
        <w:t xml:space="preserve">Forecast window (rows 8 and 11).</w:t>
      </w:r>
      <w:r>
        <w:t xml:space="preserve"> The forecast covers August 2026, but the sales data ends on 31 July 2026. The Demand Forecast page and the Overview’s Expected Demand tile both say the window has passed.</w:t>
      </w:r>
    </w:p>
    <w:p>
      <w:pPr>
        <w:pStyle w:val="ListParagraph"/>
        <w:numPr>
          <w:ilvl w:val="0"/>
          <w:numId w:val="2"/>
        </w:numPr>
        <w:spacing w:after="80"/>
      </w:pPr>
      <w:r>
        <w:rPr>
          <w:b/>
          <w:bCs/>
        </w:rPr>
        <w:t xml:space="preserve">Removed from the Overview.</w:t>
      </w:r>
      <w:r>
        <w:t xml:space="preserve"> The Total Units Sold and Products tiles and the Units by Category donut were removed after the consultation because they support no decision. The products list is still under Browse all products on the Best Sellers card.</w:t>
      </w:r>
    </w:p>
    <w:sectPr>
      <w:pgSz w:w="15840" w:h="12240" w:orient="landscape"/>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after="80"/>
      <w:outlineLvl w:val="0"/>
    </w:pPr>
    <w:rPr>
      <w:rFonts w:ascii="Arial" w:cs="Arial" w:eastAsia="Arial" w:hAnsi="Arial"/>
      <w:b/>
      <w:bCs/>
      <w:sz w:val="34"/>
      <w:szCs w:val="34"/>
    </w:rPr>
  </w:style>
  <w:style w:type="paragraph" w:styleId="Heading2">
    <w:name w:val="Heading 2"/>
    <w:basedOn w:val="Normal"/>
    <w:next w:val="Normal"/>
    <w:qFormat/>
    <w:pPr>
      <w:outlineLvl w:val="1"/>
    </w:pPr>
    <w:rPr>
      <w:rFonts w:ascii="Arial" w:cs="Arial" w:eastAsia="Arial" w:hAnsi="Arial"/>
      <w:b/>
      <w:bCs/>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USTore Analytics Question Map</dc:title>
  <dc:creator>USTore Capstone Group</dc:creator>
  <cp:lastModifiedBy>Un-named</cp:lastModifiedBy>
  <cp:revision>1</cp:revision>
  <dcterms:created xsi:type="dcterms:W3CDTF">2026-10-16T12:18:22.337Z</dcterms:created>
  <dcterms:modified xsi:type="dcterms:W3CDTF">2026-10-16T12:18:22.338Z</dcterms:modified>
</cp:coreProperties>
</file>

<file path=docProps/custom.xml><?xml version="1.0" encoding="utf-8"?>
<Properties xmlns="http://schemas.openxmlformats.org/officeDocument/2006/custom-properties" xmlns:vt="http://schemas.openxmlformats.org/officeDocument/2006/docPropsVTypes"/>
</file>