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USTore Analytics Question Map</w:t>
      </w:r>
    </w:p>
    <w:p>
      <w:pPr>
        <w:spacing w:after="120"/>
      </w:pPr>
      <w:r>
        <w:rPr>
          <w:color w:val="595959"/>
        </w:rPr>
        <w:t xml:space="preserve">As of October 16, 2026</w:t>
      </w:r>
    </w:p>
    <w:p>
      <w:pPr>
        <w:pStyle w:val="Heading2"/>
        <w:keepNext/>
        <w:keepLines/>
        <w:spacing w:before="280" w:after="120"/>
      </w:pPr>
      <w:r>
        <w:t xml:space="preserve">North star</w:t>
      </w:r>
    </w:p>
    <w:p>
      <w:pPr>
        <w:spacing w:after="120"/>
      </w:pPr>
      <w:r>
        <w:rPr>
          <w:b/>
          <w:bCs/>
        </w:rPr>
        <w:t xml:space="preserve">When should USTore reorder each item, and how much should it order?</w:t>
      </w:r>
    </w:p>
    <w:p>
      <w:pPr>
        <w:spacing w:after="120"/>
      </w:pPr>
      <w:r>
        <w:t xml:space="preserve">Every question below feeds that one. The map follows the manuscript’s three levels of analytics (Sec. 3.4): descriptive questions say what happened, predictive questions say what will happen, and prescriptive questions say what to do.</w:t>
      </w:r>
    </w:p>
    <w:p>
      <w:pPr>
        <w:spacing w:after="120"/>
      </w:pPr>
      <w:r>
        <w:t xml:space="preserve">Each row names the method that answers the question and the page where staff see the answer. Rows marked </w:t>
      </w:r>
      <w:r>
        <w:rPr>
          <w:i/>
          <w:iCs/>
        </w:rPr>
        <w:t xml:space="preserve">(new)</w:t>
      </w:r>
      <w:r>
        <w:t xml:space="preserve"> are questions the dashboard now answers that the first version of this table did not list.</w:t>
      </w:r>
    </w:p>
    <w:p>
      <w:pPr>
        <w:pStyle w:val="Heading2"/>
        <w:keepNext/>
        <w:keepLines/>
        <w:spacing w:before="280" w:after="120"/>
      </w:pPr>
      <w:r>
        <w:t xml:space="preserve">Descriptive: what happened?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560"/>
        <w:gridCol w:w="3400"/>
        <w:gridCol w:w="2120"/>
        <w:gridCol w:w="5080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Question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What answers it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Page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What the page shows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What sold, on what day, how many, and from which supplier?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Consolidated sales database: tally sheets now, Digital Tallying Interface entries going forward (Sec. 1.2, 3.1–3.2)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Tally Interface; Dashboard Overview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Tally: Sales Inventory Tally, Recent Entries, Entries by Date. Overview: Total Units Sold, Monthly Units Sold line, Units by Category donut, Top 10 Products bars, Products browser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much stock is left, and how fast is it running down?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Stock status view: monthly inventory counts and ADUS (average daily units sold)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Reorder Alerts; Tally Interface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Reorder Alerts: Stock Position table (Current Stock, Counted, Days of Supply in amber under 30, ADUS, Stockout days) and the Median Days of Supply KPI. Tally: Monthly Inventory Count and Current Inventory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Which items are fast, slow or non-moving?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FSN Analysis: 80th-percentile cutoff; no sale in 90 days means not Fast; High-Velocity Limited flag under 30 selling days (Sec. 3.3.1)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FSN Classification; Dashboard Overview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FSN Classification: Fast, Slow and Non-moving tiles, Best Sellers bars, item list with a Thin history tag. Overview: FSN card. The 75th and 85th percentile sensitivity check is not on screen (Chapter 4 only)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do sales rise and fall with the school calendar (enrollment, exams, breaks, events)?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Academic calendar flags, the Event Log and store closures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Dashboard Overview; Analytics (Power BI); Tally Interface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Overview: Monthly Units Sold shows the seasonal swings. Power BI Calendar page: daily units, average units by day type, counts of enrollment, event and break days. Tally: Store Closure / Suspension and Flag an Event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much did each consignment supplier sell this month, so they can be paid?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Monthly batch sales report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Batch Sales Report; Analytics (Power BI)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Per-supplier tables with unit subtotals, exported as PDF, CSV or Excel. Power BI Batch Sales page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long does each supplier take to deliver?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(new)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Restock log; the median of real deliveries replaces the verbal lead time (Constraint 6)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Tally Interface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Restock Deliveries, Lead times by supplier</w:t>
            </w:r>
          </w:p>
        </w:tc>
      </w:tr>
    </w:tbl>
    <w:p>
      <w:pPr>
        <w:pStyle w:val="Heading2"/>
        <w:keepNext/>
        <w:keepLines/>
        <w:spacing w:before="280" w:after="120"/>
      </w:pPr>
      <w:r>
        <w:t xml:space="preserve">Predictive: what will happen?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560"/>
        <w:gridCol w:w="3400"/>
        <w:gridCol w:w="2120"/>
        <w:gridCol w:w="5080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Question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What answers it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Page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What the page shows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much will each category and each fast item sell over the next 30 days?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Demand forecast: six-month moving average per category; for each Fast item, an even blend of its category share and TSB (Teunter-Syntetos-Babai), lowered by the calendar adjustment (Sec. 3.3.2)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Demand Forecast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forecast chart (past months in grey, the next 30 days by day), Expected Demand – Next 30 Days, and the Fast items driving the category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sure are we? What is the likely high and low?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Forecast confidence bands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Demand Forecast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shaded Likely range on the chart, and “most likely between X and Y” under What this means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 the forecast good enough to trust?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Walk-forward 80/20 validation: MAPE ≤ 20% (kept, not met: 1 of 58 SKUs), with MAE and RMSE compared against a naive baseline (Sec. 3.3.4)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Demand Forecast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reliability tag (Reliable means it beats the naive forecast on MAE; otherwise Rough estimate or Not enough history) and “typically off by N units”. MAPE and RMSE are not shown (Chapter 4 only)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When are the busy and quiet days ahead?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(new)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Calendar adjustment and the weekday sales pattern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Demand Forecast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What this means: the busiest week, and the enrollment, exams, breaks, events and closures inside the forecast window</w:t>
            </w:r>
          </w:p>
        </w:tc>
      </w:tr>
    </w:tbl>
    <w:p>
      <w:pPr>
        <w:pStyle w:val="Heading2"/>
        <w:keepNext/>
        <w:keepLines/>
        <w:spacing w:before="280" w:after="120"/>
      </w:pPr>
      <w:r>
        <w:t xml:space="preserve">Prescriptive: what should we do?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560"/>
        <w:gridCol w:w="3400"/>
        <w:gridCol w:w="2120"/>
        <w:gridCol w:w="5080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Question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What answers it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Page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59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What the page shows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 what stock level do we place an order?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Reorder Point = average daily demand (last 365 days) × lead time + safety stock (Sec. 3.3.3)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Reorder Alerts; Dashboard Overview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Reorder Alerts: Reorder Now and Approaching ROP KPIs, ROP column in amber at or below the reorder point. Overview: Items Below / Near ROP KPI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much extra stock covers us while the supplier delivers?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Safety stock sized from each item’s measured shortfalls, at a service level set by its service tier (servable, partial, not stockable)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Reorder Alerts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Buffer Stock column, and a Measured or Estimated flag on the demand variability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many units do we order each time?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EOQ under two cost scenarios, plus an order-up-to level (reorder point + 30 days of demand − on hand), which is the quantity actually suggested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Reorder Alerts; Demand Forecast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Reorder Alerts: Order column, and EOQ columns greyed out when above a year of demand. Demand Forecast: What to do, “Order about N units”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Which items do we order today, and from which suppliers?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(new)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Items at or below the reorder point, ranked by days of stock left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Reorder Alerts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Priority Items to Reorder, most urgent first, with a Total to Order across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By what date must the next order go in?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(new)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Forecast daily rate against stock on hand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Demand Forecast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What to do: Reorder now, Place the next order by a date, Stock won’t last, or No order needed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What do we do with slow and non-moving items?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FSN decision rules: Fast → keep in stock; Slow → promote; Slow for two semesters → review for discontinuation; Non-moving → clear out, never reordered (Sec. 3.3.1)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FSN Classification; Dashboard Overview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FSN Classification: Decision Rules card, Action column and filter, discontinuation threshold. Overview advisories: Promote Slow-Moving Items, Review for Discontinuation, Non-Moving Items Holding Stock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What should we prepare for, given what’s coming on the calendar?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(new)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Calendar-contextual interpretation cards (Sec. 1.2, fifth view)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Dashboard Overview; every dashboard page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Overview: Upcoming Event Advisories and the floating Event Advisories button. Every page: the Advisories button in the top bar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Are these recommendations good enough to act on?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Acceptance standard: currently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ACCEPTED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13 of 14 checks pass (forward demand coverage fails)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in the app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Chapter 4 and tools/acceptance_standard.py</w:t>
            </w:r>
          </w:p>
        </w:tc>
      </w:tr>
    </w:tbl>
    <w:p>
      <w:pPr>
        <w:pStyle w:val="Heading2"/>
        <w:keepNext/>
        <w:keepLines/>
        <w:spacing w:before="280" w:after="120"/>
      </w:pPr>
      <w:r>
        <w:t xml:space="preserve">Notes for the defense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Safety stock wording (row 12).</w:t>
      </w:r>
      <w:r>
        <w:t xml:space="preserve"> The earlier table said the service level is set by FSN class. The manuscript (Sec. 3.3.3, Objective 4) now sets it by each item’s service tier, not a z-score per FSN class.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Not visible in the app (rows 9 and 18).</w:t>
      </w:r>
      <w:r>
        <w:t xml:space="preserve"> MAPE, RMSE and the acceptance verdict appear only in Chapter 4; the Demand Forecast page shows a simpler reliability tag. Either state this in Chapter 4, or add a small Model validation panel.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Power BI coverage.</w:t>
      </w:r>
      <w:r>
        <w:t xml:space="preserve"> The embedded report answers descriptive questions only (FSN, Calendar, Batch Sales); every predictive and prescriptive question is answered in the coded pages.</w:t>
      </w:r>
    </w:p>
    <w:sectPr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USTore Analytics Question Map</dc:title>
  <dc:creator>USTore Capstone Group</dc:creator>
  <cp:lastModifiedBy>Un-named</cp:lastModifiedBy>
  <cp:revision>1</cp:revision>
  <dcterms:created xsi:type="dcterms:W3CDTF">2026-10-16T12:18:22.337Z</dcterms:created>
  <dcterms:modified xsi:type="dcterms:W3CDTF">2026-10-16T12:18:22.338Z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