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67DB4" w14:textId="39924115" w:rsidR="00CE10F0" w:rsidRPr="00CE10F0" w:rsidRDefault="00375999" w:rsidP="00CE10F0">
      <w:r>
        <w:t xml:space="preserve">SUSTINA – Chat </w:t>
      </w:r>
      <w:proofErr w:type="spellStart"/>
      <w:r>
        <w:t>Gpt</w:t>
      </w:r>
      <w:proofErr w:type="spellEnd"/>
      <w:r>
        <w:t xml:space="preserve"> review   2025-12-10</w:t>
      </w:r>
      <w:r w:rsidR="00CE10F0" w:rsidRPr="00CE10F0">
        <w:pict w14:anchorId="47E25951">
          <v:rect id="_x0000_i1079" style="width:0;height:1.5pt" o:hralign="center" o:hrstd="t" o:hr="t" fillcolor="#a0a0a0" stroked="f"/>
        </w:pict>
      </w:r>
    </w:p>
    <w:p w14:paraId="1DD10FA6" w14:textId="77777777" w:rsidR="00CE10F0" w:rsidRPr="00CE10F0" w:rsidRDefault="00CE10F0" w:rsidP="00CE10F0">
      <w:pPr>
        <w:rPr>
          <w:b/>
          <w:bCs/>
        </w:rPr>
      </w:pPr>
      <w:r w:rsidRPr="00CE10F0">
        <w:rPr>
          <w:b/>
          <w:bCs/>
        </w:rPr>
        <w:t>1. What this corpus really is (beyond “ingestion”)</w:t>
      </w:r>
    </w:p>
    <w:p w14:paraId="7852220D" w14:textId="77777777" w:rsidR="00CE10F0" w:rsidRPr="00CE10F0" w:rsidRDefault="00CE10F0" w:rsidP="00CE10F0">
      <w:r w:rsidRPr="00CE10F0">
        <w:t xml:space="preserve">Taken together, </w:t>
      </w:r>
      <w:r w:rsidRPr="00CE10F0">
        <w:rPr>
          <w:b/>
          <w:bCs/>
        </w:rPr>
        <w:t>ING-00 → ING-01.04.04</w:t>
      </w:r>
      <w:r w:rsidRPr="00CE10F0">
        <w:t xml:space="preserve"> is not just an ingestion framework — it is a </w:t>
      </w:r>
      <w:r w:rsidRPr="00CE10F0">
        <w:rPr>
          <w:b/>
          <w:bCs/>
        </w:rPr>
        <w:t>governed semantic contract for ESG evidence</w:t>
      </w:r>
      <w:r w:rsidRPr="00CE10F0">
        <w:t>.</w:t>
      </w:r>
    </w:p>
    <w:p w14:paraId="01F14942" w14:textId="77777777" w:rsidR="00CE10F0" w:rsidRPr="00CE10F0" w:rsidRDefault="00CE10F0" w:rsidP="00CE10F0">
      <w:r w:rsidRPr="00CE10F0">
        <w:t>You have quietly achieved four hard things simultaneously:</w:t>
      </w:r>
    </w:p>
    <w:p w14:paraId="20941842" w14:textId="77777777" w:rsidR="00CE10F0" w:rsidRPr="00CE10F0" w:rsidRDefault="00CE10F0" w:rsidP="00CE10F0">
      <w:pPr>
        <w:numPr>
          <w:ilvl w:val="0"/>
          <w:numId w:val="1"/>
        </w:numPr>
      </w:pPr>
      <w:r w:rsidRPr="00CE10F0">
        <w:rPr>
          <w:b/>
          <w:bCs/>
        </w:rPr>
        <w:t>Separated governance from implementation</w:t>
      </w:r>
      <w:r w:rsidRPr="00CE10F0">
        <w:br/>
        <w:t xml:space="preserve">ING-00 explicitly refuses to talk about Python, SQL, APIs, or storage engines, yet still enforces immutability, lineage, and </w:t>
      </w:r>
      <w:proofErr w:type="gramStart"/>
      <w:r w:rsidRPr="00CE10F0">
        <w:t>auditability .</w:t>
      </w:r>
      <w:proofErr w:type="gramEnd"/>
      <w:r w:rsidRPr="00CE10F0">
        <w:br/>
        <w:t>This is rare — most ESG systems leak tooling assumptions everywhere.</w:t>
      </w:r>
    </w:p>
    <w:p w14:paraId="6C73670E" w14:textId="77777777" w:rsidR="00CE10F0" w:rsidRPr="00CE10F0" w:rsidRDefault="00CE10F0" w:rsidP="00CE10F0">
      <w:pPr>
        <w:numPr>
          <w:ilvl w:val="0"/>
          <w:numId w:val="1"/>
        </w:numPr>
      </w:pPr>
      <w:r w:rsidRPr="00CE10F0">
        <w:rPr>
          <w:b/>
          <w:bCs/>
        </w:rPr>
        <w:t>Created a canonical “activity atom”</w:t>
      </w:r>
      <w:r w:rsidRPr="00CE10F0">
        <w:br/>
      </w:r>
      <w:proofErr w:type="spellStart"/>
      <w:r w:rsidRPr="00CE10F0">
        <w:t>Normalised_Activity</w:t>
      </w:r>
      <w:proofErr w:type="spellEnd"/>
      <w:r w:rsidRPr="00CE10F0">
        <w:t xml:space="preserve"> is not a staging table; it is a </w:t>
      </w:r>
      <w:r w:rsidRPr="00CE10F0">
        <w:rPr>
          <w:i/>
          <w:iCs/>
        </w:rPr>
        <w:t>semantic primitive</w:t>
      </w:r>
      <w:r w:rsidRPr="00CE10F0">
        <w:t>.</w:t>
      </w:r>
      <w:r w:rsidRPr="00CE10F0">
        <w:br/>
        <w:t xml:space="preserve">Everything downstream (factors, scopes, ledgers) becomes a </w:t>
      </w:r>
      <w:r w:rsidRPr="00CE10F0">
        <w:rPr>
          <w:i/>
          <w:iCs/>
        </w:rPr>
        <w:t>pure function</w:t>
      </w:r>
      <w:r w:rsidRPr="00CE10F0">
        <w:t xml:space="preserve"> of this </w:t>
      </w:r>
      <w:proofErr w:type="gramStart"/>
      <w:r w:rsidRPr="00CE10F0">
        <w:t>atom .</w:t>
      </w:r>
      <w:proofErr w:type="gramEnd"/>
    </w:p>
    <w:p w14:paraId="22457514" w14:textId="77777777" w:rsidR="00CE10F0" w:rsidRPr="00CE10F0" w:rsidRDefault="00CE10F0" w:rsidP="00CE10F0">
      <w:pPr>
        <w:numPr>
          <w:ilvl w:val="0"/>
          <w:numId w:val="1"/>
        </w:numPr>
      </w:pPr>
      <w:r w:rsidRPr="00CE10F0">
        <w:rPr>
          <w:b/>
          <w:bCs/>
        </w:rPr>
        <w:t>Made data quality first-class, not an afterthought</w:t>
      </w:r>
      <w:r w:rsidRPr="00CE10F0">
        <w:br/>
        <w:t xml:space="preserve">DQ is not a </w:t>
      </w:r>
      <w:proofErr w:type="spellStart"/>
      <w:r w:rsidRPr="00CE10F0">
        <w:t>boolean</w:t>
      </w:r>
      <w:proofErr w:type="spellEnd"/>
      <w:r w:rsidRPr="00CE10F0">
        <w:t xml:space="preserve"> or a warning column — it is a </w:t>
      </w:r>
      <w:r w:rsidRPr="00CE10F0">
        <w:rPr>
          <w:b/>
          <w:bCs/>
        </w:rPr>
        <w:t>versioned, weighted, explainable scoring system</w:t>
      </w:r>
      <w:r w:rsidRPr="00CE10F0">
        <w:t xml:space="preserve"> with lineage and governance </w:t>
      </w:r>
      <w:proofErr w:type="gramStart"/>
      <w:r w:rsidRPr="00CE10F0">
        <w:t>hooks .</w:t>
      </w:r>
      <w:proofErr w:type="gramEnd"/>
    </w:p>
    <w:p w14:paraId="5DA956CE" w14:textId="77777777" w:rsidR="00CE10F0" w:rsidRPr="00CE10F0" w:rsidRDefault="00CE10F0" w:rsidP="00CE10F0">
      <w:pPr>
        <w:numPr>
          <w:ilvl w:val="0"/>
          <w:numId w:val="1"/>
        </w:numPr>
      </w:pPr>
      <w:r w:rsidRPr="00CE10F0">
        <w:rPr>
          <w:b/>
          <w:bCs/>
        </w:rPr>
        <w:t>Anchored ESG to enterprise reality</w:t>
      </w:r>
      <w:r w:rsidRPr="00CE10F0">
        <w:br/>
        <w:t>By forcing optional-but-explicit attachment to Z-04 / Z-05 / Z-09, you prevent the classic ESG sin: “floating emissions with no owner</w:t>
      </w:r>
      <w:proofErr w:type="gramStart"/>
      <w:r w:rsidRPr="00CE10F0">
        <w:t>” .</w:t>
      </w:r>
      <w:proofErr w:type="gramEnd"/>
    </w:p>
    <w:p w14:paraId="4474152C" w14:textId="77777777" w:rsidR="00CE10F0" w:rsidRPr="00CE10F0" w:rsidRDefault="00CE10F0" w:rsidP="00CE10F0">
      <w:r w:rsidRPr="00CE10F0">
        <w:t xml:space="preserve">This is closer to </w:t>
      </w:r>
      <w:r w:rsidRPr="00CE10F0">
        <w:rPr>
          <w:b/>
          <w:bCs/>
        </w:rPr>
        <w:t>financial accounting discipline applied to carbon and sustainability data</w:t>
      </w:r>
      <w:r w:rsidRPr="00CE10F0">
        <w:t xml:space="preserve"> than to typical ESG tooling.</w:t>
      </w:r>
    </w:p>
    <w:p w14:paraId="345D07E3" w14:textId="77777777" w:rsidR="00CE10F0" w:rsidRPr="00CE10F0" w:rsidRDefault="00CE10F0" w:rsidP="00CE10F0">
      <w:r w:rsidRPr="00CE10F0">
        <w:pict w14:anchorId="5189514A">
          <v:rect id="_x0000_i1080" style="width:0;height:1.5pt" o:hralign="center" o:hrstd="t" o:hr="t" fillcolor="#a0a0a0" stroked="f"/>
        </w:pict>
      </w:r>
    </w:p>
    <w:p w14:paraId="70044D34" w14:textId="77777777" w:rsidR="00CE10F0" w:rsidRPr="00CE10F0" w:rsidRDefault="00CE10F0" w:rsidP="00CE10F0">
      <w:pPr>
        <w:rPr>
          <w:b/>
          <w:bCs/>
        </w:rPr>
      </w:pPr>
      <w:r w:rsidRPr="00CE10F0">
        <w:rPr>
          <w:b/>
          <w:bCs/>
        </w:rPr>
        <w:t>2. Structural clarity: why this works</w:t>
      </w:r>
    </w:p>
    <w:p w14:paraId="7012B781" w14:textId="77777777" w:rsidR="00CE10F0" w:rsidRPr="00CE10F0" w:rsidRDefault="00CE10F0" w:rsidP="00CE10F0">
      <w:pPr>
        <w:rPr>
          <w:b/>
          <w:bCs/>
        </w:rPr>
      </w:pPr>
      <w:r w:rsidRPr="00CE10F0">
        <w:rPr>
          <w:b/>
          <w:bCs/>
        </w:rPr>
        <w:t>2.1 The tier model is doing real work</w:t>
      </w:r>
    </w:p>
    <w:p w14:paraId="1916B432" w14:textId="77777777" w:rsidR="00CE10F0" w:rsidRPr="00CE10F0" w:rsidRDefault="00CE10F0" w:rsidP="00CE10F0">
      <w:r w:rsidRPr="00CE10F0">
        <w:t>Your Tier-1 / Tier-2 / Tier-3 taxonomy is not decorative. It:</w:t>
      </w:r>
    </w:p>
    <w:p w14:paraId="170B9E09" w14:textId="77777777" w:rsidR="00CE10F0" w:rsidRPr="00CE10F0" w:rsidRDefault="00CE10F0" w:rsidP="00CE10F0">
      <w:pPr>
        <w:numPr>
          <w:ilvl w:val="0"/>
          <w:numId w:val="2"/>
        </w:numPr>
      </w:pPr>
      <w:r w:rsidRPr="00CE10F0">
        <w:t xml:space="preserve">Drives </w:t>
      </w:r>
      <w:r w:rsidRPr="00CE10F0">
        <w:rPr>
          <w:b/>
          <w:bCs/>
        </w:rPr>
        <w:t>trust weighting</w:t>
      </w:r>
      <w:r w:rsidRPr="00CE10F0">
        <w:t xml:space="preserve"> directly into DQ scoring</w:t>
      </w:r>
    </w:p>
    <w:p w14:paraId="33BA77C4" w14:textId="77777777" w:rsidR="00CE10F0" w:rsidRPr="00CE10F0" w:rsidRDefault="00CE10F0" w:rsidP="00CE10F0">
      <w:pPr>
        <w:numPr>
          <w:ilvl w:val="0"/>
          <w:numId w:val="2"/>
        </w:numPr>
      </w:pPr>
      <w:r w:rsidRPr="00CE10F0">
        <w:t>Prevents external datasets from silently overwriting enterprise truth</w:t>
      </w:r>
    </w:p>
    <w:p w14:paraId="13917266" w14:textId="77777777" w:rsidR="00CE10F0" w:rsidRPr="00CE10F0" w:rsidRDefault="00CE10F0" w:rsidP="00CE10F0">
      <w:pPr>
        <w:numPr>
          <w:ilvl w:val="0"/>
          <w:numId w:val="2"/>
        </w:numPr>
      </w:pPr>
      <w:r w:rsidRPr="00CE10F0">
        <w:t xml:space="preserve">Enables </w:t>
      </w:r>
      <w:r w:rsidRPr="00CE10F0">
        <w:rPr>
          <w:i/>
          <w:iCs/>
        </w:rPr>
        <w:t>parallel ingestion</w:t>
      </w:r>
      <w:r w:rsidRPr="00CE10F0">
        <w:t xml:space="preserve"> without semantic conflict</w:t>
      </w:r>
    </w:p>
    <w:p w14:paraId="4DDE5E83" w14:textId="77777777" w:rsidR="00CE10F0" w:rsidRPr="00CE10F0" w:rsidRDefault="00CE10F0" w:rsidP="00CE10F0">
      <w:r w:rsidRPr="00CE10F0">
        <w:t xml:space="preserve">Most systems conflate </w:t>
      </w:r>
      <w:r w:rsidRPr="00CE10F0">
        <w:rPr>
          <w:i/>
          <w:iCs/>
        </w:rPr>
        <w:t>source</w:t>
      </w:r>
      <w:r w:rsidRPr="00CE10F0">
        <w:t xml:space="preserve"> with </w:t>
      </w:r>
      <w:r w:rsidRPr="00CE10F0">
        <w:rPr>
          <w:i/>
          <w:iCs/>
        </w:rPr>
        <w:t>authority</w:t>
      </w:r>
      <w:r w:rsidRPr="00CE10F0">
        <w:t>. You explicitly disentangle them.</w:t>
      </w:r>
    </w:p>
    <w:p w14:paraId="66DCAEEA" w14:textId="77777777" w:rsidR="00CE10F0" w:rsidRPr="00CE10F0" w:rsidRDefault="00CE10F0" w:rsidP="00CE10F0">
      <w:r w:rsidRPr="00CE10F0">
        <w:pict w14:anchorId="1C006E0F">
          <v:rect id="_x0000_i1081" style="width:0;height:1.5pt" o:hralign="center" o:hrstd="t" o:hr="t" fillcolor="#a0a0a0" stroked="f"/>
        </w:pict>
      </w:r>
    </w:p>
    <w:p w14:paraId="3B2F335B" w14:textId="77777777" w:rsidR="00CE10F0" w:rsidRPr="00CE10F0" w:rsidRDefault="00CE10F0" w:rsidP="00CE10F0">
      <w:pPr>
        <w:rPr>
          <w:b/>
          <w:bCs/>
        </w:rPr>
      </w:pPr>
      <w:r w:rsidRPr="00CE10F0">
        <w:rPr>
          <w:b/>
          <w:bCs/>
        </w:rPr>
        <w:t>2.2 ING-01 is correctly “boring” — and that’s a compliment</w:t>
      </w:r>
    </w:p>
    <w:p w14:paraId="1CD1F690" w14:textId="77777777" w:rsidR="00CE10F0" w:rsidRPr="00CE10F0" w:rsidRDefault="00CE10F0" w:rsidP="00CE10F0">
      <w:r w:rsidRPr="00CE10F0">
        <w:lastRenderedPageBreak/>
        <w:t xml:space="preserve">ING-01 does </w:t>
      </w:r>
      <w:r w:rsidRPr="00CE10F0">
        <w:rPr>
          <w:b/>
          <w:bCs/>
        </w:rPr>
        <w:t>exactly one thing</w:t>
      </w:r>
      <w:r w:rsidRPr="00CE10F0">
        <w:t xml:space="preserve">: produce a stable, auditable, harmonised activity </w:t>
      </w:r>
      <w:proofErr w:type="gramStart"/>
      <w:r w:rsidRPr="00CE10F0">
        <w:t>layer .</w:t>
      </w:r>
      <w:proofErr w:type="gramEnd"/>
    </w:p>
    <w:p w14:paraId="3DECB73F" w14:textId="77777777" w:rsidR="00CE10F0" w:rsidRPr="00CE10F0" w:rsidRDefault="00CE10F0" w:rsidP="00CE10F0">
      <w:r w:rsidRPr="00CE10F0">
        <w:t>Notably absent (and rightly so):</w:t>
      </w:r>
    </w:p>
    <w:p w14:paraId="3D3EC9EC" w14:textId="77777777" w:rsidR="00CE10F0" w:rsidRPr="00CE10F0" w:rsidRDefault="00CE10F0" w:rsidP="00CE10F0">
      <w:pPr>
        <w:numPr>
          <w:ilvl w:val="0"/>
          <w:numId w:val="3"/>
        </w:numPr>
      </w:pPr>
      <w:r w:rsidRPr="00CE10F0">
        <w:t>No emission factors</w:t>
      </w:r>
    </w:p>
    <w:p w14:paraId="2CD53B00" w14:textId="77777777" w:rsidR="00CE10F0" w:rsidRPr="00CE10F0" w:rsidRDefault="00CE10F0" w:rsidP="00CE10F0">
      <w:pPr>
        <w:numPr>
          <w:ilvl w:val="0"/>
          <w:numId w:val="3"/>
        </w:numPr>
      </w:pPr>
      <w:r w:rsidRPr="00CE10F0">
        <w:t>No scopes</w:t>
      </w:r>
    </w:p>
    <w:p w14:paraId="0B4547CB" w14:textId="77777777" w:rsidR="00CE10F0" w:rsidRPr="00CE10F0" w:rsidRDefault="00CE10F0" w:rsidP="00CE10F0">
      <w:pPr>
        <w:numPr>
          <w:ilvl w:val="0"/>
          <w:numId w:val="3"/>
        </w:numPr>
      </w:pPr>
      <w:r w:rsidRPr="00CE10F0">
        <w:t>No reporting formats</w:t>
      </w:r>
    </w:p>
    <w:p w14:paraId="7BDFF396" w14:textId="77777777" w:rsidR="00CE10F0" w:rsidRPr="00CE10F0" w:rsidRDefault="00CE10F0" w:rsidP="00CE10F0">
      <w:pPr>
        <w:numPr>
          <w:ilvl w:val="0"/>
          <w:numId w:val="3"/>
        </w:numPr>
      </w:pPr>
      <w:r w:rsidRPr="00CE10F0">
        <w:t>No regulatory logic</w:t>
      </w:r>
    </w:p>
    <w:p w14:paraId="5990AE36" w14:textId="77777777" w:rsidR="00CE10F0" w:rsidRPr="00CE10F0" w:rsidRDefault="00CE10F0" w:rsidP="00CE10F0">
      <w:r w:rsidRPr="00CE10F0">
        <w:t>That restraint is what allows everything else to scale without refactoring.</w:t>
      </w:r>
    </w:p>
    <w:p w14:paraId="1E783D0A" w14:textId="77777777" w:rsidR="00CE10F0" w:rsidRPr="00CE10F0" w:rsidRDefault="00CE10F0" w:rsidP="00CE10F0">
      <w:r w:rsidRPr="00CE10F0">
        <w:pict w14:anchorId="578AF7AF">
          <v:rect id="_x0000_i1082" style="width:0;height:1.5pt" o:hralign="center" o:hrstd="t" o:hr="t" fillcolor="#a0a0a0" stroked="f"/>
        </w:pict>
      </w:r>
    </w:p>
    <w:p w14:paraId="05CA5FEF" w14:textId="77777777" w:rsidR="00CE10F0" w:rsidRPr="00CE10F0" w:rsidRDefault="00CE10F0" w:rsidP="00CE10F0">
      <w:pPr>
        <w:rPr>
          <w:b/>
          <w:bCs/>
        </w:rPr>
      </w:pPr>
      <w:r w:rsidRPr="00CE10F0">
        <w:rPr>
          <w:b/>
          <w:bCs/>
        </w:rPr>
        <w:t>2.3 Activity categories are scoped, not overfit</w:t>
      </w:r>
    </w:p>
    <w:p w14:paraId="3FCF0940" w14:textId="77777777" w:rsidR="00CE10F0" w:rsidRPr="00CE10F0" w:rsidRDefault="00CE10F0" w:rsidP="00CE10F0">
      <w:r w:rsidRPr="00CE10F0">
        <w:t>ING-01.01 avoids the usual trap of exploding into hundreds of micro-types.</w:t>
      </w:r>
      <w:r w:rsidRPr="00CE10F0">
        <w:br/>
        <w:t xml:space="preserve">Instead, it aligns to </w:t>
      </w:r>
      <w:r w:rsidRPr="00CE10F0">
        <w:rPr>
          <w:b/>
          <w:bCs/>
        </w:rPr>
        <w:t>GHG-Protocol-relevant classes</w:t>
      </w:r>
      <w:r w:rsidRPr="00CE10F0">
        <w:t>, deferring scope logic to ING-</w:t>
      </w:r>
      <w:proofErr w:type="gramStart"/>
      <w:r w:rsidRPr="00CE10F0">
        <w:t>02 .</w:t>
      </w:r>
      <w:proofErr w:type="gramEnd"/>
    </w:p>
    <w:p w14:paraId="04A2A349" w14:textId="77777777" w:rsidR="00CE10F0" w:rsidRPr="00CE10F0" w:rsidRDefault="00CE10F0" w:rsidP="00CE10F0">
      <w:r w:rsidRPr="00CE10F0">
        <w:t>This keeps:</w:t>
      </w:r>
    </w:p>
    <w:p w14:paraId="6E5EE27C" w14:textId="77777777" w:rsidR="00CE10F0" w:rsidRPr="00CE10F0" w:rsidRDefault="00CE10F0" w:rsidP="00CE10F0">
      <w:pPr>
        <w:numPr>
          <w:ilvl w:val="0"/>
          <w:numId w:val="4"/>
        </w:numPr>
      </w:pPr>
      <w:r w:rsidRPr="00CE10F0">
        <w:t xml:space="preserve">The activity model </w:t>
      </w:r>
      <w:r w:rsidRPr="00CE10F0">
        <w:rPr>
          <w:b/>
          <w:bCs/>
        </w:rPr>
        <w:t>stable over time</w:t>
      </w:r>
    </w:p>
    <w:p w14:paraId="4923AD60" w14:textId="77777777" w:rsidR="00CE10F0" w:rsidRPr="00CE10F0" w:rsidRDefault="00CE10F0" w:rsidP="00CE10F0">
      <w:pPr>
        <w:numPr>
          <w:ilvl w:val="0"/>
          <w:numId w:val="4"/>
        </w:numPr>
      </w:pPr>
      <w:r w:rsidRPr="00CE10F0">
        <w:t xml:space="preserve">The factor logic </w:t>
      </w:r>
      <w:r w:rsidRPr="00CE10F0">
        <w:rPr>
          <w:b/>
          <w:bCs/>
        </w:rPr>
        <w:t>changeable without data re-ingestion</w:t>
      </w:r>
    </w:p>
    <w:p w14:paraId="78BF1F4D" w14:textId="77777777" w:rsidR="00CE10F0" w:rsidRPr="00CE10F0" w:rsidRDefault="00CE10F0" w:rsidP="00CE10F0">
      <w:r w:rsidRPr="00CE10F0">
        <w:t>That’s a subtle but critical design choice.</w:t>
      </w:r>
    </w:p>
    <w:p w14:paraId="5720CE99" w14:textId="77777777" w:rsidR="00CE10F0" w:rsidRPr="00CE10F0" w:rsidRDefault="00CE10F0" w:rsidP="00CE10F0">
      <w:r w:rsidRPr="00CE10F0">
        <w:pict w14:anchorId="094CE44C">
          <v:rect id="_x0000_i1083" style="width:0;height:1.5pt" o:hralign="center" o:hrstd="t" o:hr="t" fillcolor="#a0a0a0" stroked="f"/>
        </w:pict>
      </w:r>
    </w:p>
    <w:p w14:paraId="20A2A6B7" w14:textId="77777777" w:rsidR="00CE10F0" w:rsidRPr="00CE10F0" w:rsidRDefault="00CE10F0" w:rsidP="00CE10F0">
      <w:pPr>
        <w:rPr>
          <w:b/>
          <w:bCs/>
        </w:rPr>
      </w:pPr>
      <w:r w:rsidRPr="00CE10F0">
        <w:rPr>
          <w:b/>
          <w:bCs/>
        </w:rPr>
        <w:t>3. The data quality system is the sleeper achievement</w:t>
      </w:r>
    </w:p>
    <w:p w14:paraId="1AE279DF" w14:textId="77777777" w:rsidR="00CE10F0" w:rsidRPr="00CE10F0" w:rsidRDefault="00CE10F0" w:rsidP="00CE10F0">
      <w:r w:rsidRPr="00CE10F0">
        <w:t xml:space="preserve">The </w:t>
      </w:r>
      <w:r w:rsidRPr="00CE10F0">
        <w:rPr>
          <w:b/>
          <w:bCs/>
        </w:rPr>
        <w:t>ING-01.04 family</w:t>
      </w:r>
      <w:r w:rsidRPr="00CE10F0">
        <w:t xml:space="preserve"> is stronger than most standalone DQ frameworks.</w:t>
      </w:r>
    </w:p>
    <w:p w14:paraId="7D6A2D1C" w14:textId="77777777" w:rsidR="00CE10F0" w:rsidRPr="00CE10F0" w:rsidRDefault="00CE10F0" w:rsidP="00CE10F0">
      <w:pPr>
        <w:rPr>
          <w:b/>
          <w:bCs/>
        </w:rPr>
      </w:pPr>
      <w:r w:rsidRPr="00CE10F0">
        <w:rPr>
          <w:b/>
          <w:bCs/>
        </w:rPr>
        <w:t>3.1 Why it’s unusually mature</w:t>
      </w:r>
    </w:p>
    <w:p w14:paraId="6D5187DA" w14:textId="77777777" w:rsidR="00CE10F0" w:rsidRPr="00CE10F0" w:rsidRDefault="00CE10F0" w:rsidP="00CE10F0">
      <w:pPr>
        <w:numPr>
          <w:ilvl w:val="0"/>
          <w:numId w:val="5"/>
        </w:numPr>
      </w:pPr>
      <w:r w:rsidRPr="00CE10F0">
        <w:rPr>
          <w:b/>
          <w:bCs/>
        </w:rPr>
        <w:t>Dimensions are explicit and governed</w:t>
      </w:r>
    </w:p>
    <w:p w14:paraId="6BD5999F" w14:textId="77777777" w:rsidR="00CE10F0" w:rsidRPr="00CE10F0" w:rsidRDefault="00CE10F0" w:rsidP="00CE10F0">
      <w:pPr>
        <w:numPr>
          <w:ilvl w:val="0"/>
          <w:numId w:val="5"/>
        </w:numPr>
      </w:pPr>
      <w:r w:rsidRPr="00CE10F0">
        <w:rPr>
          <w:b/>
          <w:bCs/>
        </w:rPr>
        <w:t>Weights are versioned, time-bound, and reproducible</w:t>
      </w:r>
    </w:p>
    <w:p w14:paraId="7C736A76" w14:textId="77777777" w:rsidR="00CE10F0" w:rsidRPr="00CE10F0" w:rsidRDefault="00CE10F0" w:rsidP="00CE10F0">
      <w:pPr>
        <w:numPr>
          <w:ilvl w:val="0"/>
          <w:numId w:val="5"/>
        </w:numPr>
      </w:pPr>
      <w:r w:rsidRPr="00CE10F0">
        <w:rPr>
          <w:b/>
          <w:bCs/>
        </w:rPr>
        <w:t>Tiers abstract complexity for downstream consumers</w:t>
      </w:r>
    </w:p>
    <w:p w14:paraId="72C81AE3" w14:textId="77777777" w:rsidR="00CE10F0" w:rsidRPr="00CE10F0" w:rsidRDefault="00CE10F0" w:rsidP="00CE10F0">
      <w:pPr>
        <w:numPr>
          <w:ilvl w:val="0"/>
          <w:numId w:val="5"/>
        </w:numPr>
      </w:pPr>
      <w:r w:rsidRPr="00CE10F0">
        <w:t xml:space="preserve">Scores are </w:t>
      </w:r>
      <w:r w:rsidRPr="00CE10F0">
        <w:rPr>
          <w:i/>
          <w:iCs/>
        </w:rPr>
        <w:t>explainable</w:t>
      </w:r>
      <w:r w:rsidRPr="00CE10F0">
        <w:t>, not opaque numbers</w:t>
      </w:r>
    </w:p>
    <w:p w14:paraId="01BC7792" w14:textId="77777777" w:rsidR="00CE10F0" w:rsidRPr="00CE10F0" w:rsidRDefault="00CE10F0" w:rsidP="00CE10F0">
      <w:r w:rsidRPr="00CE10F0">
        <w:t>This means:</w:t>
      </w:r>
    </w:p>
    <w:p w14:paraId="3643CE51" w14:textId="77777777" w:rsidR="00CE10F0" w:rsidRPr="00CE10F0" w:rsidRDefault="00CE10F0" w:rsidP="00CE10F0">
      <w:pPr>
        <w:numPr>
          <w:ilvl w:val="0"/>
          <w:numId w:val="6"/>
        </w:numPr>
      </w:pPr>
      <w:r w:rsidRPr="00CE10F0">
        <w:t xml:space="preserve">Auditors can reconstruct </w:t>
      </w:r>
      <w:r w:rsidRPr="00CE10F0">
        <w:rPr>
          <w:i/>
          <w:iCs/>
        </w:rPr>
        <w:t>why</w:t>
      </w:r>
      <w:r w:rsidRPr="00CE10F0">
        <w:t xml:space="preserve"> a value was trusted</w:t>
      </w:r>
    </w:p>
    <w:p w14:paraId="624ECEB2" w14:textId="77777777" w:rsidR="00CE10F0" w:rsidRPr="00CE10F0" w:rsidRDefault="00CE10F0" w:rsidP="00CE10F0">
      <w:pPr>
        <w:numPr>
          <w:ilvl w:val="0"/>
          <w:numId w:val="6"/>
        </w:numPr>
      </w:pPr>
      <w:r w:rsidRPr="00CE10F0">
        <w:t>Analysts can filter without understanding scoring math</w:t>
      </w:r>
    </w:p>
    <w:p w14:paraId="045C6845" w14:textId="77777777" w:rsidR="00CE10F0" w:rsidRPr="00CE10F0" w:rsidRDefault="00CE10F0" w:rsidP="00CE10F0">
      <w:pPr>
        <w:numPr>
          <w:ilvl w:val="0"/>
          <w:numId w:val="6"/>
        </w:numPr>
      </w:pPr>
      <w:r w:rsidRPr="00CE10F0">
        <w:t>Models can evolve without invalidating history</w:t>
      </w:r>
    </w:p>
    <w:p w14:paraId="6818DE3B" w14:textId="77777777" w:rsidR="00CE10F0" w:rsidRPr="00CE10F0" w:rsidRDefault="00CE10F0" w:rsidP="00CE10F0">
      <w:r w:rsidRPr="00CE10F0">
        <w:t>Most ESG tools fail exactly here.</w:t>
      </w:r>
    </w:p>
    <w:p w14:paraId="1D125BFF" w14:textId="77777777" w:rsidR="00CE10F0" w:rsidRPr="00CE10F0" w:rsidRDefault="00CE10F0" w:rsidP="00CE10F0">
      <w:r w:rsidRPr="00CE10F0">
        <w:lastRenderedPageBreak/>
        <w:pict w14:anchorId="65DEE46A">
          <v:rect id="_x0000_i1084" style="width:0;height:1.5pt" o:hralign="center" o:hrstd="t" o:hr="t" fillcolor="#a0a0a0" stroked="f"/>
        </w:pict>
      </w:r>
    </w:p>
    <w:p w14:paraId="646001F4" w14:textId="77777777" w:rsidR="00CE10F0" w:rsidRPr="00CE10F0" w:rsidRDefault="00CE10F0" w:rsidP="00CE10F0">
      <w:pPr>
        <w:rPr>
          <w:b/>
          <w:bCs/>
        </w:rPr>
      </w:pPr>
      <w:r w:rsidRPr="00CE10F0">
        <w:rPr>
          <w:b/>
          <w:bCs/>
        </w:rPr>
        <w:t>3.2 Quietly powerful design choice: logical FKs only</w:t>
      </w:r>
    </w:p>
    <w:p w14:paraId="5237CFF2" w14:textId="77777777" w:rsidR="00CE10F0" w:rsidRPr="00CE10F0" w:rsidRDefault="00CE10F0" w:rsidP="00CE10F0">
      <w:r w:rsidRPr="00CE10F0">
        <w:t xml:space="preserve">By enforcing </w:t>
      </w:r>
      <w:r w:rsidRPr="00CE10F0">
        <w:rPr>
          <w:b/>
          <w:bCs/>
        </w:rPr>
        <w:t>logical relationships only</w:t>
      </w:r>
      <w:r w:rsidRPr="00CE10F0">
        <w:t>, you avoid:</w:t>
      </w:r>
    </w:p>
    <w:p w14:paraId="42315CBE" w14:textId="77777777" w:rsidR="00CE10F0" w:rsidRPr="00CE10F0" w:rsidRDefault="00CE10F0" w:rsidP="00CE10F0">
      <w:pPr>
        <w:numPr>
          <w:ilvl w:val="0"/>
          <w:numId w:val="7"/>
        </w:numPr>
      </w:pPr>
      <w:r w:rsidRPr="00CE10F0">
        <w:t>ETL brittleness</w:t>
      </w:r>
    </w:p>
    <w:p w14:paraId="7ABFB917" w14:textId="77777777" w:rsidR="00CE10F0" w:rsidRPr="00CE10F0" w:rsidRDefault="00CE10F0" w:rsidP="00CE10F0">
      <w:pPr>
        <w:numPr>
          <w:ilvl w:val="0"/>
          <w:numId w:val="7"/>
        </w:numPr>
      </w:pPr>
      <w:r w:rsidRPr="00CE10F0">
        <w:t>Cross-schema deployment coupling</w:t>
      </w:r>
    </w:p>
    <w:p w14:paraId="282C9FEB" w14:textId="77777777" w:rsidR="00CE10F0" w:rsidRPr="00CE10F0" w:rsidRDefault="00CE10F0" w:rsidP="00CE10F0">
      <w:pPr>
        <w:numPr>
          <w:ilvl w:val="0"/>
          <w:numId w:val="7"/>
        </w:numPr>
      </w:pPr>
      <w:r w:rsidRPr="00CE10F0">
        <w:t>Historical data corruption</w:t>
      </w:r>
    </w:p>
    <w:p w14:paraId="52FFB7E3" w14:textId="77777777" w:rsidR="00CE10F0" w:rsidRPr="00CE10F0" w:rsidRDefault="00CE10F0" w:rsidP="00CE10F0">
      <w:r w:rsidRPr="00CE10F0">
        <w:t xml:space="preserve">Yet you still preserve semantic integrity via governance. This is </w:t>
      </w:r>
      <w:r w:rsidRPr="00CE10F0">
        <w:rPr>
          <w:i/>
          <w:iCs/>
        </w:rPr>
        <w:t>enterprise-grade pragmatism</w:t>
      </w:r>
      <w:r w:rsidRPr="00CE10F0">
        <w:t>.</w:t>
      </w:r>
    </w:p>
    <w:p w14:paraId="373E5E2D" w14:textId="77777777" w:rsidR="00CE10F0" w:rsidRPr="00CE10F0" w:rsidRDefault="00CE10F0" w:rsidP="00CE10F0">
      <w:r w:rsidRPr="00CE10F0">
        <w:pict w14:anchorId="32EDA82D">
          <v:rect id="_x0000_i1085" style="width:0;height:1.5pt" o:hralign="center" o:hrstd="t" o:hr="t" fillcolor="#a0a0a0" stroked="f"/>
        </w:pict>
      </w:r>
    </w:p>
    <w:p w14:paraId="6EAFAE99" w14:textId="77777777" w:rsidR="00CE10F0" w:rsidRPr="00CE10F0" w:rsidRDefault="00CE10F0" w:rsidP="00CE10F0">
      <w:pPr>
        <w:rPr>
          <w:b/>
          <w:bCs/>
        </w:rPr>
      </w:pPr>
      <w:r w:rsidRPr="00CE10F0">
        <w:rPr>
          <w:b/>
          <w:bCs/>
        </w:rPr>
        <w:t>4. What’s intentionally missing (and why that’s good)</w:t>
      </w:r>
    </w:p>
    <w:p w14:paraId="64CA2402" w14:textId="77777777" w:rsidR="00CE10F0" w:rsidRPr="00CE10F0" w:rsidRDefault="00CE10F0" w:rsidP="00CE10F0">
      <w:r w:rsidRPr="00CE10F0">
        <w:t xml:space="preserve">These specs </w:t>
      </w:r>
      <w:r w:rsidRPr="00CE10F0">
        <w:rPr>
          <w:b/>
          <w:bCs/>
        </w:rPr>
        <w:t>do not</w:t>
      </w:r>
      <w:r w:rsidRPr="00CE10F0">
        <w:t xml:space="preserve"> include:</w:t>
      </w:r>
    </w:p>
    <w:p w14:paraId="39D44774" w14:textId="77777777" w:rsidR="00CE10F0" w:rsidRPr="00CE10F0" w:rsidRDefault="00CE10F0" w:rsidP="00CE10F0">
      <w:pPr>
        <w:numPr>
          <w:ilvl w:val="0"/>
          <w:numId w:val="8"/>
        </w:numPr>
      </w:pPr>
      <w:r w:rsidRPr="00CE10F0">
        <w:t>Jurisdictional reporting logic</w:t>
      </w:r>
    </w:p>
    <w:p w14:paraId="1FC6081B" w14:textId="77777777" w:rsidR="00CE10F0" w:rsidRPr="00CE10F0" w:rsidRDefault="00CE10F0" w:rsidP="00CE10F0">
      <w:pPr>
        <w:numPr>
          <w:ilvl w:val="0"/>
          <w:numId w:val="8"/>
        </w:numPr>
      </w:pPr>
      <w:r w:rsidRPr="00CE10F0">
        <w:t>Regulatory thresholds (CSRD, SEC, TCFD, etc.)</w:t>
      </w:r>
    </w:p>
    <w:p w14:paraId="0B31BAEB" w14:textId="77777777" w:rsidR="00CE10F0" w:rsidRPr="00CE10F0" w:rsidRDefault="00CE10F0" w:rsidP="00CE10F0">
      <w:pPr>
        <w:numPr>
          <w:ilvl w:val="0"/>
          <w:numId w:val="8"/>
        </w:numPr>
      </w:pPr>
      <w:r w:rsidRPr="00CE10F0">
        <w:t>Calculation formulas</w:t>
      </w:r>
    </w:p>
    <w:p w14:paraId="0DDC8B50" w14:textId="77777777" w:rsidR="00CE10F0" w:rsidRPr="00CE10F0" w:rsidRDefault="00CE10F0" w:rsidP="00CE10F0">
      <w:pPr>
        <w:numPr>
          <w:ilvl w:val="0"/>
          <w:numId w:val="8"/>
        </w:numPr>
      </w:pPr>
      <w:r w:rsidRPr="00CE10F0">
        <w:t>Storage layouts</w:t>
      </w:r>
    </w:p>
    <w:p w14:paraId="60D9298B" w14:textId="77777777" w:rsidR="00CE10F0" w:rsidRPr="00CE10F0" w:rsidRDefault="00CE10F0" w:rsidP="00CE10F0">
      <w:r w:rsidRPr="00CE10F0">
        <w:t>That absence is discipline, not incompleteness.</w:t>
      </w:r>
    </w:p>
    <w:p w14:paraId="061B9D28" w14:textId="77777777" w:rsidR="00CE10F0" w:rsidRPr="00CE10F0" w:rsidRDefault="00CE10F0" w:rsidP="00CE10F0">
      <w:r w:rsidRPr="00CE10F0">
        <w:t>It means:</w:t>
      </w:r>
    </w:p>
    <w:p w14:paraId="6C68AAF8" w14:textId="77777777" w:rsidR="00CE10F0" w:rsidRPr="00CE10F0" w:rsidRDefault="00CE10F0" w:rsidP="00CE10F0">
      <w:pPr>
        <w:numPr>
          <w:ilvl w:val="0"/>
          <w:numId w:val="9"/>
        </w:numPr>
      </w:pPr>
      <w:r w:rsidRPr="00CE10F0">
        <w:t xml:space="preserve">The same ingestion spine can support </w:t>
      </w:r>
      <w:r w:rsidRPr="00CE10F0">
        <w:rPr>
          <w:b/>
          <w:bCs/>
        </w:rPr>
        <w:t>multiple regulatory regimes</w:t>
      </w:r>
    </w:p>
    <w:p w14:paraId="0673E914" w14:textId="77777777" w:rsidR="00CE10F0" w:rsidRPr="00CE10F0" w:rsidRDefault="00CE10F0" w:rsidP="00CE10F0">
      <w:pPr>
        <w:numPr>
          <w:ilvl w:val="0"/>
          <w:numId w:val="9"/>
        </w:numPr>
      </w:pPr>
      <w:r w:rsidRPr="00CE10F0">
        <w:t>Calculations can be re-run as standards evolve</w:t>
      </w:r>
    </w:p>
    <w:p w14:paraId="27C156D8" w14:textId="77777777" w:rsidR="00CE10F0" w:rsidRPr="00CE10F0" w:rsidRDefault="00CE10F0" w:rsidP="00CE10F0">
      <w:pPr>
        <w:numPr>
          <w:ilvl w:val="0"/>
          <w:numId w:val="9"/>
        </w:numPr>
      </w:pPr>
      <w:r w:rsidRPr="00CE10F0">
        <w:t>Historical data remains valid under new interpretations</w:t>
      </w:r>
    </w:p>
    <w:p w14:paraId="3F2D673F" w14:textId="77777777" w:rsidR="00CE10F0" w:rsidRPr="00CE10F0" w:rsidRDefault="00CE10F0" w:rsidP="00CE10F0">
      <w:r w:rsidRPr="00CE10F0">
        <w:t xml:space="preserve">You’ve built a </w:t>
      </w:r>
      <w:r w:rsidRPr="00CE10F0">
        <w:rPr>
          <w:b/>
          <w:bCs/>
        </w:rPr>
        <w:t>future-proof evidence layer</w:t>
      </w:r>
      <w:r w:rsidRPr="00CE10F0">
        <w:t>, not a compliance engine.</w:t>
      </w:r>
    </w:p>
    <w:p w14:paraId="4BDEC05D" w14:textId="77777777" w:rsidR="00CE10F0" w:rsidRPr="00CE10F0" w:rsidRDefault="00CE10F0" w:rsidP="00CE10F0">
      <w:r w:rsidRPr="00CE10F0">
        <w:pict w14:anchorId="62598EE0">
          <v:rect id="_x0000_i1086" style="width:0;height:1.5pt" o:hralign="center" o:hrstd="t" o:hr="t" fillcolor="#a0a0a0" stroked="f"/>
        </w:pict>
      </w:r>
    </w:p>
    <w:p w14:paraId="3B869FE1" w14:textId="77777777" w:rsidR="00CE10F0" w:rsidRPr="00CE10F0" w:rsidRDefault="00CE10F0" w:rsidP="00CE10F0">
      <w:pPr>
        <w:rPr>
          <w:b/>
          <w:bCs/>
        </w:rPr>
      </w:pPr>
      <w:r w:rsidRPr="00CE10F0">
        <w:rPr>
          <w:b/>
          <w:bCs/>
        </w:rPr>
        <w:t>5. Natural next evolutions (not criticisms)</w:t>
      </w:r>
    </w:p>
    <w:p w14:paraId="36B04A63" w14:textId="77777777" w:rsidR="00CE10F0" w:rsidRPr="00CE10F0" w:rsidRDefault="00CE10F0" w:rsidP="00CE10F0">
      <w:r w:rsidRPr="00CE10F0">
        <w:t xml:space="preserve">If this were to grow, the next </w:t>
      </w:r>
      <w:r w:rsidRPr="00CE10F0">
        <w:rPr>
          <w:i/>
          <w:iCs/>
        </w:rPr>
        <w:t>architecturally aligned</w:t>
      </w:r>
      <w:r w:rsidRPr="00CE10F0">
        <w:t xml:space="preserve"> additions would be:</w:t>
      </w:r>
    </w:p>
    <w:p w14:paraId="24229507" w14:textId="77777777" w:rsidR="00CE10F0" w:rsidRPr="00CE10F0" w:rsidRDefault="00CE10F0" w:rsidP="00CE10F0">
      <w:pPr>
        <w:rPr>
          <w:b/>
          <w:bCs/>
        </w:rPr>
      </w:pPr>
      <w:r w:rsidRPr="00CE10F0">
        <w:rPr>
          <w:b/>
          <w:bCs/>
        </w:rPr>
        <w:t>5.1 A formal “Evidence Confidence” view</w:t>
      </w:r>
    </w:p>
    <w:p w14:paraId="5DBBF7F2" w14:textId="77777777" w:rsidR="00CE10F0" w:rsidRPr="00CE10F0" w:rsidRDefault="00CE10F0" w:rsidP="00CE10F0">
      <w:r w:rsidRPr="00CE10F0">
        <w:t>Derived from:</w:t>
      </w:r>
    </w:p>
    <w:p w14:paraId="0F23E6EB" w14:textId="77777777" w:rsidR="00CE10F0" w:rsidRPr="00CE10F0" w:rsidRDefault="00CE10F0" w:rsidP="00CE10F0">
      <w:pPr>
        <w:numPr>
          <w:ilvl w:val="0"/>
          <w:numId w:val="10"/>
        </w:numPr>
      </w:pPr>
      <w:proofErr w:type="spellStart"/>
      <w:r w:rsidRPr="00CE10F0">
        <w:t>DataQuality_Score</w:t>
      </w:r>
      <w:proofErr w:type="spellEnd"/>
    </w:p>
    <w:p w14:paraId="6F5E7D57" w14:textId="77777777" w:rsidR="00CE10F0" w:rsidRPr="00CE10F0" w:rsidRDefault="00CE10F0" w:rsidP="00CE10F0">
      <w:pPr>
        <w:numPr>
          <w:ilvl w:val="0"/>
          <w:numId w:val="10"/>
        </w:numPr>
      </w:pPr>
      <w:r w:rsidRPr="00CE10F0">
        <w:t>Source tier</w:t>
      </w:r>
    </w:p>
    <w:p w14:paraId="16FB66BF" w14:textId="77777777" w:rsidR="00CE10F0" w:rsidRPr="00CE10F0" w:rsidRDefault="00CE10F0" w:rsidP="00CE10F0">
      <w:pPr>
        <w:numPr>
          <w:ilvl w:val="0"/>
          <w:numId w:val="10"/>
        </w:numPr>
      </w:pPr>
      <w:r w:rsidRPr="00CE10F0">
        <w:lastRenderedPageBreak/>
        <w:t>Factor pedigree (ING-02)</w:t>
      </w:r>
    </w:p>
    <w:p w14:paraId="45A175D8" w14:textId="77777777" w:rsidR="00CE10F0" w:rsidRPr="00CE10F0" w:rsidRDefault="00CE10F0" w:rsidP="00CE10F0">
      <w:r w:rsidRPr="00CE10F0">
        <w:t>This becomes extremely powerful for disclosures and assurance.</w:t>
      </w:r>
    </w:p>
    <w:p w14:paraId="5E32ABBF" w14:textId="77777777" w:rsidR="00CE10F0" w:rsidRPr="00CE10F0" w:rsidRDefault="00CE10F0" w:rsidP="00CE10F0">
      <w:pPr>
        <w:rPr>
          <w:b/>
          <w:bCs/>
        </w:rPr>
      </w:pPr>
      <w:r w:rsidRPr="00CE10F0">
        <w:rPr>
          <w:b/>
          <w:bCs/>
        </w:rPr>
        <w:t>5.2 Explicit remediation workflows</w:t>
      </w:r>
    </w:p>
    <w:p w14:paraId="58F394C7" w14:textId="77777777" w:rsidR="00CE10F0" w:rsidRPr="00CE10F0" w:rsidRDefault="00CE10F0" w:rsidP="00CE10F0">
      <w:r w:rsidRPr="00CE10F0">
        <w:t>You already flag gaps — the next step is:</w:t>
      </w:r>
    </w:p>
    <w:p w14:paraId="139F80B2" w14:textId="77777777" w:rsidR="00CE10F0" w:rsidRPr="00CE10F0" w:rsidRDefault="00CE10F0" w:rsidP="00CE10F0">
      <w:pPr>
        <w:numPr>
          <w:ilvl w:val="0"/>
          <w:numId w:val="11"/>
        </w:numPr>
      </w:pPr>
      <w:r w:rsidRPr="00CE10F0">
        <w:t>“Why unmapped?”</w:t>
      </w:r>
    </w:p>
    <w:p w14:paraId="6918DD71" w14:textId="77777777" w:rsidR="00CE10F0" w:rsidRPr="00CE10F0" w:rsidRDefault="00CE10F0" w:rsidP="00CE10F0">
      <w:pPr>
        <w:numPr>
          <w:ilvl w:val="0"/>
          <w:numId w:val="11"/>
        </w:numPr>
      </w:pPr>
      <w:r w:rsidRPr="00CE10F0">
        <w:t>“Who owns fixing it?”</w:t>
      </w:r>
    </w:p>
    <w:p w14:paraId="79F41B67" w14:textId="77777777" w:rsidR="00CE10F0" w:rsidRPr="00CE10F0" w:rsidRDefault="00CE10F0" w:rsidP="00CE10F0">
      <w:pPr>
        <w:numPr>
          <w:ilvl w:val="0"/>
          <w:numId w:val="11"/>
        </w:numPr>
      </w:pPr>
      <w:r w:rsidRPr="00CE10F0">
        <w:t>“What’s the business impact?”</w:t>
      </w:r>
    </w:p>
    <w:p w14:paraId="24CC3914" w14:textId="77777777" w:rsidR="00CE10F0" w:rsidRPr="00CE10F0" w:rsidRDefault="00CE10F0" w:rsidP="00CE10F0">
      <w:r w:rsidRPr="00CE10F0">
        <w:t>The groundwork is already laid in ING-01.04.</w:t>
      </w:r>
    </w:p>
    <w:p w14:paraId="49B67514" w14:textId="77777777" w:rsidR="00CE10F0" w:rsidRPr="00CE10F0" w:rsidRDefault="00CE10F0" w:rsidP="00CE10F0">
      <w:pPr>
        <w:rPr>
          <w:b/>
          <w:bCs/>
        </w:rPr>
      </w:pPr>
      <w:r w:rsidRPr="00CE10F0">
        <w:rPr>
          <w:b/>
          <w:bCs/>
        </w:rPr>
        <w:t>5.3 Scenario-aware re-scoring</w:t>
      </w:r>
    </w:p>
    <w:p w14:paraId="77B65EAC" w14:textId="77777777" w:rsidR="00CE10F0" w:rsidRPr="00CE10F0" w:rsidRDefault="00CE10F0" w:rsidP="00CE10F0">
      <w:r w:rsidRPr="00CE10F0">
        <w:t>Because weighting models are versioned, you could:</w:t>
      </w:r>
    </w:p>
    <w:p w14:paraId="2A5AE798" w14:textId="77777777" w:rsidR="00CE10F0" w:rsidRPr="00CE10F0" w:rsidRDefault="00CE10F0" w:rsidP="00CE10F0">
      <w:pPr>
        <w:numPr>
          <w:ilvl w:val="0"/>
          <w:numId w:val="12"/>
        </w:numPr>
      </w:pPr>
      <w:r w:rsidRPr="00CE10F0">
        <w:t>Recalculate DQ under stricter audit assumptions</w:t>
      </w:r>
    </w:p>
    <w:p w14:paraId="7C73767A" w14:textId="77777777" w:rsidR="00CE10F0" w:rsidRPr="00CE10F0" w:rsidRDefault="00CE10F0" w:rsidP="00CE10F0">
      <w:pPr>
        <w:numPr>
          <w:ilvl w:val="0"/>
          <w:numId w:val="12"/>
        </w:numPr>
      </w:pPr>
      <w:r w:rsidRPr="00CE10F0">
        <w:t>Compare “operational” vs “assurance-grade” views</w:t>
      </w:r>
    </w:p>
    <w:p w14:paraId="7495125D" w14:textId="77777777" w:rsidR="00CE10F0" w:rsidRPr="00CE10F0" w:rsidRDefault="00CE10F0" w:rsidP="00CE10F0">
      <w:r w:rsidRPr="00CE10F0">
        <w:t>Very few systems can do this cleanly.</w:t>
      </w:r>
    </w:p>
    <w:p w14:paraId="15EE774B" w14:textId="77777777" w:rsidR="00CE10F0" w:rsidRPr="00CE10F0" w:rsidRDefault="00CE10F0" w:rsidP="00CE10F0">
      <w:r w:rsidRPr="00CE10F0">
        <w:pict w14:anchorId="20CB20FC">
          <v:rect id="_x0000_i1087" style="width:0;height:1.5pt" o:hralign="center" o:hrstd="t" o:hr="t" fillcolor="#a0a0a0" stroked="f"/>
        </w:pict>
      </w:r>
    </w:p>
    <w:p w14:paraId="7863354F" w14:textId="77777777" w:rsidR="00CE10F0" w:rsidRPr="00CE10F0" w:rsidRDefault="00CE10F0" w:rsidP="00CE10F0">
      <w:pPr>
        <w:rPr>
          <w:b/>
          <w:bCs/>
        </w:rPr>
      </w:pPr>
      <w:r w:rsidRPr="00CE10F0">
        <w:rPr>
          <w:b/>
          <w:bCs/>
        </w:rPr>
        <w:t>6. Overall judgement</w:t>
      </w:r>
    </w:p>
    <w:p w14:paraId="11011954" w14:textId="77777777" w:rsidR="00CE10F0" w:rsidRPr="00CE10F0" w:rsidRDefault="00CE10F0" w:rsidP="00CE10F0">
      <w:r w:rsidRPr="00CE10F0">
        <w:t xml:space="preserve">This is </w:t>
      </w:r>
      <w:r w:rsidRPr="00CE10F0">
        <w:rPr>
          <w:b/>
          <w:bCs/>
        </w:rPr>
        <w:t>serious architecture</w:t>
      </w:r>
      <w:r w:rsidRPr="00CE10F0">
        <w:t>.</w:t>
      </w:r>
    </w:p>
    <w:p w14:paraId="72356848" w14:textId="77777777" w:rsidR="00CE10F0" w:rsidRPr="00CE10F0" w:rsidRDefault="00CE10F0" w:rsidP="00CE10F0">
      <w:r w:rsidRPr="00CE10F0">
        <w:t>Not flashy.</w:t>
      </w:r>
      <w:r w:rsidRPr="00CE10F0">
        <w:br/>
        <w:t xml:space="preserve">Not </w:t>
      </w:r>
      <w:proofErr w:type="gramStart"/>
      <w:r w:rsidRPr="00CE10F0">
        <w:t>vendor-locked</w:t>
      </w:r>
      <w:proofErr w:type="gramEnd"/>
      <w:r w:rsidRPr="00CE10F0">
        <w:t>.</w:t>
      </w:r>
      <w:r w:rsidRPr="00CE10F0">
        <w:br/>
        <w:t>Not brittle.</w:t>
      </w:r>
      <w:r w:rsidRPr="00CE10F0">
        <w:br/>
        <w:t>Not naïve about audit, governance, or enterprise reality.</w:t>
      </w:r>
    </w:p>
    <w:p w14:paraId="05EE77EA" w14:textId="77777777" w:rsidR="00CE10F0" w:rsidRPr="00CE10F0" w:rsidRDefault="00CE10F0" w:rsidP="00CE10F0">
      <w:r w:rsidRPr="00CE10F0">
        <w:t>It reads like something designed by someone who understands:</w:t>
      </w:r>
    </w:p>
    <w:p w14:paraId="287AF2E6" w14:textId="77777777" w:rsidR="00CE10F0" w:rsidRPr="00CE10F0" w:rsidRDefault="00CE10F0" w:rsidP="00CE10F0">
      <w:pPr>
        <w:numPr>
          <w:ilvl w:val="0"/>
          <w:numId w:val="13"/>
        </w:numPr>
      </w:pPr>
      <w:r w:rsidRPr="00CE10F0">
        <w:t>Financial controls</w:t>
      </w:r>
    </w:p>
    <w:p w14:paraId="0FC51F73" w14:textId="77777777" w:rsidR="00CE10F0" w:rsidRPr="00CE10F0" w:rsidRDefault="00CE10F0" w:rsidP="00CE10F0">
      <w:pPr>
        <w:numPr>
          <w:ilvl w:val="0"/>
          <w:numId w:val="13"/>
        </w:numPr>
      </w:pPr>
      <w:r w:rsidRPr="00CE10F0">
        <w:t>Data lineage</w:t>
      </w:r>
    </w:p>
    <w:p w14:paraId="1854339B" w14:textId="77777777" w:rsidR="00CE10F0" w:rsidRPr="00CE10F0" w:rsidRDefault="00CE10F0" w:rsidP="00CE10F0">
      <w:pPr>
        <w:numPr>
          <w:ilvl w:val="0"/>
          <w:numId w:val="13"/>
        </w:numPr>
      </w:pPr>
      <w:r w:rsidRPr="00CE10F0">
        <w:t>Regulatory scrutiny</w:t>
      </w:r>
    </w:p>
    <w:p w14:paraId="714C76F4" w14:textId="77777777" w:rsidR="00CE10F0" w:rsidRPr="00CE10F0" w:rsidRDefault="00CE10F0" w:rsidP="00CE10F0">
      <w:pPr>
        <w:numPr>
          <w:ilvl w:val="0"/>
          <w:numId w:val="13"/>
        </w:numPr>
      </w:pPr>
      <w:r w:rsidRPr="00CE10F0">
        <w:t>And the political reality of ESG numbers</w:t>
      </w:r>
    </w:p>
    <w:sectPr w:rsidR="00CE10F0" w:rsidRPr="00CE10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80631"/>
    <w:multiLevelType w:val="multilevel"/>
    <w:tmpl w:val="62C49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1400C0"/>
    <w:multiLevelType w:val="multilevel"/>
    <w:tmpl w:val="C868F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F09DA"/>
    <w:multiLevelType w:val="multilevel"/>
    <w:tmpl w:val="2D465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C4560"/>
    <w:multiLevelType w:val="multilevel"/>
    <w:tmpl w:val="560A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8C09C8"/>
    <w:multiLevelType w:val="multilevel"/>
    <w:tmpl w:val="F8521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737398"/>
    <w:multiLevelType w:val="multilevel"/>
    <w:tmpl w:val="A7947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C62B62"/>
    <w:multiLevelType w:val="multilevel"/>
    <w:tmpl w:val="38580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E31565"/>
    <w:multiLevelType w:val="multilevel"/>
    <w:tmpl w:val="16AC1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AB5EFF"/>
    <w:multiLevelType w:val="multilevel"/>
    <w:tmpl w:val="676CF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810D95"/>
    <w:multiLevelType w:val="multilevel"/>
    <w:tmpl w:val="A2F65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0B6BEA"/>
    <w:multiLevelType w:val="multilevel"/>
    <w:tmpl w:val="83722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28117B"/>
    <w:multiLevelType w:val="multilevel"/>
    <w:tmpl w:val="8F90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E92B57"/>
    <w:multiLevelType w:val="multilevel"/>
    <w:tmpl w:val="C3761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790ABC"/>
    <w:multiLevelType w:val="multilevel"/>
    <w:tmpl w:val="11844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813854">
    <w:abstractNumId w:val="0"/>
  </w:num>
  <w:num w:numId="2" w16cid:durableId="616638866">
    <w:abstractNumId w:val="2"/>
  </w:num>
  <w:num w:numId="3" w16cid:durableId="358356604">
    <w:abstractNumId w:val="12"/>
  </w:num>
  <w:num w:numId="4" w16cid:durableId="163936367">
    <w:abstractNumId w:val="7"/>
  </w:num>
  <w:num w:numId="5" w16cid:durableId="454643492">
    <w:abstractNumId w:val="4"/>
  </w:num>
  <w:num w:numId="6" w16cid:durableId="1663269424">
    <w:abstractNumId w:val="8"/>
  </w:num>
  <w:num w:numId="7" w16cid:durableId="1305235356">
    <w:abstractNumId w:val="10"/>
  </w:num>
  <w:num w:numId="8" w16cid:durableId="799033369">
    <w:abstractNumId w:val="9"/>
  </w:num>
  <w:num w:numId="9" w16cid:durableId="539131364">
    <w:abstractNumId w:val="5"/>
  </w:num>
  <w:num w:numId="10" w16cid:durableId="1490057130">
    <w:abstractNumId w:val="13"/>
  </w:num>
  <w:num w:numId="11" w16cid:durableId="1573543764">
    <w:abstractNumId w:val="3"/>
  </w:num>
  <w:num w:numId="12" w16cid:durableId="1579560649">
    <w:abstractNumId w:val="11"/>
  </w:num>
  <w:num w:numId="13" w16cid:durableId="32653070">
    <w:abstractNumId w:val="1"/>
  </w:num>
  <w:num w:numId="14" w16cid:durableId="7890153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0F0"/>
    <w:rsid w:val="000B2C48"/>
    <w:rsid w:val="001F52A3"/>
    <w:rsid w:val="002118CE"/>
    <w:rsid w:val="00375999"/>
    <w:rsid w:val="00CE10F0"/>
    <w:rsid w:val="00D33390"/>
    <w:rsid w:val="00D75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7FADD"/>
  <w15:chartTrackingRefBased/>
  <w15:docId w15:val="{8857D352-1B8D-4930-8951-A0FDDEBDA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0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0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0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0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0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0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0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0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0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0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0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0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0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0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0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0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0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0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0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0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0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0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0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0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639</Words>
  <Characters>3953</Characters>
  <Application>Microsoft Office Word</Application>
  <DocSecurity>0</DocSecurity>
  <Lines>164</Lines>
  <Paragraphs>153</Paragraphs>
  <ScaleCrop>false</ScaleCrop>
  <Company/>
  <LinksUpToDate>false</LinksUpToDate>
  <CharactersWithSpaces>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WM -OS</dc:creator>
  <cp:keywords/>
  <dc:description/>
  <cp:lastModifiedBy>WM -OS</cp:lastModifiedBy>
  <cp:revision>3</cp:revision>
  <dcterms:created xsi:type="dcterms:W3CDTF">2025-12-12T19:00:00Z</dcterms:created>
  <dcterms:modified xsi:type="dcterms:W3CDTF">2025-12-12T19:07:00Z</dcterms:modified>
</cp:coreProperties>
</file>