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Unicode MS" w:cs="Arial"/>
          <w:b w:val="0"/>
          <w:color w:val="000000"/>
        </w:rPr>
        <w:t>ARC Bench 业务保真与界面适配实验计划</w:t>
      </w:r>
    </w:p>
    <w:p>
      <w:pPr>
        <w:pStyle w:val="Subtitle"/>
      </w:pPr>
      <w:r>
        <w:rPr>
          <w:rFonts w:ascii="Arial" w:hAnsi="Arial" w:eastAsia="Arial Unicode MS" w:cs="Arial"/>
          <w:b w:val="0"/>
          <w:color w:val="000000"/>
        </w:rPr>
        <w:t>版本 1.0　日期 2026年10月19日　用途 评测器改进与工程验收</w:t>
      </w:r>
    </w:p>
    <w:p>
      <w:r>
        <w:rPr>
          <w:rFonts w:ascii="Arial" w:hAnsi="Arial" w:eastAsia="Arial Unicode MS" w:cs="Arial"/>
          <w:b w:val="0"/>
          <w:color w:val="000000"/>
        </w:rPr>
        <w:t>本实验的目标是让满足业务需求的实现能够被 ARC Bench 接受，同时继续拒绝违反需求的实现。优先改进评测器的界面识别、操作和结果观察；只有出现明确能力缺口时，才引入语义代理、视觉操作或替换浏览器执行框架。LLM 是否产生增益不是本实验的成功条件。</w:t>
      </w:r>
    </w:p>
    <w:p>
      <w:r>
        <w:rPr>
          <w:rFonts w:ascii="Arial" w:hAnsi="Arial" w:eastAsia="Arial Unicode MS" w:cs="Arial"/>
          <w:b w:val="0"/>
          <w:color w:val="000000"/>
        </w:rPr>
        <w:t>需要解决的矛盾是：固定组件、role/name 和页面结构可以帮助自动化执行，却可能把工具限制变成产品要求；删减操作或断言可以提高表面通过率，却可能遗漏业务义务。实验允许界面表达变化，保留需求的完整行为、结果和必要交互约束，并记录适配所需的人力、接入信息及运行成本。</w:t>
      </w:r>
    </w:p>
    <w:p>
      <w:r>
        <w:rPr>
          <w:rFonts w:ascii="Arial" w:hAnsi="Arial" w:eastAsia="Arial Unicode MS" w:cs="Arial"/>
          <w:b w:val="0"/>
          <w:color w:val="000000"/>
        </w:rPr>
        <w:t>先完成三个已知失败的诊断与修复，再在原材料上回归，最后用少量新界面进行验收。每一阶段均有明确交付和停止条件。执行者可直接从第 12 节开始。本文件提出的是后续工程实验；此前 cross-impl-generalization-v1 已结束，其历史结论和原始记录保持不变。</w:t>
      </w:r>
    </w:p>
    <w:p>
      <w:pPr>
        <w:pStyle w:val="Heading1"/>
      </w:pPr>
      <w:r>
        <w:rPr>
          <w:rFonts w:ascii="Arial" w:hAnsi="Arial" w:eastAsia="Arial Unicode MS" w:cs="Arial"/>
          <w:b w:val="0"/>
          <w:color w:val="000000"/>
        </w:rPr>
        <w:t>1 实验目标与边界</w:t>
      </w:r>
    </w:p>
    <w:p>
      <w:r>
        <w:rPr>
          <w:rFonts w:ascii="Arial" w:hAnsi="Arial" w:eastAsia="Arial Unicode MS" w:cs="Arial"/>
          <w:b w:val="0"/>
          <w:color w:val="000000"/>
        </w:rPr>
        <w:t>成功意味着评测器能执行完整场景、获得可信观察、依据业务义务作出判断。仅仅找到控件、增加通过数量，或让模型输出“成功”，都不足以证明目标达成。</w:t>
      </w:r>
    </w:p>
    <w:p>
      <w:r>
        <w:rPr>
          <w:rFonts w:ascii="Arial" w:hAnsi="Arial" w:eastAsia="Arial Unicode MS" w:cs="Arial"/>
          <w:b w:val="0"/>
          <w:color w:val="000000"/>
        </w:rPr>
        <w:t>本轮回答四个问题。第一，已知失败究竟属于实现缺陷、需求解释问题、界面绑定错误还是观察错误？第二，通用控件驱动能否解决这些问题，而不新增组件限制或删除业务检查？第三，对无法通用处理的界面，人工绑定、最小接入信息或语义识别分别需要多少代价？第四，是否存在更换执行框架才能解决的具体能力缺口？</w:t>
      </w:r>
    </w:p>
    <w:p>
      <w:r>
        <w:rPr>
          <w:rFonts w:ascii="Arial" w:hAnsi="Arial" w:eastAsia="Arial Unicode MS" w:cs="Arial"/>
          <w:b w:val="0"/>
          <w:color w:val="000000"/>
        </w:rPr>
        <w:t>默认范围仍是 Keep REQ-2.2、Keep REQ-4.1 和 BookStack REQ-6.4。结论限于被检查的业务场景与界面范围，不承诺接受任意界面，也不把需求本身有歧义的实现强行标为正确或错误。明确要求的可访问性、用户可发现性和视觉效果仍属于验收条件。</w:t>
      </w:r>
    </w:p>
    <w:p>
      <w:r>
        <w:rPr>
          <w:rFonts w:ascii="Arial" w:hAnsi="Arial" w:eastAsia="Arial Unicode MS" w:cs="Arial"/>
          <w:b w:val="0"/>
          <w:color w:val="000000"/>
        </w:rPr>
        <w:t>只改善自动化覆盖、尚未解决全部界面时，交付可包含受支持范围和需复核列表。需复核不能计作通过，也不能自动解释成业务错误。</w:t>
      </w:r>
    </w:p>
    <w:p>
      <w:pPr>
        <w:pStyle w:val="Heading1"/>
      </w:pPr>
      <w:r>
        <w:rPr>
          <w:rFonts w:ascii="Arial" w:hAnsi="Arial" w:eastAsia="Arial Unicode MS" w:cs="Arial"/>
          <w:b w:val="0"/>
          <w:color w:val="000000"/>
        </w:rPr>
        <w:t>2 现有证据与本轮变更</w:t>
      </w:r>
    </w:p>
    <w:p>
      <w:r>
        <w:rPr>
          <w:rFonts w:ascii="Arial" w:hAnsi="Arial" w:eastAsia="Arial Unicode MS" w:cs="Arial"/>
          <w:b w:val="0"/>
          <w:color w:val="000000"/>
        </w:rPr>
        <w:t xml:space="preserve">历史结论以 </w:t>
      </w:r>
      <w:hyperlink r:id="rId10">
        <w:r>
          <w:rPr>
            <w:rFonts w:ascii="Arial" w:hAnsi="Arial" w:eastAsia="Arial Unicode MS"/>
            <w:color w:val="1F4E79"/>
            <w:u w:val="single"/>
          </w:rPr>
          <w:t>已结束的 pilot 报告</w:t>
        </w:r>
      </w:hyperlink>
      <w:r>
        <w:rPr>
          <w:rFonts w:ascii="Arial" w:hAnsi="Arial" w:eastAsia="Arial Unicode MS" w:cs="Arial"/>
          <w:b w:val="0"/>
          <w:color w:val="000000"/>
        </w:rPr>
        <w:t xml:space="preserve"> 为准。暂定标签下，M0L 接受封存正确单位 4/6，有效检出缺陷 8/12；M0 对应为 0/6、0/12。两轮共 36 次 qwen3-coder-next 调用未产生超过 M0L 的开发候选。所有 36 个材料标签仍待人工确认。</w:t>
      </w:r>
    </w:p>
    <w:p>
      <w:r>
        <w:rPr>
          <w:rFonts w:ascii="Arial" w:hAnsi="Arial" w:eastAsia="Arial Unicode MS" w:cs="Arial"/>
          <w:b w:val="0"/>
          <w:color w:val="000000"/>
        </w:rPr>
        <w:t>这些结果表明当前值得检查的是评测器的适配和观察能力。它们不能证明“三层架构单独导致提升”，也不能证明 LLM 或 Playwright 普遍有效或无效。M0 的缺陷原始拒绝率为 12/12；有效检出为零，是因为对应正确父本也被拒绝。</w:t>
      </w:r>
    </w:p>
    <w:p>
      <w:r>
        <w:rPr>
          <w:rFonts w:ascii="Arial" w:hAnsi="Arial" w:eastAsia="Arial Unicode MS" w:cs="Arial"/>
          <w:b w:val="0"/>
          <w:color w:val="000000"/>
        </w:rPr>
        <w:t>新实验不继续旧方案的多轮测试重写。它允许人工工程修复，以经过审查的需求为依据，比较不同界面接入方式。旧封存材料已经公开给执行者，本轮一律视为回归材料，不能再次称为未见实现。</w:t>
      </w:r>
    </w:p>
    <w:p>
      <w:r>
        <w:rPr>
          <w:rFonts w:ascii="Arial" w:hAnsi="Arial" w:eastAsia="Arial Unicode MS" w:cs="Arial"/>
          <w:b w:val="0"/>
          <w:color w:val="000000"/>
        </w:rPr>
        <w:t xml:space="preserve">创建新目录 </w:t>
      </w:r>
      <w:r>
        <w:rPr>
          <w:rFonts w:ascii="Arial" w:hAnsi="Arial" w:eastAsia="Arial Unicode MS" w:cs="Arial"/>
          <w:b w:val="0"/>
          <w:color w:val="000000"/>
          <w:sz w:val="21"/>
        </w:rPr>
        <w:t>arc-bench/experiments/benchmark-fidelity-v2/</w:t>
      </w:r>
      <w:r>
        <w:rPr>
          <w:rFonts w:ascii="Arial" w:hAnsi="Arial" w:eastAsia="Arial Unicode MS" w:cs="Arial"/>
          <w:b w:val="0"/>
          <w:color w:val="000000"/>
        </w:rPr>
        <w:t xml:space="preserve"> 保存新协议、修复与结果。该目录及本文中的新 runner 接口是待实现设计，不表示当前仓库已有对应脚本。旧实验目录仅作为只读来源；更正标签或解释时，在新目录保存带出处的修订记录，不覆盖旧报告。</w:t>
      </w:r>
    </w:p>
    <w:p>
      <w:pPr>
        <w:pStyle w:val="Heading1"/>
      </w:pPr>
      <w:r>
        <w:rPr>
          <w:rFonts w:ascii="Arial" w:hAnsi="Arial" w:eastAsia="Arial Unicode MS" w:cs="Arial"/>
          <w:b w:val="0"/>
          <w:color w:val="000000"/>
        </w:rPr>
        <w:t>3 先审查需求再修复测试</w:t>
      </w:r>
    </w:p>
    <w:p>
      <w:pPr>
        <w:pStyle w:val="Heading2"/>
      </w:pPr>
      <w:r>
        <w:rPr>
          <w:rFonts w:ascii="Arial" w:hAnsi="Arial" w:eastAsia="Arial Unicode MS" w:cs="Arial"/>
          <w:b w:val="0"/>
          <w:color w:val="000000"/>
        </w:rPr>
        <w:t>3.1 区分业务要求与测试接入要求</w:t>
      </w:r>
    </w:p>
    <w:p>
      <w:r>
        <w:rPr>
          <w:rFonts w:ascii="Arial" w:hAnsi="Arial" w:eastAsia="Arial Unicode MS" w:cs="Arial"/>
          <w:b w:val="0"/>
          <w:color w:val="000000"/>
        </w:rPr>
        <w:t>将所选需求的 ROOT、祖先节点、原子需求、场景、数据约定和必要前置流程逐条映射到义务。原文明确规定的组件或名称也要登记，但它们是否继续保留，需要依据产品目的重新判断，而不能仅因为原测试依赖它就继续保留。</w:t>
      </w:r>
    </w:p>
    <w:p>
      <w:pPr>
        <w:keepNext/>
        <w:spacing w:before="100" w:after="100"/>
      </w:pPr>
      <w:r>
        <w:rPr>
          <w:rFonts w:ascii="Arial" w:hAnsi="Arial" w:eastAsia="Arial Unicode MS" w:cs="Arial"/>
          <w:b/>
          <w:color w:val="000000"/>
          <w:sz w:val="21"/>
        </w:rPr>
        <w:t>表 1　需求条款的处理规则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95" w:type="dxa"/>
          <w:bottom w:w="85" w:type="dxa"/>
          <w:right w:w="95" w:type="dxa"/>
        </w:tblCellMar>
      </w:tblPr>
      <w:tblGrid>
        <w:gridCol w:w="1701"/>
        <w:gridCol w:w="3685"/>
        <w:gridCol w:w="4025"/>
      </w:tblGrid>
      <w:tr>
        <w:trPr>
          <w:cantSplit/>
          <w:tblHeader/>
        </w:trPr>
        <w:tc>
          <w:tcPr>
            <w:tcW w:type="dxa" w:w="1701"/>
            <w:vAlign w:val="center"/>
            <w:shd w:fill="E8EDF2" w:val="clear"/>
          </w:tcPr>
          <w:p>
            <w:pPr>
              <w:keepNext/>
              <w:keepLines/>
              <w:spacing w:before="0" w:after="0" w:line="288" w:lineRule="auto"/>
              <w:jc w:val="left"/>
            </w:pPr>
            <w:r>
              <w:rPr>
                <w:rFonts w:ascii="Arial" w:hAnsi="Arial" w:eastAsia="Arial Unicode MS" w:cs="Arial"/>
                <w:b/>
                <w:color w:val="000000"/>
                <w:sz w:val="21"/>
              </w:rPr>
              <w:t>类别</w:t>
            </w:r>
          </w:p>
        </w:tc>
        <w:tc>
          <w:tcPr>
            <w:tcW w:type="dxa" w:w="3685"/>
            <w:vAlign w:val="center"/>
            <w:shd w:fill="E8EDF2" w:val="clear"/>
          </w:tcPr>
          <w:p>
            <w:pPr>
              <w:keepNext/>
              <w:keepLines/>
              <w:spacing w:before="0" w:after="0" w:line="288" w:lineRule="auto"/>
              <w:jc w:val="left"/>
            </w:pPr>
            <w:r>
              <w:rPr>
                <w:rFonts w:ascii="Arial" w:hAnsi="Arial" w:eastAsia="Arial Unicode MS" w:cs="Arial"/>
                <w:b/>
                <w:color w:val="000000"/>
                <w:sz w:val="21"/>
              </w:rPr>
              <w:t>例子</w:t>
            </w:r>
          </w:p>
        </w:tc>
        <w:tc>
          <w:tcPr>
            <w:tcW w:type="dxa" w:w="4025"/>
            <w:vAlign w:val="center"/>
            <w:shd w:fill="E8EDF2" w:val="clear"/>
          </w:tcPr>
          <w:p>
            <w:pPr>
              <w:keepNext/>
              <w:keepLines/>
              <w:spacing w:before="0" w:after="0" w:line="288" w:lineRule="auto"/>
              <w:jc w:val="left"/>
            </w:pPr>
            <w:r>
              <w:rPr>
                <w:rFonts w:ascii="Arial" w:hAnsi="Arial" w:eastAsia="Arial Unicode MS" w:cs="Arial"/>
                <w:b/>
                <w:color w:val="000000"/>
                <w:sz w:val="21"/>
              </w:rPr>
              <w:t>本轮处理</w:t>
            </w:r>
          </w:p>
        </w:tc>
      </w:tr>
      <w:tr>
        <w:trPr>
          <w:cantSplit/>
        </w:trPr>
        <w:tc>
          <w:tcPr>
            <w:tcW w:type="dxa" w:w="1701"/>
            <w:vAlign w:val="center"/>
          </w:tcPr>
          <w:p>
            <w:pPr>
              <w:keepNext w:val="0"/>
              <w:keepLines/>
              <w:spacing w:before="0" w:after="0" w:line="288" w:lineRule="auto"/>
              <w:jc w:val="left"/>
            </w:pPr>
            <w:r>
              <w:rPr>
                <w:rFonts w:ascii="Arial" w:hAnsi="Arial" w:eastAsia="Arial Unicode MS" w:cs="Arial"/>
                <w:b w:val="0"/>
                <w:color w:val="000000"/>
                <w:sz w:val="21"/>
              </w:rPr>
              <w:t>业务义务</w:t>
            </w:r>
          </w:p>
        </w:tc>
        <w:tc>
          <w:tcPr>
            <w:tcW w:type="dxa" w:w="3685"/>
            <w:vAlign w:val="center"/>
          </w:tcPr>
          <w:p>
            <w:pPr>
              <w:keepNext w:val="0"/>
              <w:keepLines/>
              <w:spacing w:before="0" w:after="0" w:line="288" w:lineRule="auto"/>
              <w:jc w:val="left"/>
            </w:pPr>
            <w:r>
              <w:rPr>
                <w:rFonts w:ascii="Arial" w:hAnsi="Arial" w:eastAsia="Arial Unicode MS" w:cs="Arial"/>
                <w:b w:val="0"/>
                <w:color w:val="000000"/>
                <w:sz w:val="21"/>
              </w:rPr>
              <w:t>关闭后自动保存且不丢内容</w:t>
            </w:r>
          </w:p>
        </w:tc>
        <w:tc>
          <w:tcPr>
            <w:tcW w:type="dxa" w:w="4025"/>
            <w:vAlign w:val="center"/>
          </w:tcPr>
          <w:p>
            <w:pPr>
              <w:keepNext w:val="0"/>
              <w:keepLines/>
              <w:spacing w:before="0" w:after="0" w:line="288" w:lineRule="auto"/>
              <w:jc w:val="left"/>
            </w:pPr>
            <w:r>
              <w:rPr>
                <w:rFonts w:ascii="Arial" w:hAnsi="Arial" w:eastAsia="Arial Unicode MS" w:cs="Arial"/>
                <w:b w:val="0"/>
                <w:color w:val="000000"/>
                <w:sz w:val="21"/>
              </w:rPr>
              <w:t>保留结果及必要操作约束</w:t>
            </w:r>
          </w:p>
        </w:tc>
      </w:tr>
      <w:tr>
        <w:trPr>
          <w:cantSplit/>
        </w:trPr>
        <w:tc>
          <w:tcPr>
            <w:tcW w:type="dxa" w:w="1701"/>
            <w:vAlign w:val="center"/>
          </w:tcPr>
          <w:p>
            <w:pPr>
              <w:keepNext w:val="0"/>
              <w:keepLines/>
              <w:spacing w:before="0" w:after="0" w:line="288" w:lineRule="auto"/>
              <w:jc w:val="left"/>
            </w:pPr>
            <w:r>
              <w:rPr>
                <w:rFonts w:ascii="Arial" w:hAnsi="Arial" w:eastAsia="Arial Unicode MS" w:cs="Arial"/>
                <w:b w:val="0"/>
                <w:color w:val="000000"/>
                <w:sz w:val="21"/>
              </w:rPr>
              <w:t>必要界面语义</w:t>
            </w:r>
          </w:p>
        </w:tc>
        <w:tc>
          <w:tcPr>
            <w:tcW w:type="dxa" w:w="3685"/>
            <w:vAlign w:val="center"/>
          </w:tcPr>
          <w:p>
            <w:pPr>
              <w:keepNext w:val="0"/>
              <w:keepLines/>
              <w:spacing w:before="0" w:after="0" w:line="288" w:lineRule="auto"/>
              <w:jc w:val="left"/>
            </w:pPr>
            <w:r>
              <w:rPr>
                <w:rFonts w:ascii="Arial" w:hAnsi="Arial" w:eastAsia="Arial Unicode MS" w:cs="Arial"/>
                <w:b w:val="0"/>
                <w:color w:val="000000"/>
                <w:sz w:val="21"/>
              </w:rPr>
              <w:t>能识别标签选择入口和目标对象</w:t>
            </w:r>
          </w:p>
        </w:tc>
        <w:tc>
          <w:tcPr>
            <w:tcW w:type="dxa" w:w="4025"/>
            <w:vAlign w:val="center"/>
          </w:tcPr>
          <w:p>
            <w:pPr>
              <w:keepNext w:val="0"/>
              <w:keepLines/>
              <w:spacing w:before="0" w:after="0" w:line="288" w:lineRule="auto"/>
              <w:jc w:val="left"/>
            </w:pPr>
            <w:r>
              <w:rPr>
                <w:rFonts w:ascii="Arial" w:hAnsi="Arial" w:eastAsia="Arial Unicode MS" w:cs="Arial"/>
                <w:b w:val="0"/>
                <w:color w:val="000000"/>
                <w:sz w:val="21"/>
              </w:rPr>
              <w:t>保留含义与可操作性</w:t>
            </w:r>
          </w:p>
        </w:tc>
      </w:tr>
      <w:tr>
        <w:trPr>
          <w:cantSplit/>
        </w:trPr>
        <w:tc>
          <w:tcPr>
            <w:tcW w:type="dxa" w:w="1701"/>
            <w:vAlign w:val="center"/>
          </w:tcPr>
          <w:p>
            <w:pPr>
              <w:keepNext w:val="0"/>
              <w:keepLines/>
              <w:spacing w:before="0" w:after="0" w:line="288" w:lineRule="auto"/>
              <w:jc w:val="left"/>
            </w:pPr>
            <w:r>
              <w:rPr>
                <w:rFonts w:ascii="Arial" w:hAnsi="Arial" w:eastAsia="Arial Unicode MS" w:cs="Arial"/>
                <w:b w:val="0"/>
                <w:color w:val="000000"/>
                <w:sz w:val="21"/>
              </w:rPr>
              <w:t>可变表达</w:t>
            </w:r>
          </w:p>
        </w:tc>
        <w:tc>
          <w:tcPr>
            <w:tcW w:type="dxa" w:w="3685"/>
            <w:vAlign w:val="center"/>
          </w:tcPr>
          <w:p>
            <w:pPr>
              <w:keepNext w:val="0"/>
              <w:keepLines/>
              <w:spacing w:before="0" w:after="0" w:line="288" w:lineRule="auto"/>
              <w:jc w:val="left"/>
            </w:pPr>
            <w:r>
              <w:rPr>
                <w:rFonts w:ascii="Arial" w:hAnsi="Arial" w:eastAsia="Arial Unicode MS" w:cs="Arial"/>
                <w:b w:val="0"/>
                <w:color w:val="000000"/>
                <w:sz w:val="21"/>
              </w:rPr>
              <w:t>checkbox 或 chips，卡片或列表</w:t>
            </w:r>
          </w:p>
        </w:tc>
        <w:tc>
          <w:tcPr>
            <w:tcW w:type="dxa" w:w="4025"/>
            <w:vAlign w:val="center"/>
          </w:tcPr>
          <w:p>
            <w:pPr>
              <w:keepNext w:val="0"/>
              <w:keepLines/>
              <w:spacing w:before="0" w:after="0" w:line="288" w:lineRule="auto"/>
              <w:jc w:val="left"/>
            </w:pPr>
            <w:r>
              <w:rPr>
                <w:rFonts w:ascii="Arial" w:hAnsi="Arial" w:eastAsia="Arial Unicode MS" w:cs="Arial"/>
                <w:b w:val="0"/>
                <w:color w:val="000000"/>
                <w:sz w:val="21"/>
              </w:rPr>
              <w:t>允许经过核验的等价表达</w:t>
            </w:r>
          </w:p>
        </w:tc>
      </w:tr>
      <w:tr>
        <w:trPr>
          <w:cantSplit/>
        </w:trPr>
        <w:tc>
          <w:tcPr>
            <w:tcW w:type="dxa" w:w="1701"/>
            <w:vAlign w:val="center"/>
          </w:tcPr>
          <w:p>
            <w:pPr>
              <w:keepNext w:val="0"/>
              <w:keepLines/>
              <w:spacing w:before="0" w:after="0" w:line="288" w:lineRule="auto"/>
              <w:jc w:val="left"/>
            </w:pPr>
            <w:r>
              <w:rPr>
                <w:rFonts w:ascii="Arial" w:hAnsi="Arial" w:eastAsia="Arial Unicode MS" w:cs="Arial"/>
                <w:b w:val="0"/>
                <w:color w:val="000000"/>
                <w:sz w:val="21"/>
              </w:rPr>
              <w:t>自动化接入约定</w:t>
            </w:r>
          </w:p>
        </w:tc>
        <w:tc>
          <w:tcPr>
            <w:tcW w:type="dxa" w:w="3685"/>
            <w:vAlign w:val="center"/>
          </w:tcPr>
          <w:p>
            <w:pPr>
              <w:keepNext w:val="0"/>
              <w:keepLines/>
              <w:spacing w:before="0" w:after="0" w:line="288" w:lineRule="auto"/>
              <w:jc w:val="left"/>
            </w:pPr>
            <w:r>
              <w:rPr>
                <w:rFonts w:ascii="Arial" w:hAnsi="Arial" w:eastAsia="Arial Unicode MS" w:cs="Arial"/>
                <w:b w:val="0"/>
                <w:color w:val="000000"/>
                <w:sz w:val="21"/>
              </w:rPr>
              <w:t>固定 test ID 或绑定清单</w:t>
            </w:r>
          </w:p>
        </w:tc>
        <w:tc>
          <w:tcPr>
            <w:tcW w:type="dxa" w:w="4025"/>
            <w:vAlign w:val="center"/>
          </w:tcPr>
          <w:p>
            <w:pPr>
              <w:keepNext w:val="0"/>
              <w:keepLines/>
              <w:spacing w:before="0" w:after="0" w:line="288" w:lineRule="auto"/>
              <w:jc w:val="left"/>
            </w:pPr>
            <w:r>
              <w:rPr>
                <w:rFonts w:ascii="Arial" w:hAnsi="Arial" w:eastAsia="Arial Unicode MS" w:cs="Arial"/>
                <w:b w:val="0"/>
                <w:color w:val="000000"/>
                <w:sz w:val="21"/>
              </w:rPr>
              <w:t>单独登记成本，不冒充业务要求</w:t>
            </w:r>
          </w:p>
        </w:tc>
      </w:tr>
      <w:tr>
        <w:trPr>
          <w:cantSplit/>
        </w:trPr>
        <w:tc>
          <w:tcPr>
            <w:tcW w:type="dxa" w:w="1701"/>
            <w:vAlign w:val="center"/>
          </w:tcPr>
          <w:p>
            <w:pPr>
              <w:keepNext w:val="0"/>
              <w:keepLines/>
              <w:spacing w:before="0" w:after="0" w:line="288" w:lineRule="auto"/>
              <w:jc w:val="left"/>
            </w:pPr>
            <w:r>
              <w:rPr>
                <w:rFonts w:ascii="Arial" w:hAnsi="Arial" w:eastAsia="Arial Unicode MS" w:cs="Arial"/>
                <w:b w:val="0"/>
                <w:color w:val="000000"/>
                <w:sz w:val="21"/>
              </w:rPr>
              <w:t>未决条款</w:t>
            </w:r>
          </w:p>
        </w:tc>
        <w:tc>
          <w:tcPr>
            <w:tcW w:type="dxa" w:w="3685"/>
            <w:vAlign w:val="center"/>
          </w:tcPr>
          <w:p>
            <w:pPr>
              <w:keepNext w:val="0"/>
              <w:keepLines/>
              <w:spacing w:before="0" w:after="0" w:line="288" w:lineRule="auto"/>
              <w:jc w:val="left"/>
            </w:pPr>
            <w:r>
              <w:rPr>
                <w:rFonts w:ascii="Arial" w:hAnsi="Arial" w:eastAsia="Arial Unicode MS" w:cs="Arial"/>
                <w:b w:val="0"/>
                <w:color w:val="000000"/>
                <w:sz w:val="21"/>
              </w:rPr>
              <w:t>“关闭”是否要求整个区域消失</w:t>
            </w:r>
          </w:p>
        </w:tc>
        <w:tc>
          <w:tcPr>
            <w:tcW w:type="dxa" w:w="4025"/>
            <w:vAlign w:val="center"/>
          </w:tcPr>
          <w:p>
            <w:pPr>
              <w:keepNext w:val="0"/>
              <w:keepLines/>
              <w:spacing w:before="0" w:after="0" w:line="288" w:lineRule="auto"/>
              <w:jc w:val="left"/>
            </w:pPr>
            <w:r>
              <w:rPr>
                <w:rFonts w:ascii="Arial" w:hAnsi="Arial" w:eastAsia="Arial Unicode MS" w:cs="Arial"/>
                <w:b w:val="0"/>
                <w:color w:val="000000"/>
                <w:sz w:val="21"/>
              </w:rPr>
              <w:t>裁决前不形成确定标签</w:t>
            </w:r>
          </w:p>
        </w:tc>
      </w:tr>
    </w:tbl>
    <w:p>
      <w:pPr>
        <w:spacing w:after="80" w:before="0" w:line="20" w:lineRule="exact"/>
      </w:pPr>
      <w:r>
        <w:rPr>
          <w:rFonts w:ascii="Arial" w:hAnsi="Arial" w:eastAsia="Arial Unicode MS" w:cs="Arial"/>
          <w:color w:val="000000"/>
          <w:sz w:val="2"/>
        </w:rPr>
      </w:r>
    </w:p>
    <w:p>
      <w:r>
        <w:rPr>
          <w:rFonts w:ascii="Arial" w:hAnsi="Arial" w:eastAsia="Arial Unicode MS" w:cs="Arial"/>
          <w:b w:val="0"/>
          <w:color w:val="000000"/>
        </w:rPr>
        <w:t>新契约记为 B1。它从旧 S1 审计而来，逐项记录沿用、纠正、放宽和补充解释。每项变更必须写明原文、用户意图、保留义务、核验方式及受影响单位。修订解释可能改变旧单位标签，因此旧指标与 B1 指标不可直接混算。</w:t>
      </w:r>
    </w:p>
    <w:p>
      <w:r>
        <w:rPr>
          <w:rFonts w:ascii="Arial" w:hAnsi="Arial" w:eastAsia="Arial Unicode MS" w:cs="Arial"/>
          <w:b w:val="0"/>
          <w:color w:val="000000"/>
        </w:rPr>
        <w:t>不要为某个实现专门豁免业务要求。例如原文要求关闭即保存，就不能允许驱动额外点 Save；要求关键词高亮，就不能因为某组件难以提取而只检查文本存在。若决定改变产品要求，应作为独立的规格版本，不能算评测器修复。</w:t>
      </w:r>
    </w:p>
    <w:p>
      <w:pPr>
        <w:pStyle w:val="Heading2"/>
      </w:pPr>
      <w:r>
        <w:rPr>
          <w:rFonts w:ascii="Arial" w:hAnsi="Arial" w:eastAsia="Arial Unicode MS" w:cs="Arial"/>
          <w:b w:val="0"/>
          <w:color w:val="000000"/>
        </w:rPr>
        <w:t>3.2 重新审查判据中的界面假设</w:t>
      </w:r>
    </w:p>
    <w:p>
      <w:r>
        <w:rPr>
          <w:rFonts w:ascii="Arial" w:hAnsi="Arial" w:eastAsia="Arial Unicode MS" w:cs="Arial"/>
          <w:b w:val="0"/>
          <w:color w:val="000000"/>
        </w:rPr>
        <w:t>冻结判据发生在需求审查之后。已有 oracle 文件也可能包含错误假设，允许纠正，但须留下语义差异和回归证据。</w:t>
      </w:r>
    </w:p>
    <w:p>
      <w:r>
        <w:rPr>
          <w:rFonts w:ascii="Arial" w:hAnsi="Arial" w:eastAsia="Arial Unicode MS" w:cs="Arial"/>
          <w:b w:val="0"/>
          <w:color w:val="000000"/>
        </w:rPr>
        <w:t>“编辑器关闭”应先明确可观察含义：当前笔记的编辑交互已结束，相关编辑控件不再作为活动编辑界面呈现；可能仍保留外层布局或新建入口。若需求明确要求整个编辑区域消失，应按原要求核验。不能简单以某个推测出的祖先节点是否可见代替全部含义。</w:t>
      </w:r>
    </w:p>
    <w:p>
      <w:r>
        <w:rPr>
          <w:rFonts w:ascii="Arial" w:hAnsi="Arial" w:eastAsia="Arial Unicode MS" w:cs="Arial"/>
          <w:b w:val="0"/>
          <w:color w:val="000000"/>
        </w:rPr>
        <w:t>搜索场景中的准备操作与搜索义务分开记录。如果创建笔记本身失败，记录前置流程失败和搜索未完成，不能直接断言搜索算法错误。需要时增加独立的受控夹具测试来诊断搜索，但它只能补充测试，不能替代原本要求的完整 UI 场景。</w:t>
      </w:r>
    </w:p>
    <w:p>
      <w:pPr>
        <w:pStyle w:val="Heading2"/>
      </w:pPr>
      <w:r>
        <w:rPr>
          <w:rFonts w:ascii="Arial" w:hAnsi="Arial" w:eastAsia="Arial Unicode MS" w:cs="Arial"/>
          <w:b w:val="0"/>
          <w:color w:val="000000"/>
        </w:rPr>
        <w:t>3.3 人工核验材料标签</w:t>
      </w:r>
    </w:p>
    <w:p>
      <w:r>
        <w:rPr>
          <w:rFonts w:ascii="Arial" w:hAnsi="Arial" w:eastAsia="Arial Unicode MS" w:cs="Arial"/>
          <w:b w:val="0"/>
          <w:color w:val="000000"/>
        </w:rPr>
        <w:t xml:space="preserve">先按 </w:t>
      </w:r>
      <w:hyperlink r:id="rId11">
        <w:r>
          <w:rPr>
            <w:rFonts w:ascii="Arial" w:hAnsi="Arial" w:eastAsia="Arial Unicode MS"/>
            <w:color w:val="1F4E79"/>
            <w:u w:val="single"/>
          </w:rPr>
          <w:t>人工裁决包</w:t>
        </w:r>
      </w:hyperlink>
      <w:r>
        <w:rPr>
          <w:rFonts w:ascii="Arial" w:hAnsi="Arial" w:eastAsia="Arial Unicode MS" w:cs="Arial"/>
          <w:b w:val="0"/>
          <w:color w:val="000000"/>
        </w:rPr>
        <w:t xml:space="preserve"> 完成标签检查，优先处理 Cpilot-keep REQ-4.1 和 R1 至 R3。通过已有截图、动作日志及必要的交互复现，核对业务义务，而不是直接采纳原测试或另一个模型的结论。</w:t>
      </w:r>
    </w:p>
    <w:p>
      <w:r>
        <w:rPr>
          <w:rFonts w:ascii="Arial" w:hAnsi="Arial" w:eastAsia="Arial Unicode MS" w:cs="Arial"/>
          <w:b w:val="0"/>
          <w:color w:val="000000"/>
        </w:rPr>
        <w:t>正确单位需逐项满足 B1 义务。缺陷单位需有明确目标义务、能复现的违约证据，以及经确认正确的父本。若父本被改判为有缺陷，其配对先置为未决，不得继续把该配对当作有效负例。修复产品会产生新的材料版本，须重新核验。</w:t>
      </w:r>
    </w:p>
    <w:p>
      <w:r>
        <w:rPr>
          <w:rFonts w:ascii="Arial" w:hAnsi="Arial" w:eastAsia="Arial Unicode MS" w:cs="Arial"/>
          <w:b w:val="0"/>
          <w:color w:val="000000"/>
        </w:rPr>
        <w:t>由执行者完成初审，另一位人工复核者确认争议和验收材料。若暂时只有一人，可以推进工程诊断，但保留单人核验标记，不宣称已经独立验证。未决材料继续出现在材料账本中，并披露其对目标覆盖的影响。</w:t>
      </w:r>
    </w:p>
    <w:p>
      <w:pPr>
        <w:pStyle w:val="Heading1"/>
      </w:pPr>
      <w:r>
        <w:rPr>
          <w:rFonts w:ascii="Arial" w:hAnsi="Arial" w:eastAsia="Arial Unicode MS" w:cs="Arial"/>
          <w:b w:val="0"/>
          <w:color w:val="000000"/>
        </w:rPr>
        <w:t>4 三个必须解释的复现案例</w:t>
      </w:r>
    </w:p>
    <w:p>
      <w:pPr>
        <w:keepNext/>
        <w:spacing w:before="100" w:after="100"/>
      </w:pPr>
      <w:r>
        <w:rPr>
          <w:rFonts w:ascii="Arial" w:hAnsi="Arial" w:eastAsia="Arial Unicode MS" w:cs="Arial"/>
          <w:b/>
          <w:color w:val="000000"/>
          <w:sz w:val="21"/>
        </w:rPr>
        <w:t>表 2　首轮诊断任务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95" w:type="dxa"/>
          <w:bottom w:w="85" w:type="dxa"/>
          <w:right w:w="95" w:type="dxa"/>
        </w:tblCellMar>
      </w:tblPr>
      <w:tblGrid>
        <w:gridCol w:w="1814"/>
        <w:gridCol w:w="2041"/>
        <w:gridCol w:w="3005"/>
        <w:gridCol w:w="2551"/>
      </w:tblGrid>
      <w:tr>
        <w:trPr>
          <w:cantSplit/>
          <w:tblHeader/>
        </w:trPr>
        <w:tc>
          <w:tcPr>
            <w:tcW w:type="dxa" w:w="1814"/>
            <w:vAlign w:val="center"/>
            <w:shd w:fill="E8EDF2" w:val="clear"/>
          </w:tcPr>
          <w:p>
            <w:pPr>
              <w:keepNext/>
              <w:keepLines/>
              <w:spacing w:before="0" w:after="0" w:line="288" w:lineRule="auto"/>
              <w:jc w:val="left"/>
            </w:pPr>
            <w:r>
              <w:rPr>
                <w:rFonts w:ascii="Arial" w:hAnsi="Arial" w:eastAsia="Arial Unicode MS" w:cs="Arial"/>
                <w:b/>
                <w:color w:val="000000"/>
                <w:sz w:val="21"/>
              </w:rPr>
              <w:t>案例</w:t>
            </w:r>
          </w:p>
        </w:tc>
        <w:tc>
          <w:tcPr>
            <w:tcW w:type="dxa" w:w="2041"/>
            <w:vAlign w:val="center"/>
            <w:shd w:fill="E8EDF2" w:val="clear"/>
          </w:tcPr>
          <w:p>
            <w:pPr>
              <w:keepNext/>
              <w:keepLines/>
              <w:spacing w:before="0" w:after="0" w:line="288" w:lineRule="auto"/>
              <w:jc w:val="left"/>
            </w:pPr>
            <w:r>
              <w:rPr>
                <w:rFonts w:ascii="Arial" w:hAnsi="Arial" w:eastAsia="Arial Unicode MS" w:cs="Arial"/>
                <w:b/>
                <w:color w:val="000000"/>
                <w:sz w:val="21"/>
              </w:rPr>
              <w:t>已知症状</w:t>
            </w:r>
          </w:p>
        </w:tc>
        <w:tc>
          <w:tcPr>
            <w:tcW w:type="dxa" w:w="3005"/>
            <w:vAlign w:val="center"/>
            <w:shd w:fill="E8EDF2" w:val="clear"/>
          </w:tcPr>
          <w:p>
            <w:pPr>
              <w:keepNext/>
              <w:keepLines/>
              <w:spacing w:before="0" w:after="0" w:line="288" w:lineRule="auto"/>
              <w:jc w:val="left"/>
            </w:pPr>
            <w:r>
              <w:rPr>
                <w:rFonts w:ascii="Arial" w:hAnsi="Arial" w:eastAsia="Arial Unicode MS" w:cs="Arial"/>
                <w:b/>
                <w:color w:val="000000"/>
                <w:sz w:val="21"/>
              </w:rPr>
              <w:t>需要验证的机制</w:t>
            </w:r>
          </w:p>
        </w:tc>
        <w:tc>
          <w:tcPr>
            <w:tcW w:type="dxa" w:w="2551"/>
            <w:vAlign w:val="center"/>
            <w:shd w:fill="E8EDF2" w:val="clear"/>
          </w:tcPr>
          <w:p>
            <w:pPr>
              <w:keepNext/>
              <w:keepLines/>
              <w:spacing w:before="0" w:after="0" w:line="288" w:lineRule="auto"/>
              <w:jc w:val="left"/>
            </w:pPr>
            <w:r>
              <w:rPr>
                <w:rFonts w:ascii="Arial" w:hAnsi="Arial" w:eastAsia="Arial Unicode MS" w:cs="Arial"/>
                <w:b/>
                <w:color w:val="000000"/>
                <w:sz w:val="21"/>
              </w:rPr>
              <w:t>修复证据</w:t>
            </w:r>
          </w:p>
        </w:tc>
      </w:tr>
      <w:tr>
        <w:trPr>
          <w:cantSplit/>
        </w:trPr>
        <w:tc>
          <w:tcPr>
            <w:tcW w:type="dxa" w:w="1814"/>
            <w:vAlign w:val="center"/>
          </w:tcPr>
          <w:p>
            <w:pPr>
              <w:keepNext w:val="0"/>
              <w:keepLines/>
              <w:spacing w:before="0" w:after="0" w:line="288" w:lineRule="auto"/>
              <w:jc w:val="left"/>
            </w:pPr>
            <w:r>
              <w:rPr>
                <w:rFonts w:ascii="Arial" w:hAnsi="Arial" w:eastAsia="Arial Unicode MS" w:cs="Arial"/>
                <w:b w:val="0"/>
                <w:color w:val="000000"/>
                <w:sz w:val="21"/>
              </w:rPr>
              <w:t>B-keep REQ-4.1</w:t>
            </w:r>
          </w:p>
        </w:tc>
        <w:tc>
          <w:tcPr>
            <w:tcW w:type="dxa" w:w="2041"/>
            <w:vAlign w:val="center"/>
          </w:tcPr>
          <w:p>
            <w:pPr>
              <w:keepNext w:val="0"/>
              <w:keepLines/>
              <w:spacing w:before="0" w:after="0" w:line="288" w:lineRule="auto"/>
              <w:jc w:val="left"/>
            </w:pPr>
            <w:r>
              <w:rPr>
                <w:rFonts w:ascii="Arial" w:hAnsi="Arial" w:eastAsia="Arial Unicode MS" w:cs="Arial"/>
                <w:b w:val="0"/>
                <w:color w:val="000000"/>
                <w:sz w:val="21"/>
              </w:rPr>
              <w:t>标签选项无法适配</w:t>
            </w:r>
          </w:p>
        </w:tc>
        <w:tc>
          <w:tcPr>
            <w:tcW w:type="dxa" w:w="3005"/>
            <w:vAlign w:val="center"/>
          </w:tcPr>
          <w:p>
            <w:pPr>
              <w:keepNext w:val="0"/>
              <w:keepLines/>
              <w:spacing w:before="0" w:after="0" w:line="288" w:lineRule="auto"/>
              <w:jc w:val="left"/>
            </w:pPr>
            <w:r>
              <w:rPr>
                <w:rFonts w:ascii="Arial" w:hAnsi="Arial" w:eastAsia="Arial Unicode MS" w:cs="Arial"/>
                <w:b w:val="0"/>
                <w:color w:val="000000"/>
                <w:sz w:val="21"/>
              </w:rPr>
              <w:t>对象识别、选项作用域、组件操作方式</w:t>
            </w:r>
          </w:p>
        </w:tc>
        <w:tc>
          <w:tcPr>
            <w:tcW w:type="dxa" w:w="2551"/>
            <w:vAlign w:val="center"/>
          </w:tcPr>
          <w:p>
            <w:pPr>
              <w:keepNext w:val="0"/>
              <w:keepLines/>
              <w:spacing w:before="0" w:after="0" w:line="288" w:lineRule="auto"/>
              <w:jc w:val="left"/>
            </w:pPr>
            <w:r>
              <w:rPr>
                <w:rFonts w:ascii="Arial" w:hAnsi="Arial" w:eastAsia="Arial Unicode MS" w:cs="Arial"/>
                <w:b w:val="0"/>
                <w:color w:val="000000"/>
                <w:sz w:val="21"/>
              </w:rPr>
              <w:t>目标标签确实选中且过滤正确</w:t>
            </w:r>
          </w:p>
        </w:tc>
      </w:tr>
      <w:tr>
        <w:trPr>
          <w:cantSplit/>
        </w:trPr>
        <w:tc>
          <w:tcPr>
            <w:tcW w:type="dxa" w:w="1814"/>
            <w:vAlign w:val="center"/>
          </w:tcPr>
          <w:p>
            <w:pPr>
              <w:keepNext w:val="0"/>
              <w:keepLines/>
              <w:spacing w:before="0" w:after="0" w:line="288" w:lineRule="auto"/>
              <w:jc w:val="left"/>
            </w:pPr>
            <w:r>
              <w:rPr>
                <w:rFonts w:ascii="Arial" w:hAnsi="Arial" w:eastAsia="Arial Unicode MS" w:cs="Arial"/>
                <w:b w:val="0"/>
                <w:color w:val="000000"/>
                <w:sz w:val="21"/>
              </w:rPr>
              <w:t>Dpilot-bookstack REQ-6.4</w:t>
            </w:r>
          </w:p>
        </w:tc>
        <w:tc>
          <w:tcPr>
            <w:tcW w:type="dxa" w:w="2041"/>
            <w:vAlign w:val="center"/>
          </w:tcPr>
          <w:p>
            <w:pPr>
              <w:keepNext w:val="0"/>
              <w:keepLines/>
              <w:spacing w:before="0" w:after="0" w:line="288" w:lineRule="auto"/>
              <w:jc w:val="left"/>
            </w:pPr>
            <w:r>
              <w:rPr>
                <w:rFonts w:ascii="Arial" w:hAnsi="Arial" w:eastAsia="Arial Unicode MS" w:cs="Arial"/>
                <w:b w:val="0"/>
                <w:color w:val="000000"/>
                <w:sz w:val="21"/>
              </w:rPr>
              <w:t>Tags 字段无法适配</w:t>
            </w:r>
          </w:p>
        </w:tc>
        <w:tc>
          <w:tcPr>
            <w:tcW w:type="dxa" w:w="3005"/>
            <w:vAlign w:val="center"/>
          </w:tcPr>
          <w:p>
            <w:pPr>
              <w:keepNext w:val="0"/>
              <w:keepLines/>
              <w:spacing w:before="0" w:after="0" w:line="288" w:lineRule="auto"/>
              <w:jc w:val="left"/>
            </w:pPr>
            <w:r>
              <w:rPr>
                <w:rFonts w:ascii="Arial" w:hAnsi="Arial" w:eastAsia="Arial Unicode MS" w:cs="Arial"/>
                <w:b w:val="0"/>
                <w:color w:val="000000"/>
                <w:sz w:val="21"/>
              </w:rPr>
              <w:t>字段含义与输入方式是否可由用户识别</w:t>
            </w:r>
          </w:p>
        </w:tc>
        <w:tc>
          <w:tcPr>
            <w:tcW w:type="dxa" w:w="2551"/>
            <w:vAlign w:val="center"/>
          </w:tcPr>
          <w:p>
            <w:pPr>
              <w:keepNext w:val="0"/>
              <w:keepLines/>
              <w:spacing w:before="0" w:after="0" w:line="288" w:lineRule="auto"/>
              <w:jc w:val="left"/>
            </w:pPr>
            <w:r>
              <w:rPr>
                <w:rFonts w:ascii="Arial" w:hAnsi="Arial" w:eastAsia="Arial Unicode MS" w:cs="Arial"/>
                <w:b w:val="0"/>
                <w:color w:val="000000"/>
                <w:sz w:val="21"/>
              </w:rPr>
              <w:t>正确填入标签且后续页面场景完成</w:t>
            </w:r>
          </w:p>
        </w:tc>
      </w:tr>
      <w:tr>
        <w:trPr>
          <w:cantSplit/>
        </w:trPr>
        <w:tc>
          <w:tcPr>
            <w:tcW w:type="dxa" w:w="1814"/>
            <w:vAlign w:val="center"/>
          </w:tcPr>
          <w:p>
            <w:pPr>
              <w:keepNext w:val="0"/>
              <w:keepLines/>
              <w:spacing w:before="0" w:after="0" w:line="288" w:lineRule="auto"/>
              <w:jc w:val="left"/>
            </w:pPr>
            <w:r>
              <w:rPr>
                <w:rFonts w:ascii="Arial" w:hAnsi="Arial" w:eastAsia="Arial Unicode MS" w:cs="Arial"/>
                <w:b w:val="0"/>
                <w:color w:val="000000"/>
                <w:sz w:val="21"/>
              </w:rPr>
              <w:t>Cpilot-keep REQ-4.1</w:t>
            </w:r>
          </w:p>
        </w:tc>
        <w:tc>
          <w:tcPr>
            <w:tcW w:type="dxa" w:w="2041"/>
            <w:vAlign w:val="center"/>
          </w:tcPr>
          <w:p>
            <w:pPr>
              <w:keepNext w:val="0"/>
              <w:keepLines/>
              <w:spacing w:before="0" w:after="0" w:line="288" w:lineRule="auto"/>
              <w:jc w:val="left"/>
            </w:pPr>
            <w:r>
              <w:rPr>
                <w:rFonts w:ascii="Arial" w:hAnsi="Arial" w:eastAsia="Arial Unicode MS" w:cs="Arial"/>
                <w:b w:val="0"/>
                <w:color w:val="000000"/>
                <w:sz w:val="21"/>
              </w:rPr>
              <w:t>关闭后报告编辑器仍显示</w:t>
            </w:r>
          </w:p>
        </w:tc>
        <w:tc>
          <w:tcPr>
            <w:tcW w:type="dxa" w:w="3005"/>
            <w:vAlign w:val="center"/>
          </w:tcPr>
          <w:p>
            <w:pPr>
              <w:keepNext w:val="0"/>
              <w:keepLines/>
              <w:spacing w:before="0" w:after="0" w:line="288" w:lineRule="auto"/>
              <w:jc w:val="left"/>
            </w:pPr>
            <w:r>
              <w:rPr>
                <w:rFonts w:ascii="Arial" w:hAnsi="Arial" w:eastAsia="Arial Unicode MS" w:cs="Arial"/>
                <w:b w:val="0"/>
                <w:color w:val="000000"/>
                <w:sz w:val="21"/>
              </w:rPr>
              <w:t>真实未关闭、祖先误绑定或状态观察错误</w:t>
            </w:r>
          </w:p>
        </w:tc>
        <w:tc>
          <w:tcPr>
            <w:tcW w:type="dxa" w:w="2551"/>
            <w:vAlign w:val="center"/>
          </w:tcPr>
          <w:p>
            <w:pPr>
              <w:keepNext w:val="0"/>
              <w:keepLines/>
              <w:spacing w:before="0" w:after="0" w:line="288" w:lineRule="auto"/>
              <w:jc w:val="left"/>
            </w:pPr>
            <w:r>
              <w:rPr>
                <w:rFonts w:ascii="Arial" w:hAnsi="Arial" w:eastAsia="Arial Unicode MS" w:cs="Arial"/>
                <w:b w:val="0"/>
                <w:color w:val="000000"/>
                <w:sz w:val="21"/>
              </w:rPr>
              <w:t>动作前后证据与人工结论一致</w:t>
            </w:r>
          </w:p>
        </w:tc>
      </w:tr>
    </w:tbl>
    <w:p>
      <w:pPr>
        <w:spacing w:after="80" w:before="0" w:line="20" w:lineRule="exact"/>
      </w:pPr>
      <w:r>
        <w:rPr>
          <w:rFonts w:ascii="Arial" w:hAnsi="Arial" w:eastAsia="Arial Unicode MS" w:cs="Arial"/>
          <w:color w:val="000000"/>
          <w:sz w:val="2"/>
        </w:rPr>
      </w:r>
    </w:p>
    <w:p>
      <w:r>
        <w:rPr>
          <w:rFonts w:ascii="Arial" w:hAnsi="Arial" w:eastAsia="Arial Unicode MS" w:cs="Arial"/>
          <w:b w:val="0"/>
          <w:color w:val="000000"/>
        </w:rPr>
        <w:t>每个案例执行同一诊断顺序：确认产品版本与标签；由人完成场景并记录可观察行为；回放原测试定位失败步骤；检查绑定、动作、观察和判据的输入输出；形成最小可复现记录；只修改承担错误的层；回放正确父本与对应缺陷。</w:t>
      </w:r>
    </w:p>
    <w:p>
      <w:r>
        <w:rPr>
          <w:rFonts w:ascii="Arial" w:hAnsi="Arial" w:eastAsia="Arial Unicode MS" w:cs="Arial"/>
          <w:b w:val="0"/>
          <w:color w:val="000000"/>
        </w:rPr>
        <w:t>人工也无法操作或结果确实错误时，不通过增加适配代码强行放行。存在多个同名控件时，应利用业务对象和作用域消歧，不使用任意 first/nth 选择来获取偶然通过。前置动作失败与目标义务失败分别归因。</w:t>
      </w:r>
    </w:p>
    <w:p>
      <w:r>
        <w:rPr>
          <w:rFonts w:ascii="Arial" w:hAnsi="Arial" w:eastAsia="Arial Unicode MS" w:cs="Arial"/>
          <w:b w:val="0"/>
          <w:color w:val="000000"/>
        </w:rPr>
        <w:t>三个案例的完成标准是“机制已确认且处理合理”，不预设三个暂定正确实现必须全部通过。若其中有真实缺陷，继续拒绝并提供证据就是正确处理。</w:t>
      </w:r>
    </w:p>
    <w:p>
      <w:pPr>
        <w:pStyle w:val="Heading1"/>
      </w:pPr>
      <w:r>
        <w:rPr>
          <w:rFonts w:ascii="Arial" w:hAnsi="Arial" w:eastAsia="Arial Unicode MS" w:cs="Arial"/>
          <w:b w:val="0"/>
          <w:color w:val="000000"/>
        </w:rPr>
        <w:t>5 评测器的实现方案</w:t>
      </w:r>
    </w:p>
    <w:p>
      <w:pPr>
        <w:pStyle w:val="Heading2"/>
      </w:pPr>
      <w:r>
        <w:rPr>
          <w:rFonts w:ascii="Arial" w:hAnsi="Arial" w:eastAsia="Arial Unicode MS" w:cs="Arial"/>
          <w:b w:val="0"/>
          <w:color w:val="000000"/>
        </w:rPr>
        <w:t>5.1 业务场景与界面驱动分开</w:t>
      </w:r>
    </w:p>
    <w:p>
      <w:r>
        <w:rPr>
          <w:rFonts w:ascii="Arial" w:hAnsi="Arial" w:eastAsia="Arial Unicode MS" w:cs="Arial"/>
          <w:b w:val="0"/>
          <w:color w:val="000000"/>
        </w:rPr>
        <w:t>将执行链定义为：完整业务场景 → 语义操作 → 界面绑定与控件驱动 → 浏览器操作 → 有来源的观察值 → 业务判据。业务场景不直接依赖具体组件库。</w:t>
      </w:r>
    </w:p>
    <w:p>
      <w:r>
        <w:rPr>
          <w:rFonts w:ascii="Arial" w:hAnsi="Arial" w:eastAsia="Arial Unicode MS" w:cs="Arial"/>
          <w:b w:val="0"/>
          <w:color w:val="000000"/>
        </w:rPr>
        <w:t>建议能力接口包括 openNoteEditor、enterNoteContent、dismissNoteEditor、selectLabel、searchNotes、openPage、readVisibleNotes 和 readEditorFields。它们是拟实现的项目接口，不是 Playwright 或第三方 SDK 的现成 API。</w:t>
      </w:r>
    </w:p>
    <w:p>
      <w:r>
        <w:rPr>
          <w:rFonts w:ascii="Arial" w:hAnsi="Arial" w:eastAsia="Arial Unicode MS" w:cs="Arial"/>
          <w:b w:val="0"/>
          <w:color w:val="000000"/>
        </w:rPr>
        <w:t>控件驱动至少覆盖原生文本输入与 contenteditable、原生选择与自定义选项、chips 增删、卡片与列表记录、弹窗与内联编辑。驱动根据已识别的控件特征选择动作，不根据实现家族 ID、缺陷 ID 或预期成绩分支。允许为明确支持的实现编写专用绑定，但须归入 H 路线并记录维护成本。</w:t>
      </w:r>
    </w:p>
    <w:p>
      <w:r>
        <w:rPr>
          <w:rFonts w:ascii="Arial" w:hAnsi="Arial" w:eastAsia="Arial Unicode MS" w:cs="Arial"/>
          <w:b w:val="0"/>
          <w:color w:val="000000"/>
        </w:rPr>
        <w:t>操作日志记录要执行的业务意图、目标对象、实际控件、动作及前后证据。自动化只能执行场景允许的动作。禁止为自动保存补点 Save、用后端写入替代 UI 创建、失败后偷偷重建对象，或通过多次重复点击直到出现期望结果。</w:t>
      </w:r>
    </w:p>
    <w:p>
      <w:pPr>
        <w:pStyle w:val="Heading2"/>
      </w:pPr>
      <w:r>
        <w:rPr>
          <w:rFonts w:ascii="Arial" w:hAnsi="Arial" w:eastAsia="Arial Unicode MS" w:cs="Arial"/>
          <w:b w:val="0"/>
          <w:color w:val="000000"/>
        </w:rPr>
        <w:t>5.2 观察值必须可追溯</w:t>
      </w:r>
    </w:p>
    <w:p>
      <w:r>
        <w:rPr>
          <w:rFonts w:ascii="Arial" w:hAnsi="Arial" w:eastAsia="Arial Unicode MS" w:cs="Arial"/>
          <w:b w:val="0"/>
          <w:color w:val="000000"/>
        </w:rPr>
        <w:t>观察器返回原始值和来源，不返回“已经符合预期”的自我判断。每项观察至少关联业务对象、字段、DOM 或截图位置、采集时间及确定性状态。模型提取的 JSON 满足 schema，不等于事实正确。</w:t>
      </w:r>
    </w:p>
    <w:p>
      <w:r>
        <w:rPr>
          <w:rFonts w:ascii="Arial" w:hAnsi="Arial" w:eastAsia="Arial Unicode MS" w:cs="Arial"/>
          <w:b w:val="0"/>
          <w:color w:val="000000"/>
        </w:rPr>
        <w:t>例如搜索结果应提取当前结果集合中各条记录的身份、标题和正文片段，再与期望集合比较；不能仅在整页搜索关键词。正文可能存在于编辑区、隐藏模板或旁边另一条记录中，必须校验对象归属与用户可见性。</w:t>
      </w:r>
    </w:p>
    <w:p>
      <w:r>
        <w:rPr>
          <w:rFonts w:ascii="Arial" w:hAnsi="Arial" w:eastAsia="Arial Unicode MS" w:cs="Arial"/>
          <w:b w:val="0"/>
          <w:color w:val="000000"/>
        </w:rPr>
        <w:t>对于高亮、换行或遮挡等视觉义务，可以结合 DOM、计算样式与截图。不得把某个 class 名、mark 标签或任意 CSS 阈值直接当成需求本身。首轮采用人工审定的明确视觉样例；无法自动可靠判断的样例进入复核，而不是删除该义务。</w:t>
      </w:r>
    </w:p>
    <w:p>
      <w:r>
        <w:rPr>
          <w:rFonts w:ascii="Arial" w:hAnsi="Arial" w:eastAsia="Arial Unicode MS" w:cs="Arial"/>
          <w:b w:val="0"/>
          <w:color w:val="000000"/>
        </w:rPr>
        <w:t>若有评测方控制的后端或存储，可增加只读核验来确认持久化及对象数量。它不代替 UI 的可见结果，也不能由被测应用自行返回一个“满足要求”的布尔值。没有可信后端接口时不强加这一依赖。</w:t>
      </w:r>
    </w:p>
    <w:p>
      <w:pPr>
        <w:pStyle w:val="Heading2"/>
      </w:pPr>
      <w:r>
        <w:rPr>
          <w:rFonts w:ascii="Arial" w:hAnsi="Arial" w:eastAsia="Arial Unicode MS" w:cs="Arial"/>
          <w:b w:val="0"/>
          <w:color w:val="000000"/>
        </w:rPr>
        <w:t>5.3 观察错误也要有专门回归</w:t>
      </w:r>
    </w:p>
    <w:p>
      <w:r>
        <w:rPr>
          <w:rFonts w:ascii="Arial" w:hAnsi="Arial" w:eastAsia="Arial Unicode MS" w:cs="Arial"/>
          <w:b w:val="0"/>
          <w:color w:val="000000"/>
        </w:rPr>
        <w:t>为观察器准备干扰样例：页面其他区域出现同样文字、相邻对象包含关键词、隐藏模板包含完整答案、编辑器外壳保留但活动控件已关闭，以及同名动作同时存在。这些是评测器自测，不都属于产品业务缺陷。</w:t>
      </w:r>
    </w:p>
    <w:p>
      <w:r>
        <w:rPr>
          <w:rFonts w:ascii="Arial" w:hAnsi="Arial" w:eastAsia="Arial Unicode MS" w:cs="Arial"/>
          <w:b w:val="0"/>
          <w:color w:val="000000"/>
        </w:rPr>
        <w:t>正确表达回归与业务缺陷回归分别保存。第一类证明不能因换组件而失败；第二类证明修复没有删减判据。另用错误绑定和错读对象样例检查接入协议是否可能让评测器读取伪证据。</w:t>
      </w:r>
    </w:p>
    <w:p>
      <w:pPr>
        <w:pStyle w:val="Heading1"/>
      </w:pPr>
      <w:r>
        <w:rPr>
          <w:rFonts w:ascii="Arial" w:hAnsi="Arial" w:eastAsia="Arial Unicode MS" w:cs="Arial"/>
          <w:b w:val="0"/>
          <w:color w:val="000000"/>
        </w:rPr>
        <w:t>6 比较路线与允许的信息</w:t>
      </w:r>
    </w:p>
    <w:p>
      <w:pPr>
        <w:keepNext/>
        <w:spacing w:before="100" w:after="100"/>
      </w:pPr>
      <w:r>
        <w:rPr>
          <w:rFonts w:ascii="Arial" w:hAnsi="Arial" w:eastAsia="Arial Unicode MS" w:cs="Arial"/>
          <w:b/>
          <w:color w:val="000000"/>
          <w:sz w:val="21"/>
        </w:rPr>
        <w:t>表 3　候选路线及比较范围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95" w:type="dxa"/>
          <w:bottom w:w="85" w:type="dxa"/>
          <w:right w:w="95" w:type="dxa"/>
        </w:tblCellMar>
      </w:tblPr>
      <w:tblGrid>
        <w:gridCol w:w="850"/>
        <w:gridCol w:w="2551"/>
        <w:gridCol w:w="3685"/>
        <w:gridCol w:w="2324"/>
      </w:tblGrid>
      <w:tr>
        <w:trPr>
          <w:cantSplit/>
          <w:tblHeader/>
        </w:trPr>
        <w:tc>
          <w:tcPr>
            <w:tcW w:type="dxa" w:w="850"/>
            <w:vAlign w:val="center"/>
            <w:shd w:fill="E8EDF2" w:val="clear"/>
          </w:tcPr>
          <w:p>
            <w:pPr>
              <w:keepNext/>
              <w:keepLines/>
              <w:spacing w:before="0" w:after="0" w:line="288" w:lineRule="auto"/>
              <w:jc w:val="center"/>
            </w:pPr>
            <w:r>
              <w:rPr>
                <w:rFonts w:ascii="Arial" w:hAnsi="Arial" w:eastAsia="Arial Unicode MS" w:cs="Arial"/>
                <w:b/>
                <w:color w:val="000000"/>
                <w:sz w:val="21"/>
              </w:rPr>
              <w:t>标识</w:t>
            </w:r>
          </w:p>
        </w:tc>
        <w:tc>
          <w:tcPr>
            <w:tcW w:type="dxa" w:w="2551"/>
            <w:vAlign w:val="center"/>
            <w:shd w:fill="E8EDF2" w:val="clear"/>
          </w:tcPr>
          <w:p>
            <w:pPr>
              <w:keepNext/>
              <w:keepLines/>
              <w:spacing w:before="0" w:after="0" w:line="288" w:lineRule="auto"/>
              <w:jc w:val="left"/>
            </w:pPr>
            <w:r>
              <w:rPr>
                <w:rFonts w:ascii="Arial" w:hAnsi="Arial" w:eastAsia="Arial Unicode MS" w:cs="Arial"/>
                <w:b/>
                <w:color w:val="000000"/>
                <w:sz w:val="21"/>
              </w:rPr>
              <w:t>方案</w:t>
            </w:r>
          </w:p>
        </w:tc>
        <w:tc>
          <w:tcPr>
            <w:tcW w:type="dxa" w:w="3685"/>
            <w:vAlign w:val="center"/>
            <w:shd w:fill="E8EDF2" w:val="clear"/>
          </w:tcPr>
          <w:p>
            <w:pPr>
              <w:keepNext/>
              <w:keepLines/>
              <w:spacing w:before="0" w:after="0" w:line="288" w:lineRule="auto"/>
              <w:jc w:val="left"/>
            </w:pPr>
            <w:r>
              <w:rPr>
                <w:rFonts w:ascii="Arial" w:hAnsi="Arial" w:eastAsia="Arial Unicode MS" w:cs="Arial"/>
                <w:b/>
                <w:color w:val="000000"/>
                <w:sz w:val="21"/>
              </w:rPr>
              <w:t>可用信息与成本</w:t>
            </w:r>
          </w:p>
        </w:tc>
        <w:tc>
          <w:tcPr>
            <w:tcW w:type="dxa" w:w="2324"/>
            <w:vAlign w:val="center"/>
            <w:shd w:fill="E8EDF2" w:val="clear"/>
          </w:tcPr>
          <w:p>
            <w:pPr>
              <w:keepNext/>
              <w:keepLines/>
              <w:spacing w:before="0" w:after="0" w:line="288" w:lineRule="auto"/>
              <w:jc w:val="left"/>
            </w:pPr>
            <w:r>
              <w:rPr>
                <w:rFonts w:ascii="Arial" w:hAnsi="Arial" w:eastAsia="Arial Unicode MS" w:cs="Arial"/>
                <w:b/>
                <w:color w:val="000000"/>
                <w:sz w:val="21"/>
              </w:rPr>
              <w:t>用途</w:t>
            </w:r>
          </w:p>
        </w:tc>
      </w:tr>
      <w:tr>
        <w:trPr>
          <w:cantSplit/>
        </w:trPr>
        <w:tc>
          <w:tcPr>
            <w:tcW w:type="dxa" w:w="850"/>
            <w:vAlign w:val="center"/>
          </w:tcPr>
          <w:p>
            <w:pPr>
              <w:keepNext w:val="0"/>
              <w:keepLines/>
              <w:spacing w:before="0" w:after="0" w:line="288" w:lineRule="auto"/>
              <w:jc w:val="center"/>
            </w:pPr>
            <w:r>
              <w:rPr>
                <w:rFonts w:ascii="Arial" w:hAnsi="Arial" w:eastAsia="Arial Unicode MS" w:cs="Arial"/>
                <w:b w:val="0"/>
                <w:color w:val="000000"/>
                <w:sz w:val="21"/>
              </w:rPr>
              <w:t>B</w:t>
            </w:r>
          </w:p>
        </w:tc>
        <w:tc>
          <w:tcPr>
            <w:tcW w:type="dxa" w:w="2551"/>
            <w:vAlign w:val="center"/>
          </w:tcPr>
          <w:p>
            <w:pPr>
              <w:keepNext w:val="0"/>
              <w:keepLines/>
              <w:spacing w:before="0" w:after="0" w:line="288" w:lineRule="auto"/>
              <w:jc w:val="left"/>
            </w:pPr>
            <w:r>
              <w:rPr>
                <w:rFonts w:ascii="Arial" w:hAnsi="Arial" w:eastAsia="Arial Unicode MS" w:cs="Arial"/>
                <w:b w:val="0"/>
                <w:color w:val="000000"/>
                <w:sz w:val="21"/>
              </w:rPr>
              <w:t>对齐 B1 的旧 M0L</w:t>
            </w:r>
          </w:p>
        </w:tc>
        <w:tc>
          <w:tcPr>
            <w:tcW w:type="dxa" w:w="3685"/>
            <w:vAlign w:val="center"/>
          </w:tcPr>
          <w:p>
            <w:pPr>
              <w:keepNext w:val="0"/>
              <w:keepLines/>
              <w:spacing w:before="0" w:after="0" w:line="288" w:lineRule="auto"/>
              <w:jc w:val="left"/>
            </w:pPr>
            <w:r>
              <w:rPr>
                <w:rFonts w:ascii="Arial" w:hAnsi="Arial" w:eastAsia="Arial Unicode MS" w:cs="Arial"/>
                <w:b w:val="0"/>
                <w:color w:val="000000"/>
                <w:sz w:val="21"/>
              </w:rPr>
              <w:t>原适配策略，共用新场景与判据</w:t>
            </w:r>
          </w:p>
        </w:tc>
        <w:tc>
          <w:tcPr>
            <w:tcW w:type="dxa" w:w="2324"/>
            <w:vAlign w:val="center"/>
          </w:tcPr>
          <w:p>
            <w:pPr>
              <w:keepNext w:val="0"/>
              <w:keepLines/>
              <w:spacing w:before="0" w:after="0" w:line="288" w:lineRule="auto"/>
              <w:jc w:val="left"/>
            </w:pPr>
            <w:r>
              <w:rPr>
                <w:rFonts w:ascii="Arial" w:hAnsi="Arial" w:eastAsia="Arial Unicode MS" w:cs="Arial"/>
                <w:b w:val="0"/>
                <w:color w:val="000000"/>
                <w:sz w:val="21"/>
              </w:rPr>
              <w:t>主基线</w:t>
            </w:r>
          </w:p>
        </w:tc>
      </w:tr>
      <w:tr>
        <w:trPr>
          <w:cantSplit/>
        </w:trPr>
        <w:tc>
          <w:tcPr>
            <w:tcW w:type="dxa" w:w="850"/>
            <w:vAlign w:val="center"/>
          </w:tcPr>
          <w:p>
            <w:pPr>
              <w:keepNext w:val="0"/>
              <w:keepLines/>
              <w:spacing w:before="0" w:after="0" w:line="288" w:lineRule="auto"/>
              <w:jc w:val="center"/>
            </w:pPr>
            <w:r>
              <w:rPr>
                <w:rFonts w:ascii="Arial" w:hAnsi="Arial" w:eastAsia="Arial Unicode MS" w:cs="Arial"/>
                <w:b w:val="0"/>
                <w:color w:val="000000"/>
                <w:sz w:val="21"/>
              </w:rPr>
              <w:t>D</w:t>
            </w:r>
          </w:p>
        </w:tc>
        <w:tc>
          <w:tcPr>
            <w:tcW w:type="dxa" w:w="2551"/>
            <w:vAlign w:val="center"/>
          </w:tcPr>
          <w:p>
            <w:pPr>
              <w:keepNext w:val="0"/>
              <w:keepLines/>
              <w:spacing w:before="0" w:after="0" w:line="288" w:lineRule="auto"/>
              <w:jc w:val="left"/>
            </w:pPr>
            <w:r>
              <w:rPr>
                <w:rFonts w:ascii="Arial" w:hAnsi="Arial" w:eastAsia="Arial Unicode MS" w:cs="Arial"/>
                <w:b w:val="0"/>
                <w:color w:val="000000"/>
                <w:sz w:val="21"/>
              </w:rPr>
              <w:t>通用能力接口与控件驱动</w:t>
            </w:r>
          </w:p>
        </w:tc>
        <w:tc>
          <w:tcPr>
            <w:tcW w:type="dxa" w:w="3685"/>
            <w:vAlign w:val="center"/>
          </w:tcPr>
          <w:p>
            <w:pPr>
              <w:keepNext w:val="0"/>
              <w:keepLines/>
              <w:spacing w:before="0" w:after="0" w:line="288" w:lineRule="auto"/>
              <w:jc w:val="left"/>
            </w:pPr>
            <w:r>
              <w:rPr>
                <w:rFonts w:ascii="Arial" w:hAnsi="Arial" w:eastAsia="Arial Unicode MS" w:cs="Arial"/>
                <w:b w:val="0"/>
                <w:color w:val="000000"/>
                <w:sz w:val="21"/>
              </w:rPr>
              <w:t>公开需求、开发 UI 和开发反馈</w:t>
            </w:r>
          </w:p>
        </w:tc>
        <w:tc>
          <w:tcPr>
            <w:tcW w:type="dxa" w:w="2324"/>
            <w:vAlign w:val="center"/>
          </w:tcPr>
          <w:p>
            <w:pPr>
              <w:keepNext w:val="0"/>
              <w:keepLines/>
              <w:spacing w:before="0" w:after="0" w:line="288" w:lineRule="auto"/>
              <w:jc w:val="left"/>
            </w:pPr>
            <w:r>
              <w:rPr>
                <w:rFonts w:ascii="Arial" w:hAnsi="Arial" w:eastAsia="Arial Unicode MS" w:cs="Arial"/>
                <w:b w:val="0"/>
                <w:color w:val="000000"/>
                <w:sz w:val="21"/>
              </w:rPr>
              <w:t>默认工程方案</w:t>
            </w:r>
          </w:p>
        </w:tc>
      </w:tr>
      <w:tr>
        <w:trPr>
          <w:cantSplit/>
        </w:trPr>
        <w:tc>
          <w:tcPr>
            <w:tcW w:type="dxa" w:w="850"/>
            <w:vAlign w:val="center"/>
          </w:tcPr>
          <w:p>
            <w:pPr>
              <w:keepNext w:val="0"/>
              <w:keepLines/>
              <w:spacing w:before="0" w:after="0" w:line="288" w:lineRule="auto"/>
              <w:jc w:val="center"/>
            </w:pPr>
            <w:r>
              <w:rPr>
                <w:rFonts w:ascii="Arial" w:hAnsi="Arial" w:eastAsia="Arial Unicode MS" w:cs="Arial"/>
                <w:b w:val="0"/>
                <w:color w:val="000000"/>
                <w:sz w:val="21"/>
              </w:rPr>
              <w:t>H</w:t>
            </w:r>
          </w:p>
        </w:tc>
        <w:tc>
          <w:tcPr>
            <w:tcW w:type="dxa" w:w="2551"/>
            <w:vAlign w:val="center"/>
          </w:tcPr>
          <w:p>
            <w:pPr>
              <w:keepNext w:val="0"/>
              <w:keepLines/>
              <w:spacing w:before="0" w:after="0" w:line="288" w:lineRule="auto"/>
              <w:jc w:val="left"/>
            </w:pPr>
            <w:r>
              <w:rPr>
                <w:rFonts w:ascii="Arial" w:hAnsi="Arial" w:eastAsia="Arial Unicode MS" w:cs="Arial"/>
                <w:b w:val="0"/>
                <w:color w:val="000000"/>
                <w:sz w:val="21"/>
              </w:rPr>
              <w:t>人工界面绑定</w:t>
            </w:r>
          </w:p>
        </w:tc>
        <w:tc>
          <w:tcPr>
            <w:tcW w:type="dxa" w:w="3685"/>
            <w:vAlign w:val="center"/>
          </w:tcPr>
          <w:p>
            <w:pPr>
              <w:keepNext w:val="0"/>
              <w:keepLines/>
              <w:spacing w:before="0" w:after="0" w:line="288" w:lineRule="auto"/>
              <w:jc w:val="left"/>
            </w:pPr>
            <w:r>
              <w:rPr>
                <w:rFonts w:ascii="Arial" w:hAnsi="Arial" w:eastAsia="Arial Unicode MS" w:cs="Arial"/>
                <w:b w:val="0"/>
                <w:color w:val="000000"/>
                <w:sz w:val="21"/>
              </w:rPr>
              <w:t>人工查看每套 UI，记录绑定工时</w:t>
            </w:r>
          </w:p>
        </w:tc>
        <w:tc>
          <w:tcPr>
            <w:tcW w:type="dxa" w:w="2324"/>
            <w:vAlign w:val="center"/>
          </w:tcPr>
          <w:p>
            <w:pPr>
              <w:keepNext w:val="0"/>
              <w:keepLines/>
              <w:spacing w:before="0" w:after="0" w:line="288" w:lineRule="auto"/>
              <w:jc w:val="left"/>
            </w:pPr>
            <w:r>
              <w:rPr>
                <w:rFonts w:ascii="Arial" w:hAnsi="Arial" w:eastAsia="Arial Unicode MS" w:cs="Arial"/>
                <w:b w:val="0"/>
                <w:color w:val="000000"/>
                <w:sz w:val="21"/>
              </w:rPr>
              <w:t>可操作性参照与部署备选</w:t>
            </w:r>
          </w:p>
        </w:tc>
      </w:tr>
      <w:tr>
        <w:trPr>
          <w:cantSplit/>
        </w:trPr>
        <w:tc>
          <w:tcPr>
            <w:tcW w:type="dxa" w:w="850"/>
            <w:vAlign w:val="center"/>
          </w:tcPr>
          <w:p>
            <w:pPr>
              <w:keepNext w:val="0"/>
              <w:keepLines/>
              <w:spacing w:before="0" w:after="0" w:line="288" w:lineRule="auto"/>
              <w:jc w:val="center"/>
            </w:pPr>
            <w:r>
              <w:rPr>
                <w:rFonts w:ascii="Arial" w:hAnsi="Arial" w:eastAsia="Arial Unicode MS" w:cs="Arial"/>
                <w:b w:val="0"/>
                <w:color w:val="000000"/>
                <w:sz w:val="21"/>
              </w:rPr>
              <w:t>S</w:t>
            </w:r>
          </w:p>
        </w:tc>
        <w:tc>
          <w:tcPr>
            <w:tcW w:type="dxa" w:w="2551"/>
            <w:vAlign w:val="center"/>
          </w:tcPr>
          <w:p>
            <w:pPr>
              <w:keepNext w:val="0"/>
              <w:keepLines/>
              <w:spacing w:before="0" w:after="0" w:line="288" w:lineRule="auto"/>
              <w:jc w:val="left"/>
            </w:pPr>
            <w:r>
              <w:rPr>
                <w:rFonts w:ascii="Arial" w:hAnsi="Arial" w:eastAsia="Arial Unicode MS" w:cs="Arial"/>
                <w:b w:val="0"/>
                <w:color w:val="000000"/>
                <w:sz w:val="21"/>
              </w:rPr>
              <w:t>语义识别辅助绑定</w:t>
            </w:r>
          </w:p>
        </w:tc>
        <w:tc>
          <w:tcPr>
            <w:tcW w:type="dxa" w:w="3685"/>
            <w:vAlign w:val="center"/>
          </w:tcPr>
          <w:p>
            <w:pPr>
              <w:keepNext w:val="0"/>
              <w:keepLines/>
              <w:spacing w:before="0" w:after="0" w:line="288" w:lineRule="auto"/>
              <w:jc w:val="left"/>
            </w:pPr>
            <w:r>
              <w:rPr>
                <w:rFonts w:ascii="Arial" w:hAnsi="Arial" w:eastAsia="Arial Unicode MS" w:cs="Arial"/>
                <w:b w:val="0"/>
                <w:color w:val="000000"/>
                <w:sz w:val="21"/>
              </w:rPr>
              <w:t>运行时 DOM 或截图，固定模型和预算</w:t>
            </w:r>
          </w:p>
        </w:tc>
        <w:tc>
          <w:tcPr>
            <w:tcW w:type="dxa" w:w="2324"/>
            <w:vAlign w:val="center"/>
          </w:tcPr>
          <w:p>
            <w:pPr>
              <w:keepNext w:val="0"/>
              <w:keepLines/>
              <w:spacing w:before="0" w:after="0" w:line="288" w:lineRule="auto"/>
              <w:jc w:val="left"/>
            </w:pPr>
            <w:r>
              <w:rPr>
                <w:rFonts w:ascii="Arial" w:hAnsi="Arial" w:eastAsia="Arial Unicode MS" w:cs="Arial"/>
                <w:b w:val="0"/>
                <w:color w:val="000000"/>
                <w:sz w:val="21"/>
              </w:rPr>
              <w:t>D 无法覆盖时的候选</w:t>
            </w:r>
          </w:p>
        </w:tc>
      </w:tr>
      <w:tr>
        <w:trPr>
          <w:cantSplit/>
        </w:trPr>
        <w:tc>
          <w:tcPr>
            <w:tcW w:type="dxa" w:w="850"/>
            <w:vAlign w:val="center"/>
          </w:tcPr>
          <w:p>
            <w:pPr>
              <w:keepNext w:val="0"/>
              <w:keepLines/>
              <w:spacing w:before="0" w:after="0" w:line="288" w:lineRule="auto"/>
              <w:jc w:val="center"/>
            </w:pPr>
            <w:r>
              <w:rPr>
                <w:rFonts w:ascii="Arial" w:hAnsi="Arial" w:eastAsia="Arial Unicode MS" w:cs="Arial"/>
                <w:b w:val="0"/>
                <w:color w:val="000000"/>
                <w:sz w:val="21"/>
              </w:rPr>
              <w:t>V</w:t>
            </w:r>
          </w:p>
        </w:tc>
        <w:tc>
          <w:tcPr>
            <w:tcW w:type="dxa" w:w="2551"/>
            <w:vAlign w:val="center"/>
          </w:tcPr>
          <w:p>
            <w:pPr>
              <w:keepNext w:val="0"/>
              <w:keepLines/>
              <w:spacing w:before="0" w:after="0" w:line="288" w:lineRule="auto"/>
              <w:jc w:val="left"/>
            </w:pPr>
            <w:r>
              <w:rPr>
                <w:rFonts w:ascii="Arial" w:hAnsi="Arial" w:eastAsia="Arial Unicode MS" w:cs="Arial"/>
                <w:b w:val="0"/>
                <w:color w:val="000000"/>
                <w:sz w:val="21"/>
              </w:rPr>
              <w:t>视觉操作或替代执行器</w:t>
            </w:r>
          </w:p>
        </w:tc>
        <w:tc>
          <w:tcPr>
            <w:tcW w:type="dxa" w:w="3685"/>
            <w:vAlign w:val="center"/>
          </w:tcPr>
          <w:p>
            <w:pPr>
              <w:keepNext w:val="0"/>
              <w:keepLines/>
              <w:spacing w:before="0" w:after="0" w:line="288" w:lineRule="auto"/>
              <w:jc w:val="left"/>
            </w:pPr>
            <w:r>
              <w:rPr>
                <w:rFonts w:ascii="Arial" w:hAnsi="Arial" w:eastAsia="Arial Unicode MS" w:cs="Arial"/>
                <w:b w:val="0"/>
                <w:color w:val="000000"/>
                <w:sz w:val="21"/>
              </w:rPr>
              <w:t>同等任务与可用证据，增加执行通道</w:t>
            </w:r>
          </w:p>
        </w:tc>
        <w:tc>
          <w:tcPr>
            <w:tcW w:type="dxa" w:w="2324"/>
            <w:vAlign w:val="center"/>
          </w:tcPr>
          <w:p>
            <w:pPr>
              <w:keepNext w:val="0"/>
              <w:keepLines/>
              <w:spacing w:before="0" w:after="0" w:line="288" w:lineRule="auto"/>
              <w:jc w:val="left"/>
            </w:pPr>
            <w:r>
              <w:rPr>
                <w:rFonts w:ascii="Arial" w:hAnsi="Arial" w:eastAsia="Arial Unicode MS" w:cs="Arial"/>
                <w:b w:val="0"/>
                <w:color w:val="000000"/>
                <w:sz w:val="21"/>
              </w:rPr>
              <w:t>明确能力缺口的专项候选</w:t>
            </w:r>
          </w:p>
        </w:tc>
      </w:tr>
    </w:tbl>
    <w:p>
      <w:pPr>
        <w:spacing w:after="80" w:before="0" w:line="20" w:lineRule="exact"/>
      </w:pPr>
      <w:r>
        <w:rPr>
          <w:rFonts w:ascii="Arial" w:hAnsi="Arial" w:eastAsia="Arial Unicode MS" w:cs="Arial"/>
          <w:color w:val="000000"/>
          <w:sz w:val="2"/>
        </w:rPr>
      </w:r>
    </w:p>
    <w:p>
      <w:r>
        <w:rPr>
          <w:rFonts w:ascii="Arial" w:hAnsi="Arial" w:eastAsia="Arial Unicode MS" w:cs="Arial"/>
          <w:b w:val="0"/>
          <w:color w:val="000000"/>
        </w:rPr>
        <w:t>旧 M0、旧 M0L 作为历史诊断保留；它们在旧协议上的数字不与 B1 直接排名。B 只做必要的契约、共同输入和日志接口对齐，保留原定位与观察策略；每项共同修改列出差异。D 相对 B 的收益才用于判断新驱动的工程效果。如果必须修改某个观察规则以纠正原 oracle 的含义，先确定其属于共同契约修复还是 D 的观察实现改进，再冻结比较边界。</w:t>
      </w:r>
    </w:p>
    <w:p>
      <w:r>
        <w:rPr>
          <w:rFonts w:ascii="Arial" w:hAnsi="Arial" w:eastAsia="Arial Unicode MS" w:cs="Arial"/>
          <w:b w:val="0"/>
          <w:color w:val="000000"/>
        </w:rPr>
        <w:t>本轮先实现 B 和 D，不要求实现所有路线。H 用于回答“人能否明确绑定，并在完整判据下完成该场景”。H 的实现专用绑定可以随应用维护，但不能称为零接入的自动泛化；每个实现的制作和更新成本都要列出。</w:t>
      </w:r>
    </w:p>
    <w:p>
      <w:pPr>
        <w:pStyle w:val="Heading2"/>
      </w:pPr>
      <w:r>
        <w:rPr>
          <w:rFonts w:ascii="Arial" w:hAnsi="Arial" w:eastAsia="Arial Unicode MS" w:cs="Arial"/>
          <w:b w:val="0"/>
          <w:color w:val="000000"/>
        </w:rPr>
        <w:t>6.1 最小接入协议作为独立选择</w:t>
      </w:r>
    </w:p>
    <w:p>
      <w:r>
        <w:rPr>
          <w:rFonts w:ascii="Arial" w:hAnsi="Arial" w:eastAsia="Arial Unicode MS" w:cs="Arial"/>
          <w:b w:val="0"/>
          <w:color w:val="000000"/>
        </w:rPr>
        <w:t>H 首选评测侧绑定文件，仅描述 UI 上的目标和控件类型，不修改产品。另一种选择是实现提供业务语义标记或绑定清单，记为 H-hook；必须与 H 分开报告。标记可以指出 note.create、note.content 或记录身份，但不能规定 UI 必须使用按钮、某种编辑器或特定文案。</w:t>
      </w:r>
    </w:p>
    <w:p>
      <w:r>
        <w:rPr>
          <w:rFonts w:ascii="Arial" w:hAnsi="Arial" w:eastAsia="Arial Unicode MS" w:cs="Arial"/>
          <w:b w:val="0"/>
          <w:color w:val="000000"/>
        </w:rPr>
        <w:t>H-hook 仍是接入要求。将它放在独立的评测接入文档，并记录添加工作量；不能宣称移除了全部约束。标记只能指向真实可见、可操作的界面和实际观察来源。错误标记、隐藏答案节点或绕过 UI 的行为不得计作通过。</w:t>
      </w:r>
    </w:p>
    <w:p>
      <w:r>
        <w:rPr>
          <w:rFonts w:ascii="Arial" w:hAnsi="Arial" w:eastAsia="Arial Unicode MS" w:cs="Arial"/>
          <w:b w:val="0"/>
          <w:color w:val="000000"/>
        </w:rPr>
        <w:t>部署时是否允许人工绑定或 H-hook，由所选 benchmark 模式明确决定。本轮默认主路线 D 不要求应用添加标记，因此不会通过隐藏新增接入条件换取通过率。</w:t>
      </w:r>
    </w:p>
    <w:p>
      <w:pPr>
        <w:pStyle w:val="Heading2"/>
      </w:pPr>
      <w:r>
        <w:rPr>
          <w:rFonts w:ascii="Arial" w:hAnsi="Arial" w:eastAsia="Arial Unicode MS" w:cs="Arial"/>
          <w:b w:val="0"/>
          <w:color w:val="000000"/>
        </w:rPr>
        <w:t>6.2 模型仅参与界面识别</w:t>
      </w:r>
    </w:p>
    <w:p>
      <w:r>
        <w:rPr>
          <w:rFonts w:ascii="Arial" w:hAnsi="Arial" w:eastAsia="Arial Unicode MS" w:cs="Arial"/>
          <w:b w:val="0"/>
          <w:color w:val="000000"/>
        </w:rPr>
        <w:t>只有 D 存在已经确认的识别缺口时才试 S。给模型当前 UI、要识别的业务概念和允许操作；返回目标定位、控件类型或有来源的观察。不给它修改业务判据、跳过场景或读取标签的权限。</w:t>
      </w:r>
    </w:p>
    <w:p>
      <w:r>
        <w:rPr>
          <w:rFonts w:ascii="Arial" w:hAnsi="Arial" w:eastAsia="Arial Unicode MS" w:cs="Arial"/>
          <w:b w:val="0"/>
          <w:color w:val="000000"/>
        </w:rPr>
        <w:t>优先在准备阶段生成并检查绑定，按应用构建版本缓存，评分阶段使用冻结绑定。动态列表仍通过运行时业务对象身份定位；构建版本或 UI 状态不匹配时显式报错。若必须运行时重新识别，预先固定调用次数和触发规则，完整保存输出，不得按测试成败不断尝试直到通过。</w:t>
      </w:r>
    </w:p>
    <w:p>
      <w:r>
        <w:rPr>
          <w:rFonts w:ascii="Arial" w:hAnsi="Arial" w:eastAsia="Arial Unicode MS" w:cs="Arial"/>
          <w:b w:val="0"/>
          <w:color w:val="000000"/>
        </w:rPr>
        <w:t>对于受控父本和缺陷版本，尽可能沿用同一绑定。若目标控件消失或含义被改变，不能让自修复代理换一条路径绕过缺陷。必要的重新识别应说明其寻找的是同一业务能力，并保留失败证据。目标缺陷是否被检出仍由独立规则确认。</w:t>
      </w:r>
    </w:p>
    <w:p>
      <w:r>
        <w:rPr>
          <w:rFonts w:ascii="Arial" w:hAnsi="Arial" w:eastAsia="Arial Unicode MS" w:cs="Arial"/>
          <w:b w:val="0"/>
          <w:color w:val="000000"/>
        </w:rPr>
        <w:t>Stagehand 的 observe、act、extract 可作为 S 的实现候选；它提供自然语言操作与结构化提取，但官方能力描述不是该方案适合 ARC Bench 的验证结果。锁定实际使用的版本、模型和返回格式后再试运行。[来源 3]</w:t>
      </w:r>
    </w:p>
    <w:p>
      <w:pPr>
        <w:pStyle w:val="Heading1"/>
      </w:pPr>
      <w:r>
        <w:rPr>
          <w:rFonts w:ascii="Arial" w:hAnsi="Arial" w:eastAsia="Arial Unicode MS" w:cs="Arial"/>
          <w:b w:val="0"/>
          <w:color w:val="000000"/>
        </w:rPr>
        <w:t>7 材料与验收划分</w:t>
      </w:r>
    </w:p>
    <w:p>
      <w:pPr>
        <w:pStyle w:val="Heading2"/>
      </w:pPr>
      <w:r>
        <w:rPr>
          <w:rFonts w:ascii="Arial" w:hAnsi="Arial" w:eastAsia="Arial Unicode MS" w:cs="Arial"/>
          <w:b w:val="0"/>
          <w:color w:val="000000"/>
        </w:rPr>
        <w:t>7.1 旧材料作为开放回归集</w:t>
      </w:r>
    </w:p>
    <w:p>
      <w:r>
        <w:rPr>
          <w:rFonts w:ascii="Arial" w:hAnsi="Arial" w:eastAsia="Arial Unicode MS" w:cs="Arial"/>
          <w:b w:val="0"/>
          <w:color w:val="000000"/>
        </w:rPr>
        <w:t>原 pilot 计划有 12 个正确单位和 24 个注入缺陷单位，共 36 个。先按 B1 重新核验。真实数量以确认结果为准，未决项不能静默排除。它们全部允许用于诊断与开发，所有方法共享确认后的标签与证据。</w:t>
      </w:r>
    </w:p>
    <w:p>
      <w:r>
        <w:rPr>
          <w:rFonts w:ascii="Arial" w:hAnsi="Arial" w:eastAsia="Arial Unicode MS" w:cs="Arial"/>
          <w:b w:val="0"/>
          <w:color w:val="000000"/>
        </w:rPr>
        <w:t>评价单位为“需求 × 实现版本 × 变体”。同一根应用下的多个需求相关，不能把它们视为独立软件。单位通过意味着全部必测场景完成并满足义务。</w:t>
      </w:r>
    </w:p>
    <w:p>
      <w:pPr>
        <w:pStyle w:val="Heading2"/>
      </w:pPr>
      <w:r>
        <w:rPr>
          <w:rFonts w:ascii="Arial" w:hAnsi="Arial" w:eastAsia="Arial Unicode MS" w:cs="Arial"/>
          <w:b w:val="0"/>
          <w:color w:val="000000"/>
        </w:rPr>
        <w:t>7.2 新增少量界面变体</w:t>
      </w:r>
    </w:p>
    <w:p>
      <w:r>
        <w:rPr>
          <w:rFonts w:ascii="Arial" w:hAnsi="Arial" w:eastAsia="Arial Unicode MS" w:cs="Arial"/>
          <w:b w:val="0"/>
          <w:color w:val="000000"/>
        </w:rPr>
        <w:t>目标新增 12 个正确单位，每条需求 4 个；其中每条 2 个用于开发、2 个用于验收。每个正确单位构造 2 个单一业务缺陷版本，共 24 个缺陷单位。由此新增开发集为 6 正确加 12 缺陷，验收集同样为 6 正确加 12 缺陷。</w:t>
      </w:r>
    </w:p>
    <w:p>
      <w:r>
        <w:rPr>
          <w:rFonts w:ascii="Arial" w:hAnsi="Arial" w:eastAsia="Arial Unicode MS" w:cs="Arial"/>
          <w:b w:val="0"/>
          <w:color w:val="000000"/>
        </w:rPr>
        <w:t>新增范围优先覆盖表 4。每个正确变体优先只改变一个界面维度，记录与父实现的关系。它们可以是旧应用的受控变体，但此时只能支持对新表达的验收，不能声称跨独立实现或跨未知框架泛化。真正换技术栈必须另有独立实现与核验。</w:t>
      </w:r>
    </w:p>
    <w:p>
      <w:pPr>
        <w:keepNext/>
        <w:spacing w:before="100" w:after="100"/>
      </w:pPr>
      <w:r>
        <w:rPr>
          <w:rFonts w:ascii="Arial" w:hAnsi="Arial" w:eastAsia="Arial Unicode MS" w:cs="Arial"/>
          <w:b/>
          <w:color w:val="000000"/>
          <w:sz w:val="21"/>
        </w:rPr>
        <w:t>表 4　新表达与对应业务错误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95" w:type="dxa"/>
          <w:bottom w:w="85" w:type="dxa"/>
          <w:right w:w="95" w:type="dxa"/>
        </w:tblCellMar>
      </w:tblPr>
      <w:tblGrid>
        <w:gridCol w:w="1757"/>
        <w:gridCol w:w="3798"/>
        <w:gridCol w:w="3855"/>
      </w:tblGrid>
      <w:tr>
        <w:trPr>
          <w:cantSplit/>
          <w:tblHeader/>
        </w:trPr>
        <w:tc>
          <w:tcPr>
            <w:tcW w:type="dxa" w:w="1757"/>
            <w:vAlign w:val="center"/>
            <w:shd w:fill="E8EDF2" w:val="clear"/>
          </w:tcPr>
          <w:p>
            <w:pPr>
              <w:keepNext/>
              <w:keepLines/>
              <w:spacing w:before="0" w:after="0" w:line="288" w:lineRule="auto"/>
              <w:jc w:val="left"/>
            </w:pPr>
            <w:r>
              <w:rPr>
                <w:rFonts w:ascii="Arial" w:hAnsi="Arial" w:eastAsia="Arial Unicode MS" w:cs="Arial"/>
                <w:b/>
                <w:color w:val="000000"/>
                <w:sz w:val="21"/>
              </w:rPr>
              <w:t>需求</w:t>
            </w:r>
          </w:p>
        </w:tc>
        <w:tc>
          <w:tcPr>
            <w:tcW w:type="dxa" w:w="3798"/>
            <w:vAlign w:val="center"/>
            <w:shd w:fill="E8EDF2" w:val="clear"/>
          </w:tcPr>
          <w:p>
            <w:pPr>
              <w:keepNext/>
              <w:keepLines/>
              <w:spacing w:before="0" w:after="0" w:line="288" w:lineRule="auto"/>
              <w:jc w:val="left"/>
            </w:pPr>
            <w:r>
              <w:rPr>
                <w:rFonts w:ascii="Arial" w:hAnsi="Arial" w:eastAsia="Arial Unicode MS" w:cs="Arial"/>
                <w:b/>
                <w:color w:val="000000"/>
                <w:sz w:val="21"/>
              </w:rPr>
              <w:t>正确表达候选</w:t>
            </w:r>
          </w:p>
        </w:tc>
        <w:tc>
          <w:tcPr>
            <w:tcW w:type="dxa" w:w="3855"/>
            <w:vAlign w:val="center"/>
            <w:shd w:fill="E8EDF2" w:val="clear"/>
          </w:tcPr>
          <w:p>
            <w:pPr>
              <w:keepNext/>
              <w:keepLines/>
              <w:spacing w:before="0" w:after="0" w:line="288" w:lineRule="auto"/>
              <w:jc w:val="left"/>
            </w:pPr>
            <w:r>
              <w:rPr>
                <w:rFonts w:ascii="Arial" w:hAnsi="Arial" w:eastAsia="Arial Unicode MS" w:cs="Arial"/>
                <w:b/>
                <w:color w:val="000000"/>
                <w:sz w:val="21"/>
              </w:rPr>
              <w:t>必须继续拒绝的错误</w:t>
            </w:r>
          </w:p>
        </w:tc>
      </w:tr>
      <w:tr>
        <w:trPr>
          <w:cantSplit/>
        </w:trPr>
        <w:tc>
          <w:tcPr>
            <w:tcW w:type="dxa" w:w="1757"/>
            <w:vAlign w:val="center"/>
          </w:tcPr>
          <w:p>
            <w:pPr>
              <w:keepNext w:val="0"/>
              <w:keepLines/>
              <w:spacing w:before="0" w:after="0" w:line="288" w:lineRule="auto"/>
              <w:jc w:val="left"/>
            </w:pPr>
            <w:r>
              <w:rPr>
                <w:rFonts w:ascii="Arial" w:hAnsi="Arial" w:eastAsia="Arial Unicode MS" w:cs="Arial"/>
                <w:b w:val="0"/>
                <w:color w:val="000000"/>
                <w:sz w:val="21"/>
              </w:rPr>
              <w:t>Keep REQ-2.2</w:t>
            </w:r>
          </w:p>
        </w:tc>
        <w:tc>
          <w:tcPr>
            <w:tcW w:type="dxa" w:w="3798"/>
            <w:vAlign w:val="center"/>
          </w:tcPr>
          <w:p>
            <w:pPr>
              <w:keepNext w:val="0"/>
              <w:keepLines/>
              <w:spacing w:before="0" w:after="0" w:line="288" w:lineRule="auto"/>
              <w:jc w:val="left"/>
            </w:pPr>
            <w:r>
              <w:rPr>
                <w:rFonts w:ascii="Arial" w:hAnsi="Arial" w:eastAsia="Arial Unicode MS" w:cs="Arial"/>
                <w:b w:val="0"/>
                <w:color w:val="000000"/>
                <w:sz w:val="21"/>
              </w:rPr>
              <w:t>内联与弹窗编辑，富文本与原生输入，外壳保留</w:t>
            </w:r>
          </w:p>
        </w:tc>
        <w:tc>
          <w:tcPr>
            <w:tcW w:type="dxa" w:w="3855"/>
            <w:vAlign w:val="center"/>
          </w:tcPr>
          <w:p>
            <w:pPr>
              <w:keepNext w:val="0"/>
              <w:keepLines/>
              <w:spacing w:before="0" w:after="0" w:line="288" w:lineRule="auto"/>
              <w:jc w:val="left"/>
            </w:pPr>
            <w:r>
              <w:rPr>
                <w:rFonts w:ascii="Arial" w:hAnsi="Arial" w:eastAsia="Arial Unicode MS" w:cs="Arial"/>
                <w:b w:val="0"/>
                <w:color w:val="000000"/>
                <w:sz w:val="21"/>
              </w:rPr>
              <w:t>需要额外保存、丢失一行、重复创建、刷新丢失</w:t>
            </w:r>
          </w:p>
        </w:tc>
      </w:tr>
      <w:tr>
        <w:trPr>
          <w:cantSplit/>
        </w:trPr>
        <w:tc>
          <w:tcPr>
            <w:tcW w:type="dxa" w:w="1757"/>
            <w:vAlign w:val="center"/>
          </w:tcPr>
          <w:p>
            <w:pPr>
              <w:keepNext w:val="0"/>
              <w:keepLines/>
              <w:spacing w:before="0" w:after="0" w:line="288" w:lineRule="auto"/>
              <w:jc w:val="left"/>
            </w:pPr>
            <w:r>
              <w:rPr>
                <w:rFonts w:ascii="Arial" w:hAnsi="Arial" w:eastAsia="Arial Unicode MS" w:cs="Arial"/>
                <w:b w:val="0"/>
                <w:color w:val="000000"/>
                <w:sz w:val="21"/>
              </w:rPr>
              <w:t>Keep REQ-4.1</w:t>
            </w:r>
          </w:p>
        </w:tc>
        <w:tc>
          <w:tcPr>
            <w:tcW w:type="dxa" w:w="3798"/>
            <w:vAlign w:val="center"/>
          </w:tcPr>
          <w:p>
            <w:pPr>
              <w:keepNext w:val="0"/>
              <w:keepLines/>
              <w:spacing w:before="0" w:after="0" w:line="288" w:lineRule="auto"/>
              <w:jc w:val="left"/>
            </w:pPr>
            <w:r>
              <w:rPr>
                <w:rFonts w:ascii="Arial" w:hAnsi="Arial" w:eastAsia="Arial Unicode MS" w:cs="Arial"/>
                <w:b w:val="0"/>
                <w:color w:val="000000"/>
                <w:sz w:val="21"/>
              </w:rPr>
              <w:t>菜单、chips、不同选项控件，卡片或表格结果</w:t>
            </w:r>
          </w:p>
        </w:tc>
        <w:tc>
          <w:tcPr>
            <w:tcW w:type="dxa" w:w="3855"/>
            <w:vAlign w:val="center"/>
          </w:tcPr>
          <w:p>
            <w:pPr>
              <w:keepNext w:val="0"/>
              <w:keepLines/>
              <w:spacing w:before="0" w:after="0" w:line="288" w:lineRule="auto"/>
              <w:jc w:val="left"/>
            </w:pPr>
            <w:r>
              <w:rPr>
                <w:rFonts w:ascii="Arial" w:hAnsi="Arial" w:eastAsia="Arial Unicode MS" w:cs="Arial"/>
                <w:b w:val="0"/>
                <w:color w:val="000000"/>
                <w:sz w:val="21"/>
              </w:rPr>
              <w:t>只搜标题、过滤对象错误、清空不恢复、高亮缺失</w:t>
            </w:r>
          </w:p>
        </w:tc>
      </w:tr>
      <w:tr>
        <w:trPr>
          <w:cantSplit/>
        </w:trPr>
        <w:tc>
          <w:tcPr>
            <w:tcW w:type="dxa" w:w="1757"/>
            <w:vAlign w:val="center"/>
          </w:tcPr>
          <w:p>
            <w:pPr>
              <w:keepNext w:val="0"/>
              <w:keepLines/>
              <w:spacing w:before="0" w:after="0" w:line="288" w:lineRule="auto"/>
              <w:jc w:val="left"/>
            </w:pPr>
            <w:r>
              <w:rPr>
                <w:rFonts w:ascii="Arial" w:hAnsi="Arial" w:eastAsia="Arial Unicode MS" w:cs="Arial"/>
                <w:b w:val="0"/>
                <w:color w:val="000000"/>
                <w:sz w:val="21"/>
              </w:rPr>
              <w:t>BookStack REQ-6.4</w:t>
            </w:r>
          </w:p>
        </w:tc>
        <w:tc>
          <w:tcPr>
            <w:tcW w:type="dxa" w:w="3798"/>
            <w:vAlign w:val="center"/>
          </w:tcPr>
          <w:p>
            <w:pPr>
              <w:keepNext w:val="0"/>
              <w:keepLines/>
              <w:spacing w:before="0" w:after="0" w:line="288" w:lineRule="auto"/>
              <w:jc w:val="left"/>
            </w:pPr>
            <w:r>
              <w:rPr>
                <w:rFonts w:ascii="Arial" w:hAnsi="Arial" w:eastAsia="Arial Unicode MS" w:cs="Arial"/>
                <w:b w:val="0"/>
                <w:color w:val="000000"/>
                <w:sz w:val="21"/>
              </w:rPr>
              <w:t>字段标签变化、标签录入方式变化、不同正文编辑器</w:t>
            </w:r>
          </w:p>
        </w:tc>
        <w:tc>
          <w:tcPr>
            <w:tcW w:type="dxa" w:w="3855"/>
            <w:vAlign w:val="center"/>
          </w:tcPr>
          <w:p>
            <w:pPr>
              <w:keepNext w:val="0"/>
              <w:keepLines/>
              <w:spacing w:before="0" w:after="0" w:line="288" w:lineRule="auto"/>
              <w:jc w:val="left"/>
            </w:pPr>
            <w:r>
              <w:rPr>
                <w:rFonts w:ascii="Arial" w:hAnsi="Arial" w:eastAsia="Arial Unicode MS" w:cs="Arial"/>
                <w:b w:val="0"/>
                <w:color w:val="000000"/>
                <w:sz w:val="21"/>
              </w:rPr>
              <w:t>打开错误页面、预填错内容、串页或内容不完整</w:t>
            </w:r>
          </w:p>
        </w:tc>
      </w:tr>
    </w:tbl>
    <w:p>
      <w:pPr>
        <w:spacing w:after="80" w:before="0" w:line="20" w:lineRule="exact"/>
      </w:pPr>
      <w:r>
        <w:rPr>
          <w:rFonts w:ascii="Arial" w:hAnsi="Arial" w:eastAsia="Arial Unicode MS" w:cs="Arial"/>
          <w:color w:val="000000"/>
          <w:sz w:val="2"/>
        </w:rPr>
      </w:r>
    </w:p>
    <w:p>
      <w:r>
        <w:rPr>
          <w:rFonts w:ascii="Arial" w:hAnsi="Arial" w:eastAsia="Arial Unicode MS" w:cs="Arial"/>
          <w:b w:val="0"/>
          <w:color w:val="000000"/>
        </w:rPr>
        <w:t>每条需求的 4 个正确单位各配 2 个缺陷，在该需求内轮换错误类别。表中为候选机制，具体义务和有效性需独立核验。每个新增或修改的关键判据至少要有一个针对性负例；若 24 个缺陷不足覆盖，补充并在运行前更新预算。</w:t>
      </w:r>
    </w:p>
    <w:p>
      <w:r>
        <w:rPr>
          <w:rFonts w:ascii="Arial" w:hAnsi="Arial" w:eastAsia="Arial Unicode MS" w:cs="Arial"/>
          <w:b w:val="0"/>
          <w:color w:val="000000"/>
        </w:rPr>
        <w:t>验收材料应由未参与驱动调试的人准备并保管具体 UI。只提前公开变更维度和业务范围，不公开具体绑定。只有一名执行者时，改称“冻结后的回归验收”，记录其暴露情况，不包装成盲测。</w:t>
      </w:r>
    </w:p>
    <w:p>
      <w:pPr>
        <w:pStyle w:val="Heading2"/>
      </w:pPr>
      <w:r>
        <w:rPr>
          <w:rFonts w:ascii="Arial" w:hAnsi="Arial" w:eastAsia="Arial Unicode MS" w:cs="Arial"/>
          <w:b w:val="0"/>
          <w:color w:val="000000"/>
        </w:rPr>
        <w:t>7.3 冻结与修改规则</w:t>
      </w:r>
    </w:p>
    <w:p>
      <w:r>
        <w:rPr>
          <w:rFonts w:ascii="Arial" w:hAnsi="Arial" w:eastAsia="Arial Unicode MS" w:cs="Arial"/>
          <w:b w:val="0"/>
          <w:color w:val="000000"/>
        </w:rPr>
        <w:t>验收前冻结 B1、标签、样本列表、场景输入、候选代码、适配来源、模型配置和运行预算。验收期间不修改候选或判据。发现新问题后可进入下一次工程修复，但该批材料随后成为开发回归集；下一轮要证明新表达能力，应另加未用于修订的验收材料。</w:t>
      </w:r>
    </w:p>
    <w:p>
      <w:r>
        <w:rPr>
          <w:rFonts w:ascii="Arial" w:hAnsi="Arial" w:eastAsia="Arial Unicode MS" w:cs="Arial"/>
          <w:b w:val="0"/>
          <w:color w:val="000000"/>
        </w:rPr>
        <w:t>这是一项工程迭代规则，不要求一次试验就解决全部 UI。每轮报告修复了什么、仍不支持什么和增加了多少成本。</w:t>
      </w:r>
    </w:p>
    <w:p>
      <w:pPr>
        <w:pStyle w:val="Heading1"/>
      </w:pPr>
      <w:r>
        <w:rPr>
          <w:rFonts w:ascii="Arial" w:hAnsi="Arial" w:eastAsia="Arial Unicode MS" w:cs="Arial"/>
          <w:b w:val="0"/>
          <w:color w:val="000000"/>
        </w:rPr>
        <w:t>8 执行流程与运行配置</w:t>
      </w:r>
    </w:p>
    <w:p>
      <w:pPr>
        <w:keepNext/>
        <w:spacing w:before="100" w:after="100"/>
      </w:pPr>
      <w:r>
        <w:rPr>
          <w:rFonts w:ascii="Arial" w:hAnsi="Arial" w:eastAsia="Arial Unicode MS" w:cs="Arial"/>
          <w:b/>
          <w:color w:val="000000"/>
          <w:sz w:val="21"/>
        </w:rPr>
        <w:t>表 5　分阶段操作与出口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95" w:type="dxa"/>
          <w:bottom w:w="85" w:type="dxa"/>
          <w:right w:w="95" w:type="dxa"/>
        </w:tblCellMar>
      </w:tblPr>
      <w:tblGrid>
        <w:gridCol w:w="794"/>
        <w:gridCol w:w="4535"/>
        <w:gridCol w:w="4082"/>
      </w:tblGrid>
      <w:tr>
        <w:trPr>
          <w:cantSplit/>
          <w:tblHeader/>
        </w:trPr>
        <w:tc>
          <w:tcPr>
            <w:tcW w:type="dxa" w:w="794"/>
            <w:vAlign w:val="center"/>
            <w:shd w:fill="E8EDF2" w:val="clear"/>
          </w:tcPr>
          <w:p>
            <w:pPr>
              <w:keepNext/>
              <w:keepLines/>
              <w:spacing w:before="0" w:after="0" w:line="288" w:lineRule="auto"/>
              <w:jc w:val="center"/>
            </w:pPr>
            <w:r>
              <w:rPr>
                <w:rFonts w:ascii="Arial" w:hAnsi="Arial" w:eastAsia="Arial Unicode MS" w:cs="Arial"/>
                <w:b/>
                <w:color w:val="000000"/>
                <w:sz w:val="21"/>
              </w:rPr>
              <w:t>阶段</w:t>
            </w:r>
          </w:p>
        </w:tc>
        <w:tc>
          <w:tcPr>
            <w:tcW w:type="dxa" w:w="4535"/>
            <w:vAlign w:val="center"/>
            <w:shd w:fill="E8EDF2" w:val="clear"/>
          </w:tcPr>
          <w:p>
            <w:pPr>
              <w:keepNext/>
              <w:keepLines/>
              <w:spacing w:before="0" w:after="0" w:line="288" w:lineRule="auto"/>
              <w:jc w:val="left"/>
            </w:pPr>
            <w:r>
              <w:rPr>
                <w:rFonts w:ascii="Arial" w:hAnsi="Arial" w:eastAsia="Arial Unicode MS" w:cs="Arial"/>
                <w:b/>
                <w:color w:val="000000"/>
                <w:sz w:val="21"/>
              </w:rPr>
              <w:t>执行内容</w:t>
            </w:r>
          </w:p>
        </w:tc>
        <w:tc>
          <w:tcPr>
            <w:tcW w:type="dxa" w:w="4082"/>
            <w:vAlign w:val="center"/>
            <w:shd w:fill="E8EDF2" w:val="clear"/>
          </w:tcPr>
          <w:p>
            <w:pPr>
              <w:keepNext/>
              <w:keepLines/>
              <w:spacing w:before="0" w:after="0" w:line="288" w:lineRule="auto"/>
              <w:jc w:val="left"/>
            </w:pPr>
            <w:r>
              <w:rPr>
                <w:rFonts w:ascii="Arial" w:hAnsi="Arial" w:eastAsia="Arial Unicode MS" w:cs="Arial"/>
                <w:b/>
                <w:color w:val="000000"/>
                <w:sz w:val="21"/>
              </w:rPr>
              <w:t>出口</w:t>
            </w:r>
          </w:p>
        </w:tc>
      </w:tr>
      <w:tr>
        <w:trPr>
          <w:cantSplit/>
        </w:trPr>
        <w:tc>
          <w:tcPr>
            <w:tcW w:type="dxa" w:w="794"/>
            <w:vAlign w:val="center"/>
          </w:tcPr>
          <w:p>
            <w:pPr>
              <w:keepNext w:val="0"/>
              <w:keepLines/>
              <w:spacing w:before="0" w:after="0" w:line="288" w:lineRule="auto"/>
              <w:jc w:val="center"/>
            </w:pPr>
            <w:r>
              <w:rPr>
                <w:rFonts w:ascii="Arial" w:hAnsi="Arial" w:eastAsia="Arial Unicode MS" w:cs="Arial"/>
                <w:b w:val="0"/>
                <w:color w:val="000000"/>
                <w:sz w:val="21"/>
              </w:rPr>
              <w:t>P0</w:t>
            </w:r>
          </w:p>
        </w:tc>
        <w:tc>
          <w:tcPr>
            <w:tcW w:type="dxa" w:w="4535"/>
            <w:vAlign w:val="center"/>
          </w:tcPr>
          <w:p>
            <w:pPr>
              <w:keepNext w:val="0"/>
              <w:keepLines/>
              <w:spacing w:before="0" w:after="0" w:line="288" w:lineRule="auto"/>
              <w:jc w:val="left"/>
            </w:pPr>
            <w:r>
              <w:rPr>
                <w:rFonts w:ascii="Arial" w:hAnsi="Arial" w:eastAsia="Arial Unicode MS" w:cs="Arial"/>
                <w:b w:val="0"/>
                <w:color w:val="000000"/>
                <w:sz w:val="21"/>
              </w:rPr>
              <w:t>B1 审计、标签裁决、旧材料快照</w:t>
            </w:r>
          </w:p>
        </w:tc>
        <w:tc>
          <w:tcPr>
            <w:tcW w:type="dxa" w:w="4082"/>
            <w:vAlign w:val="center"/>
          </w:tcPr>
          <w:p>
            <w:pPr>
              <w:keepNext w:val="0"/>
              <w:keepLines/>
              <w:spacing w:before="0" w:after="0" w:line="288" w:lineRule="auto"/>
              <w:jc w:val="left"/>
            </w:pPr>
            <w:r>
              <w:rPr>
                <w:rFonts w:ascii="Arial" w:hAnsi="Arial" w:eastAsia="Arial Unicode MS" w:cs="Arial"/>
                <w:b w:val="0"/>
                <w:color w:val="000000"/>
                <w:sz w:val="21"/>
              </w:rPr>
              <w:t>关键歧义解决，来源与版本可追溯</w:t>
            </w:r>
          </w:p>
        </w:tc>
      </w:tr>
      <w:tr>
        <w:trPr>
          <w:cantSplit/>
        </w:trPr>
        <w:tc>
          <w:tcPr>
            <w:tcW w:type="dxa" w:w="794"/>
            <w:vAlign w:val="center"/>
          </w:tcPr>
          <w:p>
            <w:pPr>
              <w:keepNext w:val="0"/>
              <w:keepLines/>
              <w:spacing w:before="0" w:after="0" w:line="288" w:lineRule="auto"/>
              <w:jc w:val="center"/>
            </w:pPr>
            <w:r>
              <w:rPr>
                <w:rFonts w:ascii="Arial" w:hAnsi="Arial" w:eastAsia="Arial Unicode MS" w:cs="Arial"/>
                <w:b w:val="0"/>
                <w:color w:val="000000"/>
                <w:sz w:val="21"/>
              </w:rPr>
              <w:t>P1</w:t>
            </w:r>
          </w:p>
        </w:tc>
        <w:tc>
          <w:tcPr>
            <w:tcW w:type="dxa" w:w="4535"/>
            <w:vAlign w:val="center"/>
          </w:tcPr>
          <w:p>
            <w:pPr>
              <w:keepNext w:val="0"/>
              <w:keepLines/>
              <w:spacing w:before="0" w:after="0" w:line="288" w:lineRule="auto"/>
              <w:jc w:val="left"/>
            </w:pPr>
            <w:r>
              <w:rPr>
                <w:rFonts w:ascii="Arial" w:hAnsi="Arial" w:eastAsia="Arial Unicode MS" w:cs="Arial"/>
                <w:b w:val="0"/>
                <w:color w:val="000000"/>
                <w:sz w:val="21"/>
              </w:rPr>
              <w:t>三案例诊断，H 验证可操作性</w:t>
            </w:r>
          </w:p>
        </w:tc>
        <w:tc>
          <w:tcPr>
            <w:tcW w:type="dxa" w:w="4082"/>
            <w:vAlign w:val="center"/>
          </w:tcPr>
          <w:p>
            <w:pPr>
              <w:keepNext w:val="0"/>
              <w:keepLines/>
              <w:spacing w:before="0" w:after="0" w:line="288" w:lineRule="auto"/>
              <w:jc w:val="left"/>
            </w:pPr>
            <w:r>
              <w:rPr>
                <w:rFonts w:ascii="Arial" w:hAnsi="Arial" w:eastAsia="Arial Unicode MS" w:cs="Arial"/>
                <w:b w:val="0"/>
                <w:color w:val="000000"/>
                <w:sz w:val="21"/>
              </w:rPr>
              <w:t>区分产品问题与评测器问题</w:t>
            </w:r>
          </w:p>
        </w:tc>
      </w:tr>
      <w:tr>
        <w:trPr>
          <w:cantSplit/>
        </w:trPr>
        <w:tc>
          <w:tcPr>
            <w:tcW w:type="dxa" w:w="794"/>
            <w:vAlign w:val="center"/>
          </w:tcPr>
          <w:p>
            <w:pPr>
              <w:keepNext w:val="0"/>
              <w:keepLines/>
              <w:spacing w:before="0" w:after="0" w:line="288" w:lineRule="auto"/>
              <w:jc w:val="center"/>
            </w:pPr>
            <w:r>
              <w:rPr>
                <w:rFonts w:ascii="Arial" w:hAnsi="Arial" w:eastAsia="Arial Unicode MS" w:cs="Arial"/>
                <w:b w:val="0"/>
                <w:color w:val="000000"/>
                <w:sz w:val="21"/>
              </w:rPr>
              <w:t>P2</w:t>
            </w:r>
          </w:p>
        </w:tc>
        <w:tc>
          <w:tcPr>
            <w:tcW w:type="dxa" w:w="4535"/>
            <w:vAlign w:val="center"/>
          </w:tcPr>
          <w:p>
            <w:pPr>
              <w:keepNext w:val="0"/>
              <w:keepLines/>
              <w:spacing w:before="0" w:after="0" w:line="288" w:lineRule="auto"/>
              <w:jc w:val="left"/>
            </w:pPr>
            <w:r>
              <w:rPr>
                <w:rFonts w:ascii="Arial" w:hAnsi="Arial" w:eastAsia="Arial Unicode MS" w:cs="Arial"/>
                <w:b w:val="0"/>
                <w:color w:val="000000"/>
                <w:sz w:val="21"/>
              </w:rPr>
              <w:t>实现 B 与 D，旧材料及新开发集回归</w:t>
            </w:r>
          </w:p>
        </w:tc>
        <w:tc>
          <w:tcPr>
            <w:tcW w:type="dxa" w:w="4082"/>
            <w:vAlign w:val="center"/>
          </w:tcPr>
          <w:p>
            <w:pPr>
              <w:keepNext w:val="0"/>
              <w:keepLines/>
              <w:spacing w:before="0" w:after="0" w:line="288" w:lineRule="auto"/>
              <w:jc w:val="left"/>
            </w:pPr>
            <w:r>
              <w:rPr>
                <w:rFonts w:ascii="Arial" w:hAnsi="Arial" w:eastAsia="Arial Unicode MS" w:cs="Arial"/>
                <w:b w:val="0"/>
                <w:color w:val="000000"/>
                <w:sz w:val="21"/>
              </w:rPr>
              <w:t>完整义务覆盖，无已知缺陷放行</w:t>
            </w:r>
          </w:p>
        </w:tc>
      </w:tr>
      <w:tr>
        <w:trPr>
          <w:cantSplit/>
        </w:trPr>
        <w:tc>
          <w:tcPr>
            <w:tcW w:type="dxa" w:w="794"/>
            <w:vAlign w:val="center"/>
          </w:tcPr>
          <w:p>
            <w:pPr>
              <w:keepNext w:val="0"/>
              <w:keepLines/>
              <w:spacing w:before="0" w:after="0" w:line="288" w:lineRule="auto"/>
              <w:jc w:val="center"/>
            </w:pPr>
            <w:r>
              <w:rPr>
                <w:rFonts w:ascii="Arial" w:hAnsi="Arial" w:eastAsia="Arial Unicode MS" w:cs="Arial"/>
                <w:b w:val="0"/>
                <w:color w:val="000000"/>
                <w:sz w:val="21"/>
              </w:rPr>
              <w:t>P3</w:t>
            </w:r>
          </w:p>
        </w:tc>
        <w:tc>
          <w:tcPr>
            <w:tcW w:type="dxa" w:w="4535"/>
            <w:vAlign w:val="center"/>
          </w:tcPr>
          <w:p>
            <w:pPr>
              <w:keepNext w:val="0"/>
              <w:keepLines/>
              <w:spacing w:before="0" w:after="0" w:line="288" w:lineRule="auto"/>
              <w:jc w:val="left"/>
            </w:pPr>
            <w:r>
              <w:rPr>
                <w:rFonts w:ascii="Arial" w:hAnsi="Arial" w:eastAsia="Arial Unicode MS" w:cs="Arial"/>
                <w:b w:val="0"/>
                <w:color w:val="000000"/>
                <w:sz w:val="21"/>
              </w:rPr>
              <w:t>冻结后运行新验收集</w:t>
            </w:r>
          </w:p>
        </w:tc>
        <w:tc>
          <w:tcPr>
            <w:tcW w:type="dxa" w:w="4082"/>
            <w:vAlign w:val="center"/>
          </w:tcPr>
          <w:p>
            <w:pPr>
              <w:keepNext w:val="0"/>
              <w:keepLines/>
              <w:spacing w:before="0" w:after="0" w:line="288" w:lineRule="auto"/>
              <w:jc w:val="left"/>
            </w:pPr>
            <w:r>
              <w:rPr>
                <w:rFonts w:ascii="Arial" w:hAnsi="Arial" w:eastAsia="Arial Unicode MS" w:cs="Arial"/>
                <w:b w:val="0"/>
                <w:color w:val="000000"/>
                <w:sz w:val="21"/>
              </w:rPr>
              <w:t>决定发布、限定支持或继续修复</w:t>
            </w:r>
          </w:p>
        </w:tc>
      </w:tr>
      <w:tr>
        <w:trPr>
          <w:cantSplit/>
        </w:trPr>
        <w:tc>
          <w:tcPr>
            <w:tcW w:type="dxa" w:w="794"/>
            <w:vAlign w:val="center"/>
          </w:tcPr>
          <w:p>
            <w:pPr>
              <w:keepNext w:val="0"/>
              <w:keepLines/>
              <w:spacing w:before="0" w:after="0" w:line="288" w:lineRule="auto"/>
              <w:jc w:val="center"/>
            </w:pPr>
            <w:r>
              <w:rPr>
                <w:rFonts w:ascii="Arial" w:hAnsi="Arial" w:eastAsia="Arial Unicode MS" w:cs="Arial"/>
                <w:b w:val="0"/>
                <w:color w:val="000000"/>
                <w:sz w:val="21"/>
              </w:rPr>
              <w:t>P4</w:t>
            </w:r>
          </w:p>
        </w:tc>
        <w:tc>
          <w:tcPr>
            <w:tcW w:type="dxa" w:w="4535"/>
            <w:vAlign w:val="center"/>
          </w:tcPr>
          <w:p>
            <w:pPr>
              <w:keepNext w:val="0"/>
              <w:keepLines/>
              <w:spacing w:before="0" w:after="0" w:line="288" w:lineRule="auto"/>
              <w:jc w:val="left"/>
            </w:pPr>
            <w:r>
              <w:rPr>
                <w:rFonts w:ascii="Arial" w:hAnsi="Arial" w:eastAsia="Arial Unicode MS" w:cs="Arial"/>
                <w:b w:val="0"/>
                <w:color w:val="000000"/>
                <w:sz w:val="21"/>
              </w:rPr>
              <w:t>按缺口试 S 或 V</w:t>
            </w:r>
          </w:p>
        </w:tc>
        <w:tc>
          <w:tcPr>
            <w:tcW w:type="dxa" w:w="4082"/>
            <w:vAlign w:val="center"/>
          </w:tcPr>
          <w:p>
            <w:pPr>
              <w:keepNext w:val="0"/>
              <w:keepLines/>
              <w:spacing w:before="0" w:after="0" w:line="288" w:lineRule="auto"/>
              <w:jc w:val="left"/>
            </w:pPr>
            <w:r>
              <w:rPr>
                <w:rFonts w:ascii="Arial" w:hAnsi="Arial" w:eastAsia="Arial Unicode MS" w:cs="Arial"/>
                <w:b w:val="0"/>
                <w:color w:val="000000"/>
                <w:sz w:val="21"/>
              </w:rPr>
              <w:t>判断新增能力是否值得其成本</w:t>
            </w:r>
          </w:p>
        </w:tc>
      </w:tr>
    </w:tbl>
    <w:p>
      <w:pPr>
        <w:spacing w:after="80" w:before="0" w:line="20" w:lineRule="exact"/>
      </w:pPr>
      <w:r>
        <w:rPr>
          <w:rFonts w:ascii="Arial" w:hAnsi="Arial" w:eastAsia="Arial Unicode MS" w:cs="Arial"/>
          <w:color w:val="000000"/>
          <w:sz w:val="2"/>
        </w:rPr>
      </w:r>
    </w:p>
    <w:p>
      <w:r>
        <w:rPr>
          <w:rFonts w:ascii="Arial" w:hAnsi="Arial" w:eastAsia="Arial Unicode MS" w:cs="Arial"/>
          <w:b w:val="0"/>
          <w:color w:val="000000"/>
        </w:rPr>
        <w:t>浏览器与依赖使用旧 pilot 的确切安装版本和锁文件作为起点，记录 Node、Playwright、浏览器构建、操作系统、时区与视口。不要在实验过程中无记录升级。接入 S 或 V 时单独锁定其依赖；若它只支持某种浏览器，就在共同支持的浏览器上比较，并单列兼容范围。</w:t>
      </w:r>
    </w:p>
    <w:p>
      <w:r>
        <w:rPr>
          <w:rFonts w:ascii="Arial" w:hAnsi="Arial" w:eastAsia="Arial Unicode MS" w:cs="Arial"/>
          <w:b w:val="0"/>
          <w:color w:val="000000"/>
        </w:rPr>
        <w:t>同一场景所有路线使用相同的初始数据、输入、种子和义务。每个单位运行 3 次，每次独立重置浏览器上下文和应用状态。默认 workers=1、retries=0；case 总预算 120 秒，action 15 秒、navigation 30 秒、expect 10 秒。已有业务规定的等待窗应在冻结前逐项确认并统一配置。语义调用时间计入运行预算。</w:t>
      </w:r>
    </w:p>
    <w:p>
      <w:r>
        <w:rPr>
          <w:rFonts w:ascii="Arial" w:hAnsi="Arial" w:eastAsia="Arial Unicode MS" w:cs="Arial"/>
          <w:b w:val="0"/>
          <w:color w:val="000000"/>
        </w:rPr>
        <w:t>先做服务健康检查，再执行完整场景。外部基础设施故障最多修复后重跑 2 次，保留全部尝试；定位超时、模型选错对象、测试代码错误和产品崩溃不按基础设施故障洗掉。方法与目标顺序配对随机化。</w:t>
      </w:r>
    </w:p>
    <w:p>
      <w:r>
        <w:rPr>
          <w:rFonts w:ascii="Arial" w:hAnsi="Arial" w:eastAsia="Arial Unicode MS" w:cs="Arial"/>
          <w:b w:val="0"/>
          <w:color w:val="000000"/>
        </w:rPr>
        <w:t>从 Playwright JSON reporter 读取 case 清单与最终状态，不解析 stdout 第一条 passed。零 case、漏场景、skip、only 和重复 case 视为执行协议错误。三次中任何一次义务失败，该单位都不计稳定接受。</w:t>
      </w:r>
    </w:p>
    <w:p>
      <w:r>
        <w:rPr>
          <w:rFonts w:ascii="Arial" w:hAnsi="Arial" w:eastAsia="Arial Unicode MS" w:cs="Arial"/>
          <w:b w:val="0"/>
          <w:color w:val="000000"/>
        </w:rPr>
        <w:t>H 的人工准备工时与运行时间分开记录；不能只比较准备完成后的秒数。S 记录准备阶段及运行阶段全部调用。对 S 的重复运行，声明绑定是否缓存；冷启动发现与缓存回放分开报告。</w:t>
      </w:r>
    </w:p>
    <w:p>
      <w:pPr>
        <w:pStyle w:val="Heading1"/>
      </w:pPr>
      <w:r>
        <w:rPr>
          <w:rFonts w:ascii="Arial" w:hAnsi="Arial" w:eastAsia="Arial Unicode MS" w:cs="Arial"/>
          <w:b w:val="0"/>
          <w:color w:val="000000"/>
        </w:rPr>
        <w:t>9 结果状态与指标</w:t>
      </w:r>
    </w:p>
    <w:p>
      <w:pPr>
        <w:pStyle w:val="Heading2"/>
      </w:pPr>
      <w:r>
        <w:rPr>
          <w:rFonts w:ascii="Arial" w:hAnsi="Arial" w:eastAsia="Arial Unicode MS" w:cs="Arial"/>
          <w:b w:val="0"/>
          <w:color w:val="000000"/>
        </w:rPr>
        <w:t>9.1 失败原因不能由超时自动推断</w:t>
      </w:r>
    </w:p>
    <w:p>
      <w:pPr>
        <w:keepNext/>
        <w:spacing w:before="100" w:after="100"/>
      </w:pPr>
      <w:r>
        <w:rPr>
          <w:rFonts w:ascii="Arial" w:hAnsi="Arial" w:eastAsia="Arial Unicode MS" w:cs="Arial"/>
          <w:b/>
          <w:color w:val="000000"/>
          <w:sz w:val="21"/>
        </w:rPr>
        <w:t>表 6　结果状态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95" w:type="dxa"/>
          <w:bottom w:w="85" w:type="dxa"/>
          <w:right w:w="95" w:type="dxa"/>
        </w:tblCellMar>
      </w:tblPr>
      <w:tblGrid>
        <w:gridCol w:w="2891"/>
        <w:gridCol w:w="4195"/>
        <w:gridCol w:w="2324"/>
      </w:tblGrid>
      <w:tr>
        <w:trPr>
          <w:cantSplit/>
          <w:tblHeader/>
        </w:trPr>
        <w:tc>
          <w:tcPr>
            <w:tcW w:type="dxa" w:w="2891"/>
            <w:vAlign w:val="center"/>
            <w:shd w:fill="E8EDF2" w:val="clear"/>
          </w:tcPr>
          <w:p>
            <w:pPr>
              <w:keepNext/>
              <w:keepLines/>
              <w:spacing w:before="0" w:after="0" w:line="288" w:lineRule="auto"/>
              <w:jc w:val="left"/>
            </w:pPr>
            <w:r>
              <w:rPr>
                <w:rFonts w:ascii="Arial" w:hAnsi="Arial" w:eastAsia="Arial Unicode MS" w:cs="Arial"/>
                <w:b/>
                <w:color w:val="000000"/>
                <w:sz w:val="21"/>
              </w:rPr>
              <w:t>状态</w:t>
            </w:r>
          </w:p>
        </w:tc>
        <w:tc>
          <w:tcPr>
            <w:tcW w:type="dxa" w:w="4195"/>
            <w:vAlign w:val="center"/>
            <w:shd w:fill="E8EDF2" w:val="clear"/>
          </w:tcPr>
          <w:p>
            <w:pPr>
              <w:keepNext/>
              <w:keepLines/>
              <w:spacing w:before="0" w:after="0" w:line="288" w:lineRule="auto"/>
              <w:jc w:val="left"/>
            </w:pPr>
            <w:r>
              <w:rPr>
                <w:rFonts w:ascii="Arial" w:hAnsi="Arial" w:eastAsia="Arial Unicode MS" w:cs="Arial"/>
                <w:b/>
                <w:color w:val="000000"/>
                <w:sz w:val="21"/>
              </w:rPr>
              <w:t>判定依据</w:t>
            </w:r>
          </w:p>
        </w:tc>
        <w:tc>
          <w:tcPr>
            <w:tcW w:type="dxa" w:w="2324"/>
            <w:vAlign w:val="center"/>
            <w:shd w:fill="E8EDF2" w:val="clear"/>
          </w:tcPr>
          <w:p>
            <w:pPr>
              <w:keepNext/>
              <w:keepLines/>
              <w:spacing w:before="0" w:after="0" w:line="288" w:lineRule="auto"/>
              <w:jc w:val="left"/>
            </w:pPr>
            <w:r>
              <w:rPr>
                <w:rFonts w:ascii="Arial" w:hAnsi="Arial" w:eastAsia="Arial Unicode MS" w:cs="Arial"/>
                <w:b/>
                <w:color w:val="000000"/>
                <w:sz w:val="21"/>
              </w:rPr>
              <w:t>对评测的含义</w:t>
            </w:r>
          </w:p>
        </w:tc>
      </w:tr>
      <w:tr>
        <w:trPr>
          <w:cantSplit/>
        </w:trPr>
        <w:tc>
          <w:tcPr>
            <w:tcW w:type="dxa" w:w="2891"/>
            <w:vAlign w:val="center"/>
          </w:tcPr>
          <w:p>
            <w:pPr>
              <w:keepNext w:val="0"/>
              <w:keepLines/>
              <w:spacing w:before="0" w:after="0" w:line="288" w:lineRule="auto"/>
              <w:jc w:val="left"/>
            </w:pPr>
            <w:r>
              <w:rPr>
                <w:rFonts w:ascii="Arial" w:hAnsi="Arial" w:eastAsia="Arial Unicode MS" w:cs="Arial"/>
                <w:b w:val="0"/>
                <w:color w:val="000000"/>
                <w:sz w:val="21"/>
              </w:rPr>
              <w:t>PASS</w:t>
            </w:r>
          </w:p>
        </w:tc>
        <w:tc>
          <w:tcPr>
            <w:tcW w:type="dxa" w:w="4195"/>
            <w:vAlign w:val="center"/>
          </w:tcPr>
          <w:p>
            <w:pPr>
              <w:keepNext w:val="0"/>
              <w:keepLines/>
              <w:spacing w:before="0" w:after="0" w:line="288" w:lineRule="auto"/>
              <w:jc w:val="left"/>
            </w:pPr>
            <w:r>
              <w:rPr>
                <w:rFonts w:ascii="Arial" w:hAnsi="Arial" w:eastAsia="Arial Unicode MS" w:cs="Arial"/>
                <w:b w:val="0"/>
                <w:color w:val="000000"/>
                <w:sz w:val="21"/>
              </w:rPr>
              <w:t>全部场景与义务有证据通过</w:t>
            </w:r>
          </w:p>
        </w:tc>
        <w:tc>
          <w:tcPr>
            <w:tcW w:type="dxa" w:w="2324"/>
            <w:vAlign w:val="center"/>
          </w:tcPr>
          <w:p>
            <w:pPr>
              <w:keepNext w:val="0"/>
              <w:keepLines/>
              <w:spacing w:before="0" w:after="0" w:line="288" w:lineRule="auto"/>
              <w:jc w:val="left"/>
            </w:pPr>
            <w:r>
              <w:rPr>
                <w:rFonts w:ascii="Arial" w:hAnsi="Arial" w:eastAsia="Arial Unicode MS" w:cs="Arial"/>
                <w:b w:val="0"/>
                <w:color w:val="000000"/>
                <w:sz w:val="21"/>
              </w:rPr>
              <w:t>可接受</w:t>
            </w:r>
          </w:p>
        </w:tc>
      </w:tr>
      <w:tr>
        <w:trPr>
          <w:cantSplit/>
        </w:trPr>
        <w:tc>
          <w:tcPr>
            <w:tcW w:type="dxa" w:w="2891"/>
            <w:vAlign w:val="center"/>
          </w:tcPr>
          <w:p>
            <w:pPr>
              <w:keepNext w:val="0"/>
              <w:keepLines/>
              <w:spacing w:before="0" w:after="0" w:line="288" w:lineRule="auto"/>
              <w:jc w:val="left"/>
            </w:pPr>
            <w:r>
              <w:rPr>
                <w:rFonts w:ascii="Arial" w:hAnsi="Arial" w:eastAsia="Arial Unicode MS" w:cs="Arial"/>
                <w:b w:val="0"/>
                <w:color w:val="000000"/>
                <w:sz w:val="21"/>
              </w:rPr>
              <w:t>REQUIREMENT_FAIL</w:t>
            </w:r>
          </w:p>
        </w:tc>
        <w:tc>
          <w:tcPr>
            <w:tcW w:type="dxa" w:w="4195"/>
            <w:vAlign w:val="center"/>
          </w:tcPr>
          <w:p>
            <w:pPr>
              <w:keepNext w:val="0"/>
              <w:keepLines/>
              <w:spacing w:before="0" w:after="0" w:line="288" w:lineRule="auto"/>
              <w:jc w:val="left"/>
            </w:pPr>
            <w:r>
              <w:rPr>
                <w:rFonts w:ascii="Arial" w:hAnsi="Arial" w:eastAsia="Arial Unicode MS" w:cs="Arial"/>
                <w:b w:val="0"/>
                <w:color w:val="000000"/>
                <w:sz w:val="21"/>
              </w:rPr>
              <w:t>有证据违反指定义务</w:t>
            </w:r>
          </w:p>
        </w:tc>
        <w:tc>
          <w:tcPr>
            <w:tcW w:type="dxa" w:w="2324"/>
            <w:vAlign w:val="center"/>
          </w:tcPr>
          <w:p>
            <w:pPr>
              <w:keepNext w:val="0"/>
              <w:keepLines/>
              <w:spacing w:before="0" w:after="0" w:line="288" w:lineRule="auto"/>
              <w:jc w:val="left"/>
            </w:pPr>
            <w:r>
              <w:rPr>
                <w:rFonts w:ascii="Arial" w:hAnsi="Arial" w:eastAsia="Arial Unicode MS" w:cs="Arial"/>
                <w:b w:val="0"/>
                <w:color w:val="000000"/>
                <w:sz w:val="21"/>
              </w:rPr>
              <w:t>业务不符合</w:t>
            </w:r>
          </w:p>
        </w:tc>
      </w:tr>
      <w:tr>
        <w:trPr>
          <w:cantSplit/>
        </w:trPr>
        <w:tc>
          <w:tcPr>
            <w:tcW w:type="dxa" w:w="2891"/>
            <w:vAlign w:val="center"/>
          </w:tcPr>
          <w:p>
            <w:pPr>
              <w:keepNext w:val="0"/>
              <w:keepLines/>
              <w:spacing w:before="0" w:after="0" w:line="288" w:lineRule="auto"/>
              <w:jc w:val="left"/>
            </w:pPr>
            <w:r>
              <w:rPr>
                <w:rFonts w:ascii="Arial" w:hAnsi="Arial" w:eastAsia="Arial Unicode MS" w:cs="Arial"/>
                <w:b w:val="0"/>
                <w:color w:val="000000"/>
                <w:sz w:val="21"/>
              </w:rPr>
              <w:t>ADAPTATION_UNKNOWN</w:t>
            </w:r>
          </w:p>
        </w:tc>
        <w:tc>
          <w:tcPr>
            <w:tcW w:type="dxa" w:w="4195"/>
            <w:vAlign w:val="center"/>
          </w:tcPr>
          <w:p>
            <w:pPr>
              <w:keepNext w:val="0"/>
              <w:keepLines/>
              <w:spacing w:before="0" w:after="0" w:line="288" w:lineRule="auto"/>
              <w:jc w:val="left"/>
            </w:pPr>
            <w:r>
              <w:rPr>
                <w:rFonts w:ascii="Arial" w:hAnsi="Arial" w:eastAsia="Arial Unicode MS" w:cs="Arial"/>
                <w:b w:val="0"/>
                <w:color w:val="000000"/>
                <w:sz w:val="21"/>
              </w:rPr>
              <w:t>无法可靠定位、操作或提取</w:t>
            </w:r>
          </w:p>
        </w:tc>
        <w:tc>
          <w:tcPr>
            <w:tcW w:type="dxa" w:w="2324"/>
            <w:vAlign w:val="center"/>
          </w:tcPr>
          <w:p>
            <w:pPr>
              <w:keepNext w:val="0"/>
              <w:keepLines/>
              <w:spacing w:before="0" w:after="0" w:line="288" w:lineRule="auto"/>
              <w:jc w:val="left"/>
            </w:pPr>
            <w:r>
              <w:rPr>
                <w:rFonts w:ascii="Arial" w:hAnsi="Arial" w:eastAsia="Arial Unicode MS" w:cs="Arial"/>
                <w:b w:val="0"/>
                <w:color w:val="000000"/>
                <w:sz w:val="21"/>
              </w:rPr>
              <w:t>未完成评测，需适配或复核</w:t>
            </w:r>
          </w:p>
        </w:tc>
      </w:tr>
      <w:tr>
        <w:trPr>
          <w:cantSplit/>
        </w:trPr>
        <w:tc>
          <w:tcPr>
            <w:tcW w:type="dxa" w:w="2891"/>
            <w:vAlign w:val="center"/>
          </w:tcPr>
          <w:p>
            <w:pPr>
              <w:keepNext w:val="0"/>
              <w:keepLines/>
              <w:spacing w:before="0" w:after="0" w:line="288" w:lineRule="auto"/>
              <w:jc w:val="left"/>
            </w:pPr>
            <w:r>
              <w:rPr>
                <w:rFonts w:ascii="Arial" w:hAnsi="Arial" w:eastAsia="Arial Unicode MS" w:cs="Arial"/>
                <w:b w:val="0"/>
                <w:color w:val="000000"/>
                <w:sz w:val="21"/>
              </w:rPr>
              <w:t>TEST_ERROR</w:t>
            </w:r>
          </w:p>
        </w:tc>
        <w:tc>
          <w:tcPr>
            <w:tcW w:type="dxa" w:w="4195"/>
            <w:vAlign w:val="center"/>
          </w:tcPr>
          <w:p>
            <w:pPr>
              <w:keepNext w:val="0"/>
              <w:keepLines/>
              <w:spacing w:before="0" w:after="0" w:line="288" w:lineRule="auto"/>
              <w:jc w:val="left"/>
            </w:pPr>
            <w:r>
              <w:rPr>
                <w:rFonts w:ascii="Arial" w:hAnsi="Arial" w:eastAsia="Arial Unicode MS" w:cs="Arial"/>
                <w:b w:val="0"/>
                <w:color w:val="000000"/>
                <w:sz w:val="21"/>
              </w:rPr>
              <w:t>评测器语法或执行逻辑错误</w:t>
            </w:r>
          </w:p>
        </w:tc>
        <w:tc>
          <w:tcPr>
            <w:tcW w:type="dxa" w:w="2324"/>
            <w:vAlign w:val="center"/>
          </w:tcPr>
          <w:p>
            <w:pPr>
              <w:keepNext w:val="0"/>
              <w:keepLines/>
              <w:spacing w:before="0" w:after="0" w:line="288" w:lineRule="auto"/>
              <w:jc w:val="left"/>
            </w:pPr>
            <w:r>
              <w:rPr>
                <w:rFonts w:ascii="Arial" w:hAnsi="Arial" w:eastAsia="Arial Unicode MS" w:cs="Arial"/>
                <w:b w:val="0"/>
                <w:color w:val="000000"/>
                <w:sz w:val="21"/>
              </w:rPr>
              <w:t>未完成评测，修评测器</w:t>
            </w:r>
          </w:p>
        </w:tc>
      </w:tr>
      <w:tr>
        <w:trPr>
          <w:cantSplit/>
        </w:trPr>
        <w:tc>
          <w:tcPr>
            <w:tcW w:type="dxa" w:w="2891"/>
            <w:vAlign w:val="center"/>
          </w:tcPr>
          <w:p>
            <w:pPr>
              <w:keepNext w:val="0"/>
              <w:keepLines/>
              <w:spacing w:before="0" w:after="0" w:line="288" w:lineRule="auto"/>
              <w:jc w:val="left"/>
            </w:pPr>
            <w:r>
              <w:rPr>
                <w:rFonts w:ascii="Arial" w:hAnsi="Arial" w:eastAsia="Arial Unicode MS" w:cs="Arial"/>
                <w:b w:val="0"/>
                <w:color w:val="000000"/>
                <w:sz w:val="21"/>
              </w:rPr>
              <w:t>POLICY_INVALID</w:t>
            </w:r>
          </w:p>
        </w:tc>
        <w:tc>
          <w:tcPr>
            <w:tcW w:type="dxa" w:w="4195"/>
            <w:vAlign w:val="center"/>
          </w:tcPr>
          <w:p>
            <w:pPr>
              <w:keepNext w:val="0"/>
              <w:keepLines/>
              <w:spacing w:before="0" w:after="0" w:line="288" w:lineRule="auto"/>
              <w:jc w:val="left"/>
            </w:pPr>
            <w:r>
              <w:rPr>
                <w:rFonts w:ascii="Arial" w:hAnsi="Arial" w:eastAsia="Arial Unicode MS" w:cs="Arial"/>
                <w:b w:val="0"/>
                <w:color w:val="000000"/>
                <w:sz w:val="21"/>
              </w:rPr>
              <w:t>绕过 UI、跳过义务、读标签等</w:t>
            </w:r>
          </w:p>
        </w:tc>
        <w:tc>
          <w:tcPr>
            <w:tcW w:type="dxa" w:w="2324"/>
            <w:vAlign w:val="center"/>
          </w:tcPr>
          <w:p>
            <w:pPr>
              <w:keepNext w:val="0"/>
              <w:keepLines/>
              <w:spacing w:before="0" w:after="0" w:line="288" w:lineRule="auto"/>
              <w:jc w:val="left"/>
            </w:pPr>
            <w:r>
              <w:rPr>
                <w:rFonts w:ascii="Arial" w:hAnsi="Arial" w:eastAsia="Arial Unicode MS" w:cs="Arial"/>
                <w:b w:val="0"/>
                <w:color w:val="000000"/>
                <w:sz w:val="21"/>
              </w:rPr>
              <w:t>候选无效</w:t>
            </w:r>
          </w:p>
        </w:tc>
      </w:tr>
      <w:tr>
        <w:trPr>
          <w:cantSplit/>
        </w:trPr>
        <w:tc>
          <w:tcPr>
            <w:tcW w:type="dxa" w:w="2891"/>
            <w:vAlign w:val="center"/>
          </w:tcPr>
          <w:p>
            <w:pPr>
              <w:keepNext w:val="0"/>
              <w:keepLines/>
              <w:spacing w:before="0" w:after="0" w:line="288" w:lineRule="auto"/>
              <w:jc w:val="left"/>
            </w:pPr>
            <w:r>
              <w:rPr>
                <w:rFonts w:ascii="Arial" w:hAnsi="Arial" w:eastAsia="Arial Unicode MS" w:cs="Arial"/>
                <w:b w:val="0"/>
                <w:color w:val="000000"/>
                <w:sz w:val="21"/>
              </w:rPr>
              <w:t>INFRA_UNKNOWN</w:t>
            </w:r>
          </w:p>
        </w:tc>
        <w:tc>
          <w:tcPr>
            <w:tcW w:type="dxa" w:w="4195"/>
            <w:vAlign w:val="center"/>
          </w:tcPr>
          <w:p>
            <w:pPr>
              <w:keepNext w:val="0"/>
              <w:keepLines/>
              <w:spacing w:before="0" w:after="0" w:line="288" w:lineRule="auto"/>
              <w:jc w:val="left"/>
            </w:pPr>
            <w:r>
              <w:rPr>
                <w:rFonts w:ascii="Arial" w:hAnsi="Arial" w:eastAsia="Arial Unicode MS" w:cs="Arial"/>
                <w:b w:val="0"/>
                <w:color w:val="000000"/>
                <w:sz w:val="21"/>
              </w:rPr>
              <w:t>外部运行条件未恢复</w:t>
            </w:r>
          </w:p>
        </w:tc>
        <w:tc>
          <w:tcPr>
            <w:tcW w:type="dxa" w:w="2324"/>
            <w:vAlign w:val="center"/>
          </w:tcPr>
          <w:p>
            <w:pPr>
              <w:keepNext w:val="0"/>
              <w:keepLines/>
              <w:spacing w:before="0" w:after="0" w:line="288" w:lineRule="auto"/>
              <w:jc w:val="left"/>
            </w:pPr>
            <w:r>
              <w:rPr>
                <w:rFonts w:ascii="Arial" w:hAnsi="Arial" w:eastAsia="Arial Unicode MS" w:cs="Arial"/>
                <w:b w:val="0"/>
                <w:color w:val="000000"/>
                <w:sz w:val="21"/>
              </w:rPr>
              <w:t>未完成评测，保留缺失信息</w:t>
            </w:r>
          </w:p>
        </w:tc>
      </w:tr>
    </w:tbl>
    <w:p>
      <w:pPr>
        <w:spacing w:after="80" w:before="0" w:line="20" w:lineRule="exact"/>
      </w:pPr>
      <w:r>
        <w:rPr>
          <w:rFonts w:ascii="Arial" w:hAnsi="Arial" w:eastAsia="Arial Unicode MS" w:cs="Arial"/>
          <w:color w:val="000000"/>
          <w:sz w:val="2"/>
        </w:rPr>
      </w:r>
    </w:p>
    <w:p>
      <w:r>
        <w:rPr>
          <w:rFonts w:ascii="Arial" w:hAnsi="Arial" w:eastAsia="Arial Unicode MS" w:cs="Arial"/>
          <w:b w:val="0"/>
          <w:color w:val="000000"/>
        </w:rPr>
        <w:t>找不到目标可能是定位器不足，也可能是产品确实没有必要功能。只有独立证据确认目标业务能力缺失或违约时，才能记 REQUIREMENT_FAIL。不得把所有 ADAPTATION_UNKNOWN 都归成实现错误，也不得通过这个状态隐藏真实缺陷。</w:t>
      </w:r>
    </w:p>
    <w:p>
      <w:r>
        <w:rPr>
          <w:rFonts w:ascii="Arial" w:hAnsi="Arial" w:eastAsia="Arial Unicode MS" w:cs="Arial"/>
          <w:b w:val="0"/>
          <w:color w:val="000000"/>
        </w:rPr>
        <w:t>每次结果保存目标义务、最后完成的步骤、是否到达目标、实际观察、证据路径及归因者。业务失败的证据不必全部来自最终断言，但必须与目标缺陷有因果关联；无关登录失败不能算检出了正文保存缺陷。</w:t>
      </w:r>
    </w:p>
    <w:p>
      <w:pPr>
        <w:pStyle w:val="Heading2"/>
      </w:pPr>
      <w:r>
        <w:rPr>
          <w:rFonts w:ascii="Arial" w:hAnsi="Arial" w:eastAsia="Arial Unicode MS" w:cs="Arial"/>
          <w:b w:val="0"/>
          <w:color w:val="000000"/>
        </w:rPr>
        <w:t>9.2 主指标</w:t>
      </w:r>
    </w:p>
    <w:p>
      <w:r>
        <w:rPr>
          <w:rFonts w:ascii="Arial" w:hAnsi="Arial" w:eastAsia="Arial Unicode MS" w:cs="Arial"/>
          <w:b w:val="0"/>
          <w:color w:val="000000"/>
        </w:rPr>
        <w:t>令 C 为人工确认的正确单位集合，M 为有效父本与缺陷配对集合。A(T,c)=1 表示方法 T 在 c 上三次全部 PASS；D(T,m)=1 表示在 m 上三次都确认了目标义务违约。</w:t>
      </w:r>
    </w:p>
    <w:p>
      <w:r>
        <w:rPr>
          <w:rFonts w:ascii="Arial" w:hAnsi="Arial" w:eastAsia="Arial Unicode MS" w:cs="Arial"/>
          <w:b w:val="0"/>
          <w:color w:val="000000"/>
        </w:rPr>
        <w:t>CAR@3 = Σ A(T,c) / |C|。</w:t>
      </w:r>
    </w:p>
    <w:p>
      <w:r>
        <w:rPr>
          <w:rFonts w:ascii="Arial" w:hAnsi="Arial" w:eastAsia="Arial Unicode MS" w:cs="Arial"/>
          <w:b w:val="0"/>
          <w:color w:val="000000"/>
        </w:rPr>
        <w:t>EDR@3 = Σ [A(T,parent(m)) × D(T,m)] / |M|。</w:t>
      </w:r>
    </w:p>
    <w:p>
      <w:r>
        <w:rPr>
          <w:rFonts w:ascii="Arial" w:hAnsi="Arial" w:eastAsia="Arial Unicode MS" w:cs="Arial"/>
          <w:b w:val="0"/>
          <w:color w:val="000000"/>
        </w:rPr>
        <w:t>同时报告每个需求、每种界面维度的 k/n，再给需求等权平均。固定分母由材料核验决定，不能因为某方法不接受父本就缩小缺陷分母。EDR 增加可能来自父本恢复，所以另报两方法都接受父本的共同配对子集检出情况。</w:t>
      </w:r>
    </w:p>
    <w:p>
      <w:r>
        <w:rPr>
          <w:rFonts w:ascii="Arial" w:hAnsi="Arial" w:eastAsia="Arial Unicode MS" w:cs="Arial"/>
          <w:b w:val="0"/>
          <w:color w:val="000000"/>
        </w:rPr>
        <w:t>错误放行单独报告：任一次运行将已确认缺陷记为 PASS 的单位数和运行次数。发布检查不允许用三次投票掩盖一次错误放行。缺陷上的未知或工具错误也不算有效检出。</w:t>
      </w:r>
    </w:p>
    <w:p>
      <w:pPr>
        <w:pStyle w:val="Heading2"/>
      </w:pPr>
      <w:r>
        <w:rPr>
          <w:rFonts w:ascii="Arial" w:hAnsi="Arial" w:eastAsia="Arial Unicode MS" w:cs="Arial"/>
          <w:b w:val="0"/>
          <w:color w:val="000000"/>
        </w:rPr>
        <w:t>9.3 需求覆盖与稳定性</w:t>
      </w:r>
    </w:p>
    <w:p>
      <w:r>
        <w:rPr>
          <w:rFonts w:ascii="Arial" w:hAnsi="Arial" w:eastAsia="Arial Unicode MS" w:cs="Arial"/>
          <w:b w:val="0"/>
          <w:color w:val="000000"/>
        </w:rPr>
        <w:t>建立“条款 → 场景 → 观察 → 判据 → 负例”映射。结构覆盖要求所有必测条款都有映射；执行覆盖记录实际取得证据并运行判据的义务次数，占计划次数的比例。仅存在 assertion 代码不能证明覆盖充分，实际读取错误对象也不能算有效观察。</w:t>
      </w:r>
    </w:p>
    <w:p>
      <w:r>
        <w:rPr>
          <w:rFonts w:ascii="Arial" w:hAnsi="Arial" w:eastAsia="Arial Unicode MS" w:cs="Arial"/>
          <w:b w:val="0"/>
          <w:color w:val="000000"/>
        </w:rPr>
        <w:t>对正确单位报告各义务的执行覆盖；对缺陷单位报告目标义务到达和检出，区分前置阻断。若采用 fail-fast，未执行的后续义务仍计为未覆盖，不推测它们通过。为视觉义务单列自动完成和人工复核比例。</w:t>
      </w:r>
    </w:p>
    <w:p>
      <w:r>
        <w:rPr>
          <w:rFonts w:ascii="Arial" w:hAnsi="Arial" w:eastAsia="Arial Unicode MS" w:cs="Arial"/>
          <w:b w:val="0"/>
          <w:color w:val="000000"/>
        </w:rPr>
        <w:t>稳定性报告三次结果是否一致，以及 PASS 与非 PASS 的翻转单位数；另列业务失败、适配未知、工具错误和外部未知的转移。三次全部未知虽稳定，仍不代表评测有效。拟发布方案在最终验收集上做总计 K=10 的复跑，原有 3 次计入 10 次。</w:t>
      </w:r>
    </w:p>
    <w:p>
      <w:r>
        <w:rPr>
          <w:rFonts w:ascii="Arial" w:hAnsi="Arial" w:eastAsia="Arial Unicode MS" w:cs="Arial"/>
          <w:b w:val="0"/>
          <w:color w:val="000000"/>
        </w:rPr>
        <w:t>适配未知和测试错误保留在固定分母中，当前方法的 CAR 和 EDR 均不因此获得分数；它们已经暴露评测器能力不足，不能按“可能成功”提高能力估计。只有外部基础设施导致未完成的运行，另给缺失假设下的保守下界与可能上界。已有一次确定失败的正确单位，不得因另一次外部未知而加入 CAR@3 上界。标签本身未决的单位另列数量和占计划样本比例，必要时做标签假设下的敏感性表；不能只公布已完成部分的漂亮百分比。</w:t>
      </w:r>
    </w:p>
    <w:p>
      <w:pPr>
        <w:pStyle w:val="Heading2"/>
      </w:pPr>
      <w:r>
        <w:rPr>
          <w:rFonts w:ascii="Arial" w:hAnsi="Arial" w:eastAsia="Arial Unicode MS" w:cs="Arial"/>
          <w:b w:val="0"/>
          <w:color w:val="000000"/>
        </w:rPr>
        <w:t>9.4 成本与结论边界</w:t>
      </w:r>
    </w:p>
    <w:p>
      <w:r>
        <w:rPr>
          <w:rFonts w:ascii="Arial" w:hAnsi="Arial" w:eastAsia="Arial Unicode MS" w:cs="Arial"/>
          <w:b w:val="0"/>
          <w:color w:val="000000"/>
        </w:rPr>
        <w:t>记录每个需求和每套实现的驱动开发、人工绑定、标记接入、核验、维护工时，以及模型调用、实际 token、费用、运行中位数和 P95。初次开发与后续新增实现的边际成本分开记录。</w:t>
      </w:r>
    </w:p>
    <w:p>
      <w:r>
        <w:rPr>
          <w:rFonts w:ascii="Arial" w:hAnsi="Arial" w:eastAsia="Arial Unicode MS" w:cs="Arial"/>
          <w:b w:val="0"/>
          <w:color w:val="000000"/>
        </w:rPr>
        <w:t>样本规模小且许多材料来自同一根实现，报告逐例变化、k/n 和成本即可。重复运行不是独立软件样本，不做夸大的总体显著性推断。注入缺陷结果不能替代自然缺陷表现。</w:t>
      </w:r>
    </w:p>
    <w:p>
      <w:pPr>
        <w:pStyle w:val="Heading1"/>
      </w:pPr>
      <w:r>
        <w:rPr>
          <w:rFonts w:ascii="Arial" w:hAnsi="Arial" w:eastAsia="Arial Unicode MS" w:cs="Arial"/>
          <w:b w:val="0"/>
          <w:color w:val="000000"/>
        </w:rPr>
        <w:t>10 接受方案与更换框架的条件</w:t>
      </w:r>
    </w:p>
    <w:p>
      <w:pPr>
        <w:pStyle w:val="Heading2"/>
      </w:pPr>
      <w:r>
        <w:rPr>
          <w:rFonts w:ascii="Arial" w:hAnsi="Arial" w:eastAsia="Arial Unicode MS" w:cs="Arial"/>
          <w:b w:val="0"/>
          <w:color w:val="000000"/>
        </w:rPr>
        <w:t>10.1 工程发布条件</w:t>
      </w:r>
    </w:p>
    <w:p>
      <w:r>
        <w:rPr>
          <w:rFonts w:ascii="Arial" w:hAnsi="Arial" w:eastAsia="Arial Unicode MS" w:cs="Arial"/>
          <w:b w:val="0"/>
          <w:color w:val="000000"/>
        </w:rPr>
        <w:t>拟发布的支持范围必须逐项说明。三个已知案例均需完成可信诊断；确认正确且处于支持范围的案例应三次通过，真实有缺陷的案例应正确拒绝，未决情况不可包装成已修好。</w:t>
      </w:r>
    </w:p>
    <w:p>
      <w:r>
        <w:rPr>
          <w:rFonts w:ascii="Arial" w:hAnsi="Arial" w:eastAsia="Arial Unicode MS" w:cs="Arial"/>
          <w:b w:val="0"/>
          <w:color w:val="000000"/>
        </w:rPr>
        <w:t>默认验收目标是：新验收集 6 个确认正确单位全部稳定接受，12 个有效缺陷配对全部稳定有效检出；全部必测义务有可信证据；没有新错误放行、越权动作或跳过；最终 K=10 不发生状态翻转。标签或配对数量变化时使用冻结后的实际 k/n，任何目标调整必须发生在看成绩之前。</w:t>
      </w:r>
    </w:p>
    <w:p>
      <w:r>
        <w:rPr>
          <w:rFonts w:ascii="Arial" w:hAnsi="Arial" w:eastAsia="Arial Unicode MS" w:cs="Arial"/>
          <w:b w:val="0"/>
          <w:color w:val="000000"/>
        </w:rPr>
        <w:t>在全部确认回归材料上，候选不得丢失 B 已有的稳定接受与目标缺陷检出。相对 B 必须恢复至少一个经确认的适配失败，或在覆盖相同的条件下减少接入限制或维护成本；否则不能声称改进有效。前者按实例报告，后者须有接入条款和工时证据。</w:t>
      </w:r>
    </w:p>
    <w:p>
      <w:r>
        <w:rPr>
          <w:rFonts w:ascii="Arial" w:hAnsi="Arial" w:eastAsia="Arial Unicode MS" w:cs="Arial"/>
          <w:b w:val="0"/>
          <w:color w:val="000000"/>
        </w:rPr>
        <w:t>该门槛是小规模工程验收标准，不证明无限制泛化。未达到时可以发布范围更窄的版本，但需明确支持列表、失败原因和人工复核流程；不得把未知改成通过来满足门槛。</w:t>
      </w:r>
    </w:p>
    <w:p>
      <w:pPr>
        <w:pStyle w:val="Heading2"/>
      </w:pPr>
      <w:r>
        <w:rPr>
          <w:rFonts w:ascii="Arial" w:hAnsi="Arial" w:eastAsia="Arial Unicode MS" w:cs="Arial"/>
          <w:b w:val="0"/>
          <w:color w:val="000000"/>
        </w:rPr>
        <w:t>10.2 启用语义识别的条件</w:t>
      </w:r>
    </w:p>
    <w:p>
      <w:r>
        <w:rPr>
          <w:rFonts w:ascii="Arial" w:hAnsi="Arial" w:eastAsia="Arial Unicode MS" w:cs="Arial"/>
          <w:b w:val="0"/>
          <w:color w:val="000000"/>
        </w:rPr>
        <w:t>若人能明确完成任务，D 仍因名称、结构或语境识别失败，而可复用驱动已无法在合理工作量内解决，可试 S。建议开发预算为每类失败最多 4 小时诊断与通用修复；超过后先说明缺口，再决定是否扩大投入，不无限追加别名。</w:t>
      </w:r>
    </w:p>
    <w:p>
      <w:r>
        <w:rPr>
          <w:rFonts w:ascii="Arial" w:hAnsi="Arial" w:eastAsia="Arial Unicode MS" w:cs="Arial"/>
          <w:b w:val="0"/>
          <w:color w:val="000000"/>
        </w:rPr>
        <w:t>先在已公开的失败样例上验证 S 是否找到正确对象。S 仍必须通过同一完整场景与缺陷检查。若只是增加模型调用却未减少未知，或引入错误对象操作，应停止该路线。模型只通过一个演示不构成替代 D 的依据。</w:t>
      </w:r>
    </w:p>
    <w:p>
      <w:pPr>
        <w:pStyle w:val="Heading2"/>
      </w:pPr>
      <w:r>
        <w:rPr>
          <w:rFonts w:ascii="Arial" w:hAnsi="Arial" w:eastAsia="Arial Unicode MS" w:cs="Arial"/>
          <w:b w:val="0"/>
          <w:color w:val="000000"/>
        </w:rPr>
        <w:t>10.3 更换执行框架的条件</w:t>
      </w:r>
    </w:p>
    <w:p>
      <w:r>
        <w:rPr>
          <w:rFonts w:ascii="Arial" w:hAnsi="Arial" w:eastAsia="Arial Unicode MS" w:cs="Arial"/>
          <w:b w:val="0"/>
          <w:color w:val="000000"/>
        </w:rPr>
        <w:t>换框架前提交最小复现：用户可完成的操作、当前驱动无法完成的具体步骤、已尝试的标准能力、替代工具的完整执行证据，以及对缺陷检出的影响。普通名称不匹配或观察规则错误，优先修复绑定与观察。</w:t>
      </w:r>
    </w:p>
    <w:p>
      <w:r>
        <w:rPr>
          <w:rFonts w:ascii="Arial" w:hAnsi="Arial" w:eastAsia="Arial Unicode MS" w:cs="Arial"/>
          <w:b w:val="0"/>
          <w:color w:val="000000"/>
        </w:rPr>
        <w:t>Playwright 已支持多种定位及输入方式；换为 Selenium 或 Cypress 仍需建立业务语义到控件的映射。因此，不以“换框架可能更智能”作为迁移理由。[来源 1、2、4、5]</w:t>
      </w:r>
    </w:p>
    <w:p>
      <w:r>
        <w:rPr>
          <w:rFonts w:ascii="Arial" w:hAnsi="Arial" w:eastAsia="Arial Unicode MS" w:cs="Arial"/>
          <w:b w:val="0"/>
          <w:color w:val="000000"/>
        </w:rPr>
        <w:t>当 DOM 没有提供足够交互信息、界面主要由 Canvas 绘制，或任务涉及浏览器外原生 UI 时，可评估视觉通道或新的执行器。这是待验证的选项，不预设它更准确。先替换失败能力的驱动，保留场景、判据和日志接口，避免一次重写整个 benchmark。</w:t>
      </w:r>
    </w:p>
    <w:p>
      <w:r>
        <w:rPr>
          <w:rFonts w:ascii="Arial" w:hAnsi="Arial" w:eastAsia="Arial Unicode MS" w:cs="Arial"/>
          <w:b w:val="0"/>
          <w:color w:val="000000"/>
        </w:rPr>
        <w:t>替代方案至少应恢复一个已确认的能力缺口，满足相同的正确与缺陷回归，并披露模型成本、运行波动、浏览器支持范围和人工介入。只有在这些条件满足且维护代价可接受时才迁移。若结果证据仍不可靠，换执行器也不能解决观察问题。</w:t>
      </w:r>
    </w:p>
    <w:p>
      <w:pPr>
        <w:pStyle w:val="Heading1"/>
      </w:pPr>
      <w:r>
        <w:rPr>
          <w:rFonts w:ascii="Arial" w:hAnsi="Arial" w:eastAsia="Arial Unicode MS" w:cs="Arial"/>
          <w:b w:val="0"/>
          <w:color w:val="000000"/>
        </w:rPr>
        <w:t>11 时间预算与运行规模</w:t>
      </w:r>
    </w:p>
    <w:p>
      <w:pPr>
        <w:keepNext/>
        <w:spacing w:before="100" w:after="100"/>
      </w:pPr>
      <w:r>
        <w:rPr>
          <w:rFonts w:ascii="Arial" w:hAnsi="Arial" w:eastAsia="Arial Unicode MS" w:cs="Arial"/>
          <w:b/>
          <w:color w:val="000000"/>
          <w:sz w:val="21"/>
        </w:rPr>
        <w:t>表 7　默认工作量估计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95" w:type="dxa"/>
          <w:bottom w:w="85" w:type="dxa"/>
          <w:right w:w="95" w:type="dxa"/>
        </w:tblCellMar>
      </w:tblPr>
      <w:tblGrid>
        <w:gridCol w:w="3969"/>
        <w:gridCol w:w="1984"/>
        <w:gridCol w:w="3458"/>
      </w:tblGrid>
      <w:tr>
        <w:trPr>
          <w:cantSplit/>
          <w:tblHeader/>
        </w:trPr>
        <w:tc>
          <w:tcPr>
            <w:tcW w:type="dxa" w:w="3969"/>
            <w:vAlign w:val="center"/>
            <w:shd w:fill="E8EDF2" w:val="clear"/>
          </w:tcPr>
          <w:p>
            <w:pPr>
              <w:keepNext/>
              <w:keepLines/>
              <w:spacing w:before="0" w:after="0" w:line="288" w:lineRule="auto"/>
              <w:jc w:val="left"/>
            </w:pPr>
            <w:r>
              <w:rPr>
                <w:rFonts w:ascii="Arial" w:hAnsi="Arial" w:eastAsia="Arial Unicode MS" w:cs="Arial"/>
                <w:b/>
                <w:color w:val="000000"/>
                <w:sz w:val="21"/>
              </w:rPr>
              <w:t>工作包</w:t>
            </w:r>
          </w:p>
        </w:tc>
        <w:tc>
          <w:tcPr>
            <w:tcW w:type="dxa" w:w="1984"/>
            <w:vAlign w:val="center"/>
            <w:shd w:fill="E8EDF2" w:val="clear"/>
          </w:tcPr>
          <w:p>
            <w:pPr>
              <w:keepNext/>
              <w:keepLines/>
              <w:spacing w:before="0" w:after="0" w:line="288" w:lineRule="auto"/>
              <w:jc w:val="left"/>
            </w:pPr>
            <w:r>
              <w:rPr>
                <w:rFonts w:ascii="Arial" w:hAnsi="Arial" w:eastAsia="Arial Unicode MS" w:cs="Arial"/>
                <w:b/>
                <w:color w:val="000000"/>
                <w:sz w:val="21"/>
              </w:rPr>
              <w:t>人工工时</w:t>
            </w:r>
          </w:p>
        </w:tc>
        <w:tc>
          <w:tcPr>
            <w:tcW w:type="dxa" w:w="3458"/>
            <w:vAlign w:val="center"/>
            <w:shd w:fill="E8EDF2" w:val="clear"/>
          </w:tcPr>
          <w:p>
            <w:pPr>
              <w:keepNext/>
              <w:keepLines/>
              <w:spacing w:before="0" w:after="0" w:line="288" w:lineRule="auto"/>
              <w:jc w:val="left"/>
            </w:pPr>
            <w:r>
              <w:rPr>
                <w:rFonts w:ascii="Arial" w:hAnsi="Arial" w:eastAsia="Arial Unicode MS" w:cs="Arial"/>
                <w:b/>
                <w:color w:val="000000"/>
                <w:sz w:val="21"/>
              </w:rPr>
              <w:t>交付</w:t>
            </w:r>
          </w:p>
        </w:tc>
      </w:tr>
      <w:tr>
        <w:trPr>
          <w:cantSplit/>
        </w:trPr>
        <w:tc>
          <w:tcPr>
            <w:tcW w:type="dxa" w:w="3969"/>
            <w:vAlign w:val="center"/>
          </w:tcPr>
          <w:p>
            <w:pPr>
              <w:keepNext w:val="0"/>
              <w:keepLines/>
              <w:spacing w:before="0" w:after="0" w:line="288" w:lineRule="auto"/>
              <w:jc w:val="left"/>
            </w:pPr>
            <w:r>
              <w:rPr>
                <w:rFonts w:ascii="Arial" w:hAnsi="Arial" w:eastAsia="Arial Unicode MS" w:cs="Arial"/>
                <w:b w:val="0"/>
                <w:color w:val="000000"/>
                <w:sz w:val="21"/>
              </w:rPr>
              <w:t>需求与旧标签审查</w:t>
            </w:r>
          </w:p>
        </w:tc>
        <w:tc>
          <w:tcPr>
            <w:tcW w:type="dxa" w:w="1984"/>
            <w:vAlign w:val="center"/>
          </w:tcPr>
          <w:p>
            <w:pPr>
              <w:keepNext w:val="0"/>
              <w:keepLines/>
              <w:spacing w:before="0" w:after="0" w:line="288" w:lineRule="auto"/>
              <w:jc w:val="left"/>
            </w:pPr>
            <w:r>
              <w:rPr>
                <w:rFonts w:ascii="Arial" w:hAnsi="Arial" w:eastAsia="Arial Unicode MS" w:cs="Arial"/>
                <w:b w:val="0"/>
                <w:color w:val="000000"/>
                <w:sz w:val="21"/>
              </w:rPr>
              <w:t>6 至 10 小时</w:t>
            </w:r>
          </w:p>
        </w:tc>
        <w:tc>
          <w:tcPr>
            <w:tcW w:type="dxa" w:w="3458"/>
            <w:vAlign w:val="center"/>
          </w:tcPr>
          <w:p>
            <w:pPr>
              <w:keepNext w:val="0"/>
              <w:keepLines/>
              <w:spacing w:before="0" w:after="0" w:line="288" w:lineRule="auto"/>
              <w:jc w:val="left"/>
            </w:pPr>
            <w:r>
              <w:rPr>
                <w:rFonts w:ascii="Arial" w:hAnsi="Arial" w:eastAsia="Arial Unicode MS" w:cs="Arial"/>
                <w:b w:val="0"/>
                <w:color w:val="000000"/>
                <w:sz w:val="21"/>
              </w:rPr>
              <w:t>B1、裁决记录、材料账本</w:t>
            </w:r>
          </w:p>
        </w:tc>
      </w:tr>
      <w:tr>
        <w:trPr>
          <w:cantSplit/>
        </w:trPr>
        <w:tc>
          <w:tcPr>
            <w:tcW w:type="dxa" w:w="3969"/>
            <w:vAlign w:val="center"/>
          </w:tcPr>
          <w:p>
            <w:pPr>
              <w:keepNext w:val="0"/>
              <w:keepLines/>
              <w:spacing w:before="0" w:after="0" w:line="288" w:lineRule="auto"/>
              <w:jc w:val="left"/>
            </w:pPr>
            <w:r>
              <w:rPr>
                <w:rFonts w:ascii="Arial" w:hAnsi="Arial" w:eastAsia="Arial Unicode MS" w:cs="Arial"/>
                <w:b w:val="0"/>
                <w:color w:val="000000"/>
                <w:sz w:val="21"/>
              </w:rPr>
              <w:t>三案例诊断与驱动修复</w:t>
            </w:r>
          </w:p>
        </w:tc>
        <w:tc>
          <w:tcPr>
            <w:tcW w:type="dxa" w:w="1984"/>
            <w:vAlign w:val="center"/>
          </w:tcPr>
          <w:p>
            <w:pPr>
              <w:keepNext w:val="0"/>
              <w:keepLines/>
              <w:spacing w:before="0" w:after="0" w:line="288" w:lineRule="auto"/>
              <w:jc w:val="left"/>
            </w:pPr>
            <w:r>
              <w:rPr>
                <w:rFonts w:ascii="Arial" w:hAnsi="Arial" w:eastAsia="Arial Unicode MS" w:cs="Arial"/>
                <w:b w:val="0"/>
                <w:color w:val="000000"/>
                <w:sz w:val="21"/>
              </w:rPr>
              <w:t>12 至 18 小时</w:t>
            </w:r>
          </w:p>
        </w:tc>
        <w:tc>
          <w:tcPr>
            <w:tcW w:type="dxa" w:w="3458"/>
            <w:vAlign w:val="center"/>
          </w:tcPr>
          <w:p>
            <w:pPr>
              <w:keepNext w:val="0"/>
              <w:keepLines/>
              <w:spacing w:before="0" w:after="0" w:line="288" w:lineRule="auto"/>
              <w:jc w:val="left"/>
            </w:pPr>
            <w:r>
              <w:rPr>
                <w:rFonts w:ascii="Arial" w:hAnsi="Arial" w:eastAsia="Arial Unicode MS" w:cs="Arial"/>
                <w:b w:val="0"/>
                <w:color w:val="000000"/>
                <w:sz w:val="21"/>
              </w:rPr>
              <w:t>B、D、最小复现与回归</w:t>
            </w:r>
          </w:p>
        </w:tc>
      </w:tr>
      <w:tr>
        <w:trPr>
          <w:cantSplit/>
        </w:trPr>
        <w:tc>
          <w:tcPr>
            <w:tcW w:type="dxa" w:w="3969"/>
            <w:vAlign w:val="center"/>
          </w:tcPr>
          <w:p>
            <w:pPr>
              <w:keepNext w:val="0"/>
              <w:keepLines/>
              <w:spacing w:before="0" w:after="0" w:line="288" w:lineRule="auto"/>
              <w:jc w:val="left"/>
            </w:pPr>
            <w:r>
              <w:rPr>
                <w:rFonts w:ascii="Arial" w:hAnsi="Arial" w:eastAsia="Arial Unicode MS" w:cs="Arial"/>
                <w:b w:val="0"/>
                <w:color w:val="000000"/>
                <w:sz w:val="21"/>
              </w:rPr>
              <w:t>新变体和缺陷制作核验</w:t>
            </w:r>
          </w:p>
        </w:tc>
        <w:tc>
          <w:tcPr>
            <w:tcW w:type="dxa" w:w="1984"/>
            <w:vAlign w:val="center"/>
          </w:tcPr>
          <w:p>
            <w:pPr>
              <w:keepNext w:val="0"/>
              <w:keepLines/>
              <w:spacing w:before="0" w:after="0" w:line="288" w:lineRule="auto"/>
              <w:jc w:val="left"/>
            </w:pPr>
            <w:r>
              <w:rPr>
                <w:rFonts w:ascii="Arial" w:hAnsi="Arial" w:eastAsia="Arial Unicode MS" w:cs="Arial"/>
                <w:b w:val="0"/>
                <w:color w:val="000000"/>
                <w:sz w:val="21"/>
              </w:rPr>
              <w:t>18 至 30 小时</w:t>
            </w:r>
          </w:p>
        </w:tc>
        <w:tc>
          <w:tcPr>
            <w:tcW w:type="dxa" w:w="3458"/>
            <w:vAlign w:val="center"/>
          </w:tcPr>
          <w:p>
            <w:pPr>
              <w:keepNext w:val="0"/>
              <w:keepLines/>
              <w:spacing w:before="0" w:after="0" w:line="288" w:lineRule="auto"/>
              <w:jc w:val="left"/>
            </w:pPr>
            <w:r>
              <w:rPr>
                <w:rFonts w:ascii="Arial" w:hAnsi="Arial" w:eastAsia="Arial Unicode MS" w:cs="Arial"/>
                <w:b w:val="0"/>
                <w:color w:val="000000"/>
                <w:sz w:val="21"/>
              </w:rPr>
              <w:t>12 个正确与 24 个缺陷单位</w:t>
            </w:r>
          </w:p>
        </w:tc>
      </w:tr>
      <w:tr>
        <w:trPr>
          <w:cantSplit/>
        </w:trPr>
        <w:tc>
          <w:tcPr>
            <w:tcW w:type="dxa" w:w="3969"/>
            <w:vAlign w:val="center"/>
          </w:tcPr>
          <w:p>
            <w:pPr>
              <w:keepNext w:val="0"/>
              <w:keepLines/>
              <w:spacing w:before="0" w:after="0" w:line="288" w:lineRule="auto"/>
              <w:jc w:val="left"/>
            </w:pPr>
            <w:r>
              <w:rPr>
                <w:rFonts w:ascii="Arial" w:hAnsi="Arial" w:eastAsia="Arial Unicode MS" w:cs="Arial"/>
                <w:b w:val="0"/>
                <w:color w:val="000000"/>
                <w:sz w:val="21"/>
              </w:rPr>
              <w:t>冻结验收与报告</w:t>
            </w:r>
          </w:p>
        </w:tc>
        <w:tc>
          <w:tcPr>
            <w:tcW w:type="dxa" w:w="1984"/>
            <w:vAlign w:val="center"/>
          </w:tcPr>
          <w:p>
            <w:pPr>
              <w:keepNext w:val="0"/>
              <w:keepLines/>
              <w:spacing w:before="0" w:after="0" w:line="288" w:lineRule="auto"/>
              <w:jc w:val="left"/>
            </w:pPr>
            <w:r>
              <w:rPr>
                <w:rFonts w:ascii="Arial" w:hAnsi="Arial" w:eastAsia="Arial Unicode MS" w:cs="Arial"/>
                <w:b w:val="0"/>
                <w:color w:val="000000"/>
                <w:sz w:val="21"/>
              </w:rPr>
              <w:t>8 至 16 小时</w:t>
            </w:r>
          </w:p>
        </w:tc>
        <w:tc>
          <w:tcPr>
            <w:tcW w:type="dxa" w:w="3458"/>
            <w:vAlign w:val="center"/>
          </w:tcPr>
          <w:p>
            <w:pPr>
              <w:keepNext w:val="0"/>
              <w:keepLines/>
              <w:spacing w:before="0" w:after="0" w:line="288" w:lineRule="auto"/>
              <w:jc w:val="left"/>
            </w:pPr>
            <w:r>
              <w:rPr>
                <w:rFonts w:ascii="Arial" w:hAnsi="Arial" w:eastAsia="Arial Unicode MS" w:cs="Arial"/>
                <w:b w:val="0"/>
                <w:color w:val="000000"/>
                <w:sz w:val="21"/>
              </w:rPr>
              <w:t>逐例结果、费用、部署建议</w:t>
            </w:r>
          </w:p>
        </w:tc>
      </w:tr>
    </w:tbl>
    <w:p>
      <w:pPr>
        <w:spacing w:after="80" w:before="0" w:line="20" w:lineRule="exact"/>
      </w:pPr>
      <w:r>
        <w:rPr>
          <w:rFonts w:ascii="Arial" w:hAnsi="Arial" w:eastAsia="Arial Unicode MS" w:cs="Arial"/>
          <w:color w:val="000000"/>
          <w:sz w:val="2"/>
        </w:rPr>
      </w:r>
    </w:p>
    <w:p>
      <w:r>
        <w:rPr>
          <w:rFonts w:ascii="Arial" w:hAnsi="Arial" w:eastAsia="Arial Unicode MS" w:cs="Arial"/>
          <w:b w:val="0"/>
          <w:color w:val="000000"/>
        </w:rPr>
        <w:t>核心工作预计 44 至 74 人时，建议分布在 8 至 13 个工作日，另预留约 20% 复核和返工。多人工作按实际累计人时记录。S 或 V 的专项原型另给 12 至 24 人时上限；无法在预算内澄清能力收益时先停止扩展。</w:t>
      </w:r>
    </w:p>
    <w:p>
      <w:r>
        <w:rPr>
          <w:rFonts w:ascii="Arial" w:hAnsi="Arial" w:eastAsia="Arial Unicode MS" w:cs="Arial"/>
          <w:b w:val="0"/>
          <w:color w:val="000000"/>
        </w:rPr>
        <w:t>若旧材料 36 个全部有效，加新增 36 个，总计 72 个目标。B 和 D 各运行 3 次，共 72 × 2 × 3 = 432 次需求级执行。其中开发回归 54 个目标对应 324 次，验收 18 个目标对应 108 次。一次需求级执行包含该需求全部场景，不等于一个 Playwright case。</w:t>
      </w:r>
    </w:p>
    <w:p>
      <w:r>
        <w:rPr>
          <w:rFonts w:ascii="Arial" w:hAnsi="Arial" w:eastAsia="Arial Unicode MS" w:cs="Arial"/>
          <w:b w:val="0"/>
          <w:color w:val="000000"/>
        </w:rPr>
        <w:t>拟发布方案在 18 个验收目标上从 K=3 增至 K=10，额外 18 × 7 = 126 次。核心预计 558 次，不含人工核验、开发中间版本、基础设施重跑和新增负例。每新增一种方法完整运行 72 个目标的 K=3 矩阵，增加 216 次；仅做 18 个验收目标则增加 54 次，报告必须说明覆盖范围。</w:t>
      </w:r>
    </w:p>
    <w:p>
      <w:r>
        <w:rPr>
          <w:rFonts w:ascii="Arial" w:hAnsi="Arial" w:eastAsia="Arial Unicode MS" w:cs="Arial"/>
          <w:b w:val="0"/>
          <w:color w:val="000000"/>
        </w:rPr>
        <w:t>运行机时用首批实测的平均需求耗时 t 秒估算 N×t/3600，再加启动和重置成本。默认 B、D 和人工 H 不要求模型调用。可选 S 初次探索建议上限 200 次调用、每次输入 8k 与输出 1k token；图像、推理 token 和供应商限制单独记录。运行前填写模型、实际价格与总费用上限，不沿用旧 NUS 调用预计免费的假设。</w:t>
      </w:r>
    </w:p>
    <w:p>
      <w:r>
        <w:rPr>
          <w:rFonts w:ascii="Arial" w:hAnsi="Arial" w:eastAsia="Arial Unicode MS" w:cs="Arial"/>
          <w:b w:val="0"/>
          <w:color w:val="000000"/>
        </w:rPr>
        <w:t>若预算不足，优先完成三个案例、旧材料回归和完整业务负例，推迟新表达验收或 S/V。此时交付称为工程修复，不宣称已完成新的兼容范围验证。</w:t>
      </w:r>
    </w:p>
    <w:p>
      <w:pPr>
        <w:pStyle w:val="Heading1"/>
      </w:pPr>
      <w:r>
        <w:rPr>
          <w:rFonts w:ascii="Arial" w:hAnsi="Arial" w:eastAsia="Arial Unicode MS" w:cs="Arial"/>
          <w:b w:val="0"/>
          <w:color w:val="000000"/>
        </w:rPr>
        <w:t>12 第一周执行清单</w:t>
      </w:r>
    </w:p>
    <w:p>
      <w:r>
        <w:rPr>
          <w:rFonts w:ascii="Arial" w:hAnsi="Arial" w:eastAsia="Arial Unicode MS" w:cs="Arial"/>
          <w:b w:val="0"/>
          <w:color w:val="000000"/>
        </w:rPr>
        <w:t>第一天：创建新实验目录和只读来源快照；登记旧报告、原实现、测试与依赖 hash；复制标签为新账本；完成三个失败的人工复现；开始逐项核对 B1。第一天产物是失败归因和待裁决项，不是提高通过率的补丁数量。</w:t>
      </w:r>
    </w:p>
    <w:p>
      <w:r>
        <w:rPr>
          <w:rFonts w:ascii="Arial" w:hAnsi="Arial" w:eastAsia="Arial Unicode MS" w:cs="Arial"/>
          <w:b w:val="0"/>
          <w:color w:val="000000"/>
        </w:rPr>
        <w:t>第二天：完成关键歧义裁决，确认三例究竟哪些是正确实现；固定完整场景与义务映射；建立 B；手工绑定能够操作的 UI，验证可操作性参照；明确 D 需要补哪些控件能力。尚未确认标签的材料可以诊断，不能进入确定性成绩。</w:t>
      </w:r>
    </w:p>
    <w:p>
      <w:r>
        <w:rPr>
          <w:rFonts w:ascii="Arial" w:hAnsi="Arial" w:eastAsia="Arial Unicode MS" w:cs="Arial"/>
          <w:b w:val="0"/>
          <w:color w:val="000000"/>
        </w:rPr>
        <w:t>第三至四天：实现 D 的最小驱动和观察证据；每修一个问题立即检查对应父本、目标缺陷及错读对象样例；回放完整需求。记录是否增加了实现专用分支，若增加则归入 H，不混入 D。</w:t>
      </w:r>
    </w:p>
    <w:p>
      <w:r>
        <w:rPr>
          <w:rFonts w:ascii="Arial" w:hAnsi="Arial" w:eastAsia="Arial Unicode MS" w:cs="Arial"/>
          <w:b w:val="0"/>
          <w:color w:val="000000"/>
        </w:rPr>
        <w:t>第五天：汇总旧材料回归；确认业务检查没有减少；冻结新增界面维度与缺陷计划；由复核者准备或保管新验收材料。如果 D 已解决主要问题，继续完成新验收，不必为使用 LLM 而另造任务。若存在明确能力缺口，再填写 S/V 试验卡。</w:t>
      </w:r>
    </w:p>
    <w:p>
      <w:r>
        <w:rPr>
          <w:rFonts w:ascii="Arial" w:hAnsi="Arial" w:eastAsia="Arial Unicode MS" w:cs="Arial"/>
          <w:b w:val="0"/>
          <w:color w:val="000000"/>
        </w:rPr>
        <w:t>新 runner 最低要支持：读取单位与 case 清单、启动指定应用版本、独立重置、执行指定方法、收集 JSON reporter 与证据、判断缺场景、记录逐义务状态并汇总固定分母指标。以下目录是实现约定，无尚未存在的可直接执行命令。</w:t>
      </w:r>
    </w:p>
    <w:p>
      <w:pPr>
        <w:pStyle w:val="CodeBlock"/>
      </w:pPr>
      <w:r>
        <w:rPr>
          <w:rFonts w:ascii="Menlo" w:hAnsi="Menlo" w:eastAsia="Arial Unicode MS" w:cs="Menlo"/>
          <w:b w:val="0"/>
          <w:color w:val="000000"/>
          <w:sz w:val="17"/>
        </w:rPr>
        <w:t>benchmark-fidelity-v2/</w:t>
        <w:br/>
        <w:t xml:space="preserve">  protocol/       B1.json  changes.jsonl  run-config.json</w:t>
        <w:br/>
        <w:t xml:space="preserve">  materials/      manifest.jsonl  relations.jsonl</w:t>
        <w:br/>
        <w:t xml:space="preserve">  certification/ labels.jsonl  decisions.jsonl  evidence/</w:t>
        <w:br/>
        <w:t xml:space="preserve">  methods/        B/  D/  H/  S/  V/</w:t>
        <w:br/>
        <w:t xml:space="preserve">  bindings/       source/  frozen/  audit.jsonl</w:t>
        <w:br/>
        <w:t xml:space="preserve">  runs/           regression/  acceptance/</w:t>
        <w:br/>
        <w:t xml:space="preserve">  analysis/       unit-results.jsonl  metrics.json  REPORT.md</w:t>
      </w:r>
    </w:p>
    <w:p>
      <w:pPr>
        <w:pStyle w:val="Heading1"/>
      </w:pPr>
      <w:r>
        <w:rPr>
          <w:rFonts w:ascii="Arial" w:hAnsi="Arial" w:eastAsia="Arial Unicode MS" w:cs="Arial"/>
          <w:b w:val="0"/>
          <w:color w:val="000000"/>
        </w:rPr>
        <w:t>13 结果报告与交付</w:t>
      </w:r>
    </w:p>
    <w:p>
      <w:r>
        <w:rPr>
          <w:rFonts w:ascii="Arial" w:hAnsi="Arial" w:eastAsia="Arial Unicode MS" w:cs="Arial"/>
          <w:b w:val="0"/>
          <w:color w:val="000000"/>
        </w:rPr>
        <w:t>主表按方法报告信息来源、接入条件、CAR@3、EDR@3、错误放行、义务执行覆盖、未知数量、状态翻转、人工工时和运行成本。H、H-hook 与 D/S 分组，避免把更多人工或应用配合当成免费收益。</w:t>
      </w:r>
    </w:p>
    <w:p>
      <w:r>
        <w:rPr>
          <w:rFonts w:ascii="Arial" w:hAnsi="Arial" w:eastAsia="Arial Unicode MS" w:cs="Arial"/>
          <w:b w:val="0"/>
          <w:color w:val="000000"/>
        </w:rPr>
        <w:t>每个修复案例展示需求条款、正确行为、原失败证据、责任层、修复差异、父本恢复及目标缺陷仍被检出的证据。对未修复项写明是产品错误、规格歧义、缺少绑定还是缺少观察能力。</w:t>
      </w:r>
    </w:p>
    <w:p>
      <w:r>
        <w:rPr>
          <w:rFonts w:ascii="Arial" w:hAnsi="Arial" w:eastAsia="Arial Unicode MS" w:cs="Arial"/>
          <w:b w:val="0"/>
          <w:color w:val="000000"/>
        </w:rPr>
        <w:t>报告结论围绕部署选择：保留 Playwright 并改进驱动；采用人工绑定以支持确定实现；增加语义或视觉通道；或替换某项执行能力。选择理由应包括覆盖、误判风险和维护成本，不能只依据总通过率。</w:t>
      </w:r>
    </w:p>
    <w:p>
      <w:r>
        <w:rPr>
          <w:rFonts w:ascii="Arial" w:hAnsi="Arial" w:eastAsia="Arial Unicode MS" w:cs="Arial"/>
          <w:b w:val="0"/>
          <w:color w:val="000000"/>
        </w:rPr>
        <w:t>交付包包含 B1 与变更记录、人工标签与争议裁决、已支持界面范围、驱动与绑定、完整业务回归、原始日志、费用和限制说明。旧实验结论保持原样，新结果注明使用的契约和材料版本。</w:t>
      </w:r>
    </w:p>
    <w:p>
      <w:pPr>
        <w:pStyle w:val="Heading1"/>
      </w:pPr>
      <w:r>
        <w:rPr>
          <w:rFonts w:ascii="Arial" w:hAnsi="Arial" w:eastAsia="Arial Unicode MS" w:cs="Arial"/>
          <w:b w:val="0"/>
          <w:color w:val="000000"/>
        </w:rPr>
        <w:t>附录 A 三种可填写记录</w:t>
      </w:r>
    </w:p>
    <w:p>
      <w:r>
        <w:rPr>
          <w:rFonts w:ascii="Arial" w:hAnsi="Arial" w:eastAsia="Arial Unicode MS" w:cs="Arial"/>
          <w:b w:val="0"/>
          <w:color w:val="000000"/>
        </w:rPr>
        <w:t>案例诊断卡：case_id；requirement_id；material_hash；原始标签及人工裁决；需求原文；期望业务行为；实际 UI 行为；失败层；证据路径；修复位置；是否新增接入条件；父本结果；目标缺陷结果；复核人；未决问题。</w:t>
      </w:r>
    </w:p>
    <w:p>
      <w:r>
        <w:rPr>
          <w:rFonts w:ascii="Arial" w:hAnsi="Arial" w:eastAsia="Arial Unicode MS" w:cs="Arial"/>
          <w:b w:val="0"/>
          <w:color w:val="000000"/>
        </w:rPr>
        <w:t>绑定审计卡：binding_id；构建 hash；业务能力；目标对象；定位证据；控件驱动类型；准备来源（通用规则、人工、实现提供或模型）；是否只指向真实 UI；允许动作；动态对象参数；适用状态；缓存与失效规则；维护工时；错误绑定回归结果。</w:t>
      </w:r>
    </w:p>
    <w:p>
      <w:r>
        <w:rPr>
          <w:rFonts w:ascii="Arial" w:hAnsi="Arial" w:eastAsia="Arial Unicode MS" w:cs="Arial"/>
          <w:b w:val="0"/>
          <w:color w:val="000000"/>
        </w:rPr>
        <w:t>框架替换试验卡：gap_id；用户可完成的任务；当前执行器失败的最小复现；已尝试能力；替代执行器及版本；同一契约和样本清单；新增权限与数据来源；操作与观察证据；缺陷结果；重复运行；成本；支持范围；决定及理由。</w:t>
      </w:r>
    </w:p>
    <w:p>
      <w:pPr>
        <w:pStyle w:val="Heading1"/>
      </w:pPr>
      <w:r>
        <w:rPr>
          <w:rFonts w:ascii="Arial" w:hAnsi="Arial" w:eastAsia="Arial Unicode MS" w:cs="Arial"/>
          <w:b w:val="0"/>
          <w:color w:val="000000"/>
        </w:rPr>
        <w:t>附录 B 单次结果字段</w:t>
      </w:r>
    </w:p>
    <w:p>
      <w:pPr>
        <w:pStyle w:val="CodeBlock"/>
      </w:pPr>
      <w:r>
        <w:rPr>
          <w:rFonts w:ascii="Menlo" w:hAnsi="Menlo" w:eastAsia="Arial Unicode MS" w:cs="Menlo"/>
          <w:b w:val="0"/>
          <w:color w:val="000000"/>
          <w:sz w:val="17"/>
        </w:rPr>
        <w:t>{</w:t>
        <w:br/>
        <w:t xml:space="preserve">  "protocol_id": "benchmark-fidelity-v2",</w:t>
        <w:br/>
        <w:t xml:space="preserve">  "contract_hash": null,</w:t>
        <w:br/>
        <w:t xml:space="preserve">  "unit_id": null,</w:t>
        <w:br/>
        <w:t xml:space="preserve">  "parent_id": null,</w:t>
        <w:br/>
        <w:t xml:space="preserve">  "method_id": "D",</w:t>
        <w:br/>
        <w:t xml:space="preserve">  "material_hash": null,</w:t>
        <w:br/>
        <w:t xml:space="preserve">  "binding_hash": null,</w:t>
        <w:br/>
        <w:t xml:space="preserve">  "binding_source": null,</w:t>
        <w:br/>
        <w:t xml:space="preserve">  "reference_label": "UNDETERMINED",</w:t>
        <w:br/>
        <w:t xml:space="preserve">  "execution_repeat": 1,</w:t>
        <w:br/>
        <w:t xml:space="preserve">  "reset_id": null,</w:t>
        <w:br/>
        <w:t xml:space="preserve">  "case_ids_expected": [],</w:t>
        <w:br/>
        <w:t xml:space="preserve">  "case_ids_observed": [],</w:t>
        <w:br/>
        <w:t xml:space="preserve">  "obligation_results": [],</w:t>
        <w:br/>
        <w:t xml:space="preserve">  "result": null,</w:t>
        <w:br/>
        <w:t xml:space="preserve">  "target_failure_confirmed": null,</w:t>
        <w:br/>
        <w:t xml:space="preserve">  "evidence_paths": [],</w:t>
        <w:br/>
        <w:t xml:space="preserve">  "runtime_ms": null,</w:t>
        <w:br/>
        <w:t xml:space="preserve">  "model_calls": 0,</w:t>
        <w:br/>
        <w:t xml:space="preserve">  "manual_minutes": null,</w:t>
        <w:br/>
        <w:t xml:space="preserve">  "reviewer": null</w:t>
        <w:br/>
        <w:t>}</w:t>
      </w:r>
    </w:p>
    <w:p>
      <w:r>
        <w:rPr>
          <w:rFonts w:ascii="Arial" w:hAnsi="Arial" w:eastAsia="Arial Unicode MS" w:cs="Arial"/>
          <w:b w:val="0"/>
          <w:color w:val="000000"/>
        </w:rPr>
        <w:t>null 表示尚未填写或无法确定，不等于 false 或零成本。target_failure_confirmed 只记录目标违约证据；EDR 汇总时再独立检查正确父本是否稳定通过。正式运行前必须验证协议、材料和绑定 hash、场景列表及标签状态，拒绝把未完成记录当作有效成绩。</w:t>
      </w:r>
    </w:p>
    <w:p>
      <w:pPr>
        <w:pStyle w:val="Heading1"/>
      </w:pPr>
      <w:r>
        <w:rPr>
          <w:rFonts w:ascii="Arial" w:hAnsi="Arial" w:eastAsia="Arial Unicode MS" w:cs="Arial"/>
          <w:b w:val="0"/>
          <w:color w:val="000000"/>
        </w:rPr>
        <w:t>附录 C 执行前复核</w:t>
      </w:r>
    </w:p>
    <w:p>
      <w:pPr>
        <w:ind w:left="283" w:hanging="283"/>
      </w:pPr>
      <w:r>
        <w:rPr>
          <w:rFonts w:ascii="Arial" w:hAnsi="Arial" w:eastAsia="Arial Unicode MS" w:cs="Arial"/>
          <w:b w:val="0"/>
          <w:color w:val="000000"/>
        </w:rPr>
        <w:t>1. 目标是否仍是 bench 忠实验收需求？确认没有把 LLM 增益设为继续的必要条件。</w:t>
      </w:r>
    </w:p>
    <w:p>
      <w:pPr>
        <w:ind w:left="283" w:hanging="283"/>
      </w:pPr>
      <w:r>
        <w:rPr>
          <w:rFonts w:ascii="Arial" w:hAnsi="Arial" w:eastAsia="Arial Unicode MS" w:cs="Arial"/>
          <w:b w:val="0"/>
          <w:color w:val="000000"/>
        </w:rPr>
        <w:t>2. 是否保留全部业务义务？逐条核对规范映射、场景、观察和针对负例；检查原 oracle 中隐含的 UI 假设。</w:t>
      </w:r>
    </w:p>
    <w:p>
      <w:pPr>
        <w:ind w:left="283" w:hanging="283"/>
      </w:pPr>
      <w:r>
        <w:rPr>
          <w:rFonts w:ascii="Arial" w:hAnsi="Arial" w:eastAsia="Arial Unicode MS" w:cs="Arial"/>
          <w:b w:val="0"/>
          <w:color w:val="000000"/>
        </w:rPr>
        <w:t>3. 标签与证据是否可信？解决关键争议，记录独立复核和未决材料，避免用被改进测试给自己认证。</w:t>
      </w:r>
    </w:p>
    <w:p>
      <w:pPr>
        <w:ind w:left="283" w:hanging="283"/>
      </w:pPr>
      <w:r>
        <w:rPr>
          <w:rFonts w:ascii="Arial" w:hAnsi="Arial" w:eastAsia="Arial Unicode MS" w:cs="Arial"/>
          <w:b w:val="0"/>
          <w:color w:val="000000"/>
        </w:rPr>
        <w:t>4. 比较是否公平？区分同契约比较与历史参考，区分通用驱动、人工绑定和应用标记，并披露准备成本。</w:t>
      </w:r>
    </w:p>
    <w:p>
      <w:pPr>
        <w:ind w:left="283" w:hanging="283"/>
      </w:pPr>
      <w:r>
        <w:rPr>
          <w:rFonts w:ascii="Arial" w:hAnsi="Arial" w:eastAsia="Arial Unicode MS" w:cs="Arial"/>
          <w:b w:val="0"/>
          <w:color w:val="000000"/>
        </w:rPr>
        <w:t>5. 是否能支持结论？旧材料只作回归；新表达验收与独立实现泛化分开；成功、失败、未知和费用同时报告。</w:t>
      </w:r>
    </w:p>
    <w:p>
      <w:pPr>
        <w:pStyle w:val="Heading1"/>
      </w:pPr>
      <w:r>
        <w:rPr>
          <w:rFonts w:ascii="Arial" w:hAnsi="Arial" w:eastAsia="Arial Unicode MS" w:cs="Arial"/>
          <w:b w:val="0"/>
          <w:color w:val="000000"/>
        </w:rPr>
        <w:t>资料与技术依据</w:t>
      </w:r>
    </w:p>
    <w:p>
      <w:r>
        <w:rPr>
          <w:rFonts w:ascii="Arial" w:hAnsi="Arial" w:eastAsia="Arial Unicode MS" w:cs="Arial"/>
          <w:b w:val="0"/>
          <w:color w:val="000000"/>
        </w:rPr>
        <w:t xml:space="preserve">资料 A　</w:t>
      </w:r>
      <w:hyperlink r:id="rId10">
        <w:r>
          <w:rPr>
            <w:rFonts w:ascii="Arial" w:hAnsi="Arial" w:eastAsia="Arial Unicode MS"/>
            <w:color w:val="1F4E79"/>
            <w:u w:val="single"/>
          </w:rPr>
          <w:t>旧 pilot 最终报告</w:t>
        </w:r>
      </w:hyperlink>
      <w:r>
        <w:rPr>
          <w:rFonts w:ascii="Arial" w:hAnsi="Arial" w:eastAsia="Arial Unicode MS" w:cs="Arial"/>
          <w:b w:val="0"/>
          <w:color w:val="000000"/>
        </w:rPr>
        <w:t>。用于确定历史结果、停止决定及暂定标签限制。</w:t>
      </w:r>
    </w:p>
    <w:p>
      <w:r>
        <w:rPr>
          <w:rFonts w:ascii="Arial" w:hAnsi="Arial" w:eastAsia="Arial Unicode MS" w:cs="Arial"/>
          <w:b w:val="0"/>
          <w:color w:val="000000"/>
        </w:rPr>
        <w:t xml:space="preserve">资料 B　</w:t>
      </w:r>
      <w:hyperlink r:id="rId11">
        <w:r>
          <w:rPr>
            <w:rFonts w:ascii="Arial" w:hAnsi="Arial" w:eastAsia="Arial Unicode MS"/>
            <w:color w:val="1F4E79"/>
            <w:u w:val="single"/>
          </w:rPr>
          <w:t>旧人工裁决包</w:t>
        </w:r>
      </w:hyperlink>
      <w:r>
        <w:rPr>
          <w:rFonts w:ascii="Arial" w:hAnsi="Arial" w:eastAsia="Arial Unicode MS" w:cs="Arial"/>
          <w:b w:val="0"/>
          <w:color w:val="000000"/>
        </w:rPr>
        <w:t xml:space="preserve"> 与 </w:t>
      </w:r>
      <w:hyperlink r:id="rId12">
        <w:r>
          <w:rPr>
            <w:rFonts w:ascii="Arial" w:hAnsi="Arial" w:eastAsia="Arial Unicode MS"/>
            <w:color w:val="1F4E79"/>
            <w:u w:val="single"/>
          </w:rPr>
          <w:t>旧规格审计</w:t>
        </w:r>
      </w:hyperlink>
      <w:r>
        <w:rPr>
          <w:rFonts w:ascii="Arial" w:hAnsi="Arial" w:eastAsia="Arial Unicode MS" w:cs="Arial"/>
          <w:b w:val="0"/>
          <w:color w:val="000000"/>
        </w:rPr>
        <w:t>。用于开始 B1 审查，不作为人工核验已经完成的证明。</w:t>
      </w:r>
    </w:p>
    <w:p>
      <w:r>
        <w:rPr>
          <w:rFonts w:ascii="Arial" w:hAnsi="Arial" w:eastAsia="Arial Unicode MS" w:cs="Arial"/>
          <w:b w:val="0"/>
          <w:color w:val="000000"/>
        </w:rPr>
        <w:t xml:space="preserve">资料 C　</w:t>
      </w:r>
      <w:hyperlink r:id="rId13">
        <w:r>
          <w:rPr>
            <w:rFonts w:ascii="Arial" w:hAnsi="Arial" w:eastAsia="Arial Unicode MS"/>
            <w:color w:val="1F4E79"/>
            <w:u w:val="single"/>
          </w:rPr>
          <w:t>现有操作层</w:t>
        </w:r>
      </w:hyperlink>
      <w:r>
        <w:rPr>
          <w:rFonts w:ascii="Arial" w:hAnsi="Arial" w:eastAsia="Arial Unicode MS" w:cs="Arial"/>
          <w:b w:val="0"/>
          <w:color w:val="000000"/>
        </w:rPr>
        <w:t xml:space="preserve"> 与 </w:t>
      </w:r>
      <w:hyperlink r:id="rId14">
        <w:r>
          <w:rPr>
            <w:rFonts w:ascii="Arial" w:hAnsi="Arial" w:eastAsia="Arial Unicode MS"/>
            <w:color w:val="1F4E79"/>
            <w:u w:val="single"/>
          </w:rPr>
          <w:t>观察层</w:t>
        </w:r>
      </w:hyperlink>
      <w:r>
        <w:rPr>
          <w:rFonts w:ascii="Arial" w:hAnsi="Arial" w:eastAsia="Arial Unicode MS" w:cs="Arial"/>
          <w:b w:val="0"/>
          <w:color w:val="000000"/>
        </w:rPr>
        <w:t>。名称枚举、祖先推断及容器可见性检查是本轮诊断依据，尚不能单凭源码判定具体材料谁对谁错。</w:t>
      </w:r>
    </w:p>
    <w:p>
      <w:r>
        <w:rPr>
          <w:rFonts w:ascii="Arial" w:hAnsi="Arial" w:eastAsia="Arial Unicode MS" w:cs="Arial"/>
          <w:b w:val="0"/>
          <w:color w:val="000000"/>
        </w:rPr>
        <w:t xml:space="preserve">来源 1　</w:t>
      </w:r>
      <w:hyperlink r:id="rId15">
        <w:r>
          <w:rPr>
            <w:rFonts w:ascii="Arial" w:hAnsi="Arial" w:eastAsia="Arial Unicode MS"/>
            <w:color w:val="1F4E79"/>
            <w:u w:val="single"/>
          </w:rPr>
          <w:t>Playwright Locators</w:t>
        </w:r>
      </w:hyperlink>
      <w:r>
        <w:rPr>
          <w:rFonts w:ascii="Arial" w:hAnsi="Arial" w:eastAsia="Arial Unicode MS" w:cs="Arial"/>
          <w:b w:val="0"/>
          <w:color w:val="000000"/>
        </w:rPr>
        <w:t>。多种定位方式、显式测试接口和定位范围。固定 role/name 不是唯一选择。</w:t>
      </w:r>
    </w:p>
    <w:p>
      <w:r>
        <w:rPr>
          <w:rFonts w:ascii="Arial" w:hAnsi="Arial" w:eastAsia="Arial Unicode MS" w:cs="Arial"/>
          <w:b w:val="0"/>
          <w:color w:val="000000"/>
        </w:rPr>
        <w:t xml:space="preserve">来源 2　</w:t>
      </w:r>
      <w:hyperlink r:id="rId16">
        <w:r>
          <w:rPr>
            <w:rFonts w:ascii="Arial" w:hAnsi="Arial" w:eastAsia="Arial Unicode MS"/>
            <w:color w:val="1F4E79"/>
            <w:u w:val="single"/>
          </w:rPr>
          <w:t>Playwright Actions</w:t>
        </w:r>
      </w:hyperlink>
      <w:r>
        <w:rPr>
          <w:rFonts w:ascii="Arial" w:hAnsi="Arial" w:eastAsia="Arial Unicode MS" w:cs="Arial"/>
          <w:b w:val="0"/>
          <w:color w:val="000000"/>
        </w:rPr>
        <w:t>。原生输入、contenteditable 和其他用户交互能力。</w:t>
      </w:r>
    </w:p>
    <w:p>
      <w:r>
        <w:rPr>
          <w:rFonts w:ascii="Arial" w:hAnsi="Arial" w:eastAsia="Arial Unicode MS" w:cs="Arial"/>
          <w:b w:val="0"/>
          <w:color w:val="000000"/>
        </w:rPr>
        <w:t xml:space="preserve">来源 3　</w:t>
      </w:r>
      <w:hyperlink r:id="rId17">
        <w:r>
          <w:rPr>
            <w:rFonts w:ascii="Arial" w:hAnsi="Arial" w:eastAsia="Arial Unicode MS"/>
            <w:color w:val="1F4E79"/>
            <w:u w:val="single"/>
          </w:rPr>
          <w:t>Stagehand Introduction</w:t>
        </w:r>
      </w:hyperlink>
      <w:r>
        <w:rPr>
          <w:rFonts w:ascii="Arial" w:hAnsi="Arial" w:eastAsia="Arial Unicode MS" w:cs="Arial"/>
          <w:b w:val="0"/>
          <w:color w:val="000000"/>
        </w:rPr>
        <w:t>。语义操作、发现和提取的候选能力；是否满足本实验需要仍须验证。</w:t>
      </w:r>
    </w:p>
    <w:p>
      <w:r>
        <w:rPr>
          <w:rFonts w:ascii="Arial" w:hAnsi="Arial" w:eastAsia="Arial Unicode MS" w:cs="Arial"/>
          <w:b w:val="0"/>
          <w:color w:val="000000"/>
        </w:rPr>
        <w:t xml:space="preserve">来源 4　</w:t>
      </w:r>
      <w:hyperlink r:id="rId18">
        <w:r>
          <w:rPr>
            <w:rFonts w:ascii="Arial" w:hAnsi="Arial" w:eastAsia="Arial Unicode MS"/>
            <w:color w:val="1F4E79"/>
            <w:u w:val="single"/>
          </w:rPr>
          <w:t>Selenium Locator Strategies</w:t>
        </w:r>
      </w:hyperlink>
      <w:r>
        <w:rPr>
          <w:rFonts w:ascii="Arial" w:hAnsi="Arial" w:eastAsia="Arial Unicode MS" w:cs="Arial"/>
          <w:b w:val="0"/>
          <w:color w:val="000000"/>
        </w:rPr>
        <w:t>。更换传统浏览器自动化框架仍需定位元素。</w:t>
      </w:r>
    </w:p>
    <w:p>
      <w:r>
        <w:rPr>
          <w:rFonts w:ascii="Arial" w:hAnsi="Arial" w:eastAsia="Arial Unicode MS" w:cs="Arial"/>
          <w:b w:val="0"/>
          <w:color w:val="000000"/>
        </w:rPr>
        <w:t xml:space="preserve">来源 5　</w:t>
      </w:r>
      <w:hyperlink r:id="rId19">
        <w:r>
          <w:rPr>
            <w:rFonts w:ascii="Arial" w:hAnsi="Arial" w:eastAsia="Arial Unicode MS"/>
            <w:color w:val="1F4E79"/>
            <w:u w:val="single"/>
          </w:rPr>
          <w:t>Cypress Best Practices</w:t>
        </w:r>
      </w:hyperlink>
      <w:r>
        <w:rPr>
          <w:rFonts w:ascii="Arial" w:hAnsi="Arial" w:eastAsia="Arial Unicode MS" w:cs="Arial"/>
          <w:b w:val="0"/>
          <w:color w:val="000000"/>
        </w:rPr>
        <w:t>。测试属性与业务文本的选择应依据测试意图。</w:t>
      </w:r>
    </w:p>
    <w:p>
      <w:r>
        <w:rPr>
          <w:rFonts w:ascii="Arial" w:hAnsi="Arial" w:eastAsia="Arial Unicode MS" w:cs="Arial"/>
          <w:b w:val="0"/>
          <w:color w:val="000000"/>
        </w:rPr>
        <w:t>上述官方资料在 2026年10月19日查阅。工具文档会更新，执行时以冻结的具体版本为准；本文不把产品能力介绍当成实验效果证据。</w:t>
      </w:r>
    </w:p>
    <w:sectPr w:rsidR="00FC693F" w:rsidRPr="0006063C" w:rsidSect="00034616">
      <w:footerReference w:type="default" r:id="rId9"/>
      <w:pgSz w:w="11906" w:h="16838"/>
      <w:pgMar w:top="1134" w:right="1247" w:bottom="1077"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Unicode MS" w:cs="Arial"/>
        <w:color w:val="000000"/>
        <w:sz w:val="18"/>
      </w:rPr>
      <w:t xml:space="preserve">第 </w:t>
    </w:r>
    <w:r>
      <w:rPr>
        <w:rFonts w:ascii="Arial" w:hAnsi="Arial" w:eastAsia="Arial Unicode MS" w:cs="Arial"/>
        <w:color w:val="000000"/>
        <w:sz w:val="18"/>
      </w:rPr>
    </w:r>
    <w:fldSimple w:instr="PAGE"/>
    <w:r>
      <w:rPr>
        <w:rFonts w:ascii="Arial" w:hAnsi="Arial" w:eastAsia="Arial Unicode MS" w:cs="Arial"/>
        <w:color w:val="00000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m:mathPr>
    <m:mathFont m:val="Cambria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00"/>
    </w:pPr>
    <w:rPr>
      <w:rFonts w:ascii="Arial" w:hAnsi="Arial" w:eastAsia="Arial Unicode MS" w:cs="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300" w:lineRule="auto"/>
      <w:outlineLvl w:val="0"/>
    </w:pPr>
    <w:rPr>
      <w:rFonts w:asciiTheme="majorHAnsi" w:eastAsiaTheme="majorEastAsia" w:hAnsiTheme="majorHAnsi" w:cstheme="majorBidi" w:ascii="Arial" w:hAnsi="Arial" w:eastAsia="Arial Unicode MS" w:cs="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80" w:line="300" w:lineRule="auto"/>
      <w:outlineLvl w:val="1"/>
    </w:pPr>
    <w:rPr>
      <w:rFonts w:asciiTheme="majorHAnsi" w:eastAsiaTheme="majorEastAsia" w:hAnsiTheme="majorHAnsi" w:cstheme="majorBidi" w:ascii="Arial" w:hAnsi="Arial" w:eastAsia="Arial Unicode MS"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300" w:lineRule="auto"/>
      <w:outlineLvl w:val="2"/>
    </w:pPr>
    <w:rPr>
      <w:rFonts w:asciiTheme="majorHAnsi" w:eastAsiaTheme="majorEastAsia" w:hAnsiTheme="majorHAnsi" w:cstheme="majorBidi" w:ascii="Arial" w:hAnsi="Arial" w:eastAsia="Arial Unicode MS"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00" w:line="300" w:lineRule="auto" w:before="0"/>
      <w:contextualSpacing/>
    </w:pPr>
    <w:rPr>
      <w:rFonts w:asciiTheme="majorHAnsi" w:eastAsiaTheme="majorEastAsia" w:hAnsiTheme="majorHAnsi" w:cstheme="majorBidi" w:ascii="Arial" w:hAnsi="Arial" w:eastAsia="Arial Unicode MS" w:cs="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00" w:line="300" w:lineRule="auto"/>
    </w:pPr>
    <w:rPr>
      <w:rFonts w:asciiTheme="majorHAnsi" w:eastAsiaTheme="majorEastAsia" w:hAnsiTheme="majorHAnsi" w:cstheme="majorBidi" w:ascii="Arial" w:hAnsi="Arial" w:eastAsia="Arial Unicode MS" w:cs="Arial"/>
      <w:b w:val="0"/>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40" w:lineRule="exact" w:before="80" w:after="140"/>
      <w:ind w:left="142" w:right="85"/>
    </w:pPr>
    <w:rPr>
      <w:rFonts w:ascii="Menlo" w:hAnsi="Menlo" w:eastAsia="Arial Unicode MS" w:cs="Menlo"/>
      <w:b w:val="0"/>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Users/chenjiahao/Desktop/research/FYP/arc-bench/experiments/cross-impl-generalization-v1/analysis/PILOT-REPORT.md" TargetMode="External"/><Relationship Id="rId11" Type="http://schemas.openxmlformats.org/officeDocument/2006/relationships/hyperlink" Target="/Users/chenjiahao/Desktop/research/FYP/arc-bench/experiments/cross-impl-generalization-v1/certification/ADJUDICATION-PACKET.md" TargetMode="External"/><Relationship Id="rId12" Type="http://schemas.openxmlformats.org/officeDocument/2006/relationships/hyperlink" Target="/Users/chenjiahao/Desktop/research/FYP/arc-bench/experiments/cross-impl-generalization-v1/protocol/spec-audit-pilot.md" TargetMode="External"/><Relationship Id="rId13" Type="http://schemas.openxmlformats.org/officeDocument/2006/relationships/hyperlink" Target="/Users/chenjiahao/Desktop/research/FYP/arc-bench/experiments/cross-impl-generalization-v1/methods/M0L/keep/tests/lib/operations.ts" TargetMode="External"/><Relationship Id="rId14" Type="http://schemas.openxmlformats.org/officeDocument/2006/relationships/hyperlink" Target="/Users/chenjiahao/Desktop/research/FYP/arc-bench/experiments/cross-impl-generalization-v1/methods/M0L/keep/tests/lib/observe.ts" TargetMode="External"/><Relationship Id="rId15" Type="http://schemas.openxmlformats.org/officeDocument/2006/relationships/hyperlink" Target="https://playwright.dev/docs/locators" TargetMode="External"/><Relationship Id="rId16" Type="http://schemas.openxmlformats.org/officeDocument/2006/relationships/hyperlink" Target="https://playwright.dev/docs/input" TargetMode="External"/><Relationship Id="rId17" Type="http://schemas.openxmlformats.org/officeDocument/2006/relationships/hyperlink" Target="https://docs.stagehand.dev/v4/first-steps/introduction" TargetMode="External"/><Relationship Id="rId18" Type="http://schemas.openxmlformats.org/officeDocument/2006/relationships/hyperlink" Target="https://www.selenium.dev/documentation/webdriver/elements/locators/" TargetMode="External"/><Relationship Id="rId19" Type="http://schemas.openxmlformats.org/officeDocument/2006/relationships/hyperlink" Target="https://docs.cypress.io/app/core-concepts/best-prac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 Bench 业务保真与界面适配实验计划</dc:title>
  <dc:subject>评测器改进与工程验收</dc:subject>
  <dc:creator/>
  <cp:keywords>ARC-Bench, Playwright, 业务保真, 界面适配, 实验计划</cp:keywords>
  <dc:description>generated by python-docx</dc:description>
  <cp:lastModifiedBy/>
  <cp:revision>1</cp:revision>
  <dcterms:created xsi:type="dcterms:W3CDTF">2013-12-23T23:15:00Z</dcterms:created>
  <dcterms:modified xsi:type="dcterms:W3CDTF">2013-12-23T23:15:00Z</dcterms:modified>
  <cp:category/>
</cp:coreProperties>
</file>