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 Unicode MS" w:cs="Arial"/>
          <w:b w:val="0"/>
          <w:color w:val="000000"/>
        </w:rPr>
        <w:t>ARC Bench 跨实现泛化实验执行计划</w:t>
      </w:r>
    </w:p>
    <w:p>
      <w:pPr>
        <w:pStyle w:val="Subtitle"/>
      </w:pPr>
      <w:r>
        <w:rPr>
          <w:rFonts w:ascii="Arial" w:hAnsi="Arial" w:eastAsia="Arial Unicode MS" w:cs="Arial"/>
          <w:b w:val="0"/>
          <w:color w:val="000000"/>
        </w:rPr>
        <w:t>版本 1.1　日期 2026年10月19日　用途 研究执行与结果复核</w:t>
      </w:r>
    </w:p>
    <w:p>
      <w:r>
        <w:rPr>
          <w:rFonts w:ascii="Arial" w:hAnsi="Arial" w:eastAsia="Arial Unicode MS" w:cs="Arial"/>
          <w:b w:val="0"/>
          <w:color w:val="000000"/>
        </w:rPr>
        <w:t>本实验研究如何让需求验收测试接受未参与测试修订的正确实现，同时继续检出真实业务错误。现有 role/name 约定是当前评测采用的接入方案，其写入公开要求并不证明它是最优产品表达，也不意味着研究必须永久保留它。实验将先审定哪些约定承载真实业务或可访问性要求，哪些只是为自动化定位服务，再冻结所研究的兼容范围。</w:t>
      </w:r>
    </w:p>
    <w:p>
      <w:r>
        <w:rPr>
          <w:rFonts w:ascii="Arial" w:hAnsi="Arial" w:eastAsia="Arial Unicode MS" w:cs="Arial"/>
          <w:b w:val="0"/>
          <w:color w:val="000000"/>
        </w:rPr>
        <w:t>执行顺序为：划分业务义务与界面约定，预先声明允许变化的界面表达，独立核验正确实现和缺陷版本，分离页面操作、结果提取与业务判据，利用开发实现的执行反馈修订测试，最后在封存实现上评价。主实验采用业务义务保持不变的 S1 规格；S0 保留现有上游约定，用作历史兼容性对照。</w:t>
      </w:r>
    </w:p>
    <w:p>
      <w:r>
        <w:rPr>
          <w:rFonts w:ascii="Arial" w:hAnsi="Arial" w:eastAsia="Arial Unicode MS" w:cs="Arial"/>
          <w:b w:val="0"/>
          <w:color w:val="000000"/>
        </w:rPr>
        <w:t>建议先完成三条需求的可行性试验，再根据预定条件扩展到六条需求的正式实验。第一阶段的交付是可信的材料与可复现的流程；正式阶段的交付是固定测试在未见实现上的接受率、有效缺陷检出率、稳定性和成本。本文中的样本数量、预算和成功门槛是执行协议，均不代表实验结果。</w:t>
      </w:r>
    </w:p>
    <w:p>
      <w:r>
        <w:rPr>
          <w:rFonts w:ascii="Arial" w:hAnsi="Arial" w:eastAsia="Arial Unicode MS" w:cs="Arial"/>
          <w:b w:val="0"/>
          <w:color w:val="000000"/>
        </w:rPr>
        <w:t>全文按六个工作包组织：规格审计与判据冻结；跨栈材料构建与独立核验；测试分层与修订方法；数据隔离与对照实验；运行、统计与决策；文件模板与执行清单。第 14 节给出第一天即可开始的操作。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1 研究目标与结论边界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1.1 要回答的问题</w:t>
      </w:r>
    </w:p>
    <w:p>
      <w:r>
        <w:rPr>
          <w:rFonts w:ascii="Arial" w:hAnsi="Arial" w:eastAsia="Arial Unicode MS" w:cs="Arial"/>
          <w:b w:val="0"/>
          <w:color w:val="000000"/>
        </w:rPr>
        <w:t>RQ1：现有界面约定中，哪些承载业务或必要的可访问性，哪些只是当前测试的定位便利？在预先冻结的允许变化范围内，原测试会在哪些表达上失效？逐项区分定位失败、操作不兼容、结果提取失败、额外业务限制、时序问题及外部环境故障。</w:t>
      </w:r>
    </w:p>
    <w:p>
      <w:r>
        <w:rPr>
          <w:rFonts w:ascii="Arial" w:hAnsi="Arial" w:eastAsia="Arial Unicode MS" w:cs="Arial"/>
          <w:b w:val="0"/>
          <w:color w:val="000000"/>
        </w:rPr>
        <w:t>RQ2：基于多个正确实现及缺陷版本的执行反馈，多轮修订能否提高封存正确实现的稳定接受率，并保留对目标业务缺陷的有效检出？</w:t>
      </w:r>
    </w:p>
    <w:p>
      <w:r>
        <w:rPr>
          <w:rFonts w:ascii="Arial" w:hAnsi="Arial" w:eastAsia="Arial Unicode MS" w:cs="Arial"/>
          <w:b w:val="0"/>
          <w:color w:val="000000"/>
        </w:rPr>
        <w:t>RQ3：收益是否来自新增执行反馈、多实现覆盖和正负例联合约束？需要与相同轮数的无新增反馈修订、相同预算的独立候选搜索比较。</w:t>
      </w:r>
    </w:p>
    <w:p>
      <w:r>
        <w:rPr>
          <w:rFonts w:ascii="Arial" w:hAnsi="Arial" w:eastAsia="Arial Unicode MS" w:cs="Arial"/>
          <w:b w:val="0"/>
          <w:color w:val="000000"/>
        </w:rPr>
        <w:t>RQ4：修订后的测试在重复执行、未见组件表达和未见前端技术栈上是否稳定，代价是否可接受？</w:t>
      </w:r>
    </w:p>
    <w:p>
      <w:r>
        <w:rPr>
          <w:rFonts w:ascii="Arial" w:hAnsi="Arial" w:eastAsia="Arial Unicode MS" w:cs="Arial"/>
          <w:b w:val="0"/>
          <w:color w:val="000000"/>
        </w:rPr>
        <w:t>主要假设是：在义务不变的条件下，LLM 可通过跨实现反馈修复测试对具体页面结构的绑定。这个假设有可能被否定。若仅开发集改善、仅增加运行预算改善，或者接受率上升伴随缺陷检出下降，应分别报告为过拟合、执行配置改善或判定放松。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1.2 评价单位与研究范围</w:t>
      </w:r>
    </w:p>
    <w:p>
      <w:r>
        <w:rPr>
          <w:rFonts w:ascii="Arial" w:hAnsi="Arial" w:eastAsia="Arial Unicode MS" w:cs="Arial"/>
          <w:b w:val="0"/>
          <w:color w:val="000000"/>
        </w:rPr>
        <w:t>基本单位是“需求 × 根实现 × 规格版本”。某需求包含多个场景时，全部场景都属于该单位；一次执行只有在全部必测场景通过且没有跳过时才记 PASS。一个根实现可以支持同一应用中的多条需求，因此这些单位并非统计独立。</w:t>
      </w:r>
    </w:p>
    <w:p>
      <w:r>
        <w:rPr>
          <w:rFonts w:ascii="Arial" w:hAnsi="Arial" w:eastAsia="Arial Unicode MS" w:cs="Arial"/>
          <w:b w:val="0"/>
          <w:color w:val="000000"/>
        </w:rPr>
        <w:t>正确标签只表示选定需求及必要前置流程在冻结场景内得到支持，不表示整套软件无缺陷。第一轮固定后端运行环境，主要考察前端框架、组件表达和 DOM 组织变化；不据此宣称任意全栈、移动端或任意新需求均可泛化。封存阶段的需求与开发阶段相同，变化的是实现，因而结论是跨实现迁移，跨需求迁移需要另设实验。</w:t>
      </w:r>
    </w:p>
    <w:p>
      <w:r>
        <w:rPr>
          <w:rFonts w:ascii="Arial" w:hAnsi="Arial" w:eastAsia="Arial Unicode MS" w:cs="Arial"/>
          <w:b w:val="0"/>
          <w:color w:val="000000"/>
        </w:rPr>
        <w:t>最终被部署的评测器是冻结的 Playwright 测试与确定性适配代码，运行时不调用 LLM。LLM 在离线修订阶段工作，不更新模型权重。运行时视觉代理或语言模型操作页面可列为后续方向，不能与本轮结果混算。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2 固定基线并区分两种规格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2.1 本次采用的版本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主协议固定上游 </w:t>
      </w:r>
      <w:r>
        <w:rPr>
          <w:rFonts w:ascii="Arial" w:hAnsi="Arial" w:eastAsia="Arial Unicode MS" w:cs="Arial"/>
          <w:b w:val="0"/>
          <w:color w:val="000000"/>
          <w:sz w:val="21"/>
        </w:rPr>
        <w:t>code-philia/arc-bench</w:t>
      </w:r>
      <w:r>
        <w:rPr>
          <w:rFonts w:ascii="Arial" w:hAnsi="Arial" w:eastAsia="Arial Unicode MS" w:cs="Arial"/>
          <w:b w:val="0"/>
          <w:color w:val="000000"/>
        </w:rPr>
        <w:t xml:space="preserve"> 的提交 </w:t>
      </w:r>
      <w:r>
        <w:rPr>
          <w:rFonts w:ascii="Arial" w:hAnsi="Arial" w:eastAsia="Arial Unicode MS" w:cs="Arial"/>
          <w:b w:val="0"/>
          <w:color w:val="000000"/>
          <w:sz w:val="21"/>
        </w:rPr>
        <w:t>c583968dcde891cf58ad3b54a03c757affc44c54</w:t>
      </w:r>
      <w:r>
        <w:rPr>
          <w:rFonts w:ascii="Arial" w:hAnsi="Arial" w:eastAsia="Arial Unicode MS" w:cs="Arial"/>
          <w:b w:val="0"/>
          <w:color w:val="000000"/>
        </w:rPr>
        <w:t>。这是 10 月 18 日方案采用的版本，本次已用本地 Git 对象核对关键需求、测试及 setup 脚本，不将其称为永远最新的版本。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当前工作区 HEAD 为 </w:t>
      </w:r>
      <w:r>
        <w:rPr>
          <w:rFonts w:ascii="Arial" w:hAnsi="Arial" w:eastAsia="Arial Unicode MS" w:cs="Arial"/>
          <w:b w:val="0"/>
          <w:color w:val="000000"/>
          <w:sz w:val="21"/>
        </w:rPr>
        <w:t>8ec3b99a78ea40d1ec68c134373adbe74c722d8e</w:t>
      </w:r>
      <w:r>
        <w:rPr>
          <w:rFonts w:ascii="Arial" w:hAnsi="Arial" w:eastAsia="Arial Unicode MS" w:cs="Arial"/>
          <w:b w:val="0"/>
          <w:color w:val="000000"/>
        </w:rPr>
        <w:t xml:space="preserve">，目录仍为 </w:t>
      </w:r>
      <w:r>
        <w:rPr>
          <w:rFonts w:ascii="Arial" w:hAnsi="Arial" w:eastAsia="Arial Unicode MS" w:cs="Arial"/>
          <w:b w:val="0"/>
          <w:color w:val="000000"/>
          <w:sz w:val="21"/>
        </w:rPr>
        <w:t>arc-bench/webapp/&lt;app&gt;</w:t>
      </w:r>
      <w:r>
        <w:rPr>
          <w:rFonts w:ascii="Arial" w:hAnsi="Arial" w:eastAsia="Arial Unicode MS" w:cs="Arial"/>
          <w:b w:val="0"/>
          <w:color w:val="000000"/>
        </w:rPr>
        <w:t xml:space="preserve">；上述上游提交使用 </w:t>
      </w:r>
      <w:r>
        <w:rPr>
          <w:rFonts w:ascii="Arial" w:hAnsi="Arial" w:eastAsia="Arial Unicode MS" w:cs="Arial"/>
          <w:b w:val="0"/>
          <w:color w:val="000000"/>
          <w:sz w:val="21"/>
        </w:rPr>
        <w:t>arc-bench/&lt;app&gt;</w:t>
      </w:r>
      <w:r>
        <w:rPr>
          <w:rFonts w:ascii="Arial" w:hAnsi="Arial" w:eastAsia="Arial Unicode MS" w:cs="Arial"/>
          <w:b w:val="0"/>
          <w:color w:val="000000"/>
        </w:rPr>
        <w:t>，且根目录没有预生成的 package.json。正式实验须从固定提交导出独立快照，不能直接以工作区的 npm test 充当上游基线。现有修改与旧实验全部保留。</w:t>
      </w:r>
    </w:p>
    <w:p>
      <w:r>
        <w:rPr>
          <w:rFonts w:ascii="Arial" w:hAnsi="Arial" w:eastAsia="Arial Unicode MS" w:cs="Arial"/>
          <w:b w:val="0"/>
          <w:color w:val="000000"/>
        </w:rPr>
        <w:t>历史材料提供的是选题依据。10 月 17 日审查包含六类最小 HTML 局部匹配反例和一个默认等待预算问题，没有证明六个完整合规应用被误拒。Keep 多行内容、通知叠加、ctrip 嵌套列表等只能作为待完整复现的风险。BookStack REQ-6.4 的固定 placeholder 与命名 textbox 约定之间也仍需完整规格审查和运行核验。[资料 A、B]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2.2 两条规格轨道</w:t>
      </w:r>
    </w:p>
    <w:p>
      <w:pPr>
        <w:keepNext/>
        <w:spacing w:before="100" w:after="100"/>
      </w:pPr>
      <w:r>
        <w:rPr>
          <w:rFonts w:ascii="Arial" w:hAnsi="Arial" w:eastAsia="Arial Unicode MS" w:cs="Arial"/>
          <w:b/>
          <w:color w:val="000000"/>
          <w:sz w:val="21"/>
        </w:rPr>
        <w:t>表 1　先验证现有规格，再单独考察界面约定放宽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95" w:type="dxa"/>
          <w:bottom w:w="85" w:type="dxa"/>
          <w:right w:w="95" w:type="dxa"/>
        </w:tblCellMar>
      </w:tblPr>
      <w:tblGrid>
        <w:gridCol w:w="1247"/>
        <w:gridCol w:w="3005"/>
        <w:gridCol w:w="3005"/>
        <w:gridCol w:w="2154"/>
      </w:tblGrid>
      <w:tr>
        <w:trPr>
          <w:cantSplit/>
          <w:tblHeader/>
        </w:trPr>
        <w:tc>
          <w:tcPr>
            <w:tcW w:type="dxa" w:w="1247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轨道</w:t>
            </w:r>
          </w:p>
        </w:tc>
        <w:tc>
          <w:tcPr>
            <w:tcW w:type="dxa" w:w="3005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必须保持的内容</w:t>
            </w:r>
          </w:p>
        </w:tc>
        <w:tc>
          <w:tcPr>
            <w:tcW w:type="dxa" w:w="3005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可以研究的变化</w:t>
            </w:r>
          </w:p>
        </w:tc>
        <w:tc>
          <w:tcPr>
            <w:tcW w:type="dxa" w:w="2154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S0 原规格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全部业务义务和明确公开的 role/name、入口、数据与时间约定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规格未规定的包装层、CSS、内部状态、合法正文呈现等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前期流程检查和历史兼容性对照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S1 业务保持规格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与 S0 相同的业务义务，以及冻结的可发现性和可访问性要求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明确列入放宽清单的控件类型、命名形式或页面组织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pilot 与正式主实验</w:t>
            </w:r>
          </w:p>
        </w:tc>
      </w:tr>
    </w:tbl>
    <w:p>
      <w:pPr>
        <w:spacing w:after="80" w:before="0" w:line="20" w:lineRule="exact"/>
      </w:pPr>
      <w:r>
        <w:rPr>
          <w:rFonts w:ascii="Arial" w:hAnsi="Arial" w:eastAsia="Arial Unicode MS" w:cs="Arial"/>
          <w:color w:val="000000"/>
          <w:sz w:val="2"/>
        </w:rPr>
      </w:r>
    </w:p>
    <w:p>
      <w:r>
        <w:rPr>
          <w:rFonts w:ascii="Arial" w:hAnsi="Arial" w:eastAsia="Arial Unicode MS" w:cs="Arial"/>
          <w:b w:val="0"/>
          <w:color w:val="000000"/>
        </w:rPr>
        <w:t>S0 描述现有工具承诺兼容的范围，不裁定这些约定是否值得长期保留。若 S0 明文要求特定 role/name，违反该条款的实现不能被称为“原规格下的正确实现”；但它可能满足全部业务目标，并在 S1 下成为合法样本。反过来，现有约定已经公开，也不构成拒绝研究更宽兼容范围的理由。Playwright 官方提供角色、可访问名称和显式测试接口等定位方式，这属于工程手段，不是某种固定页面表达最优的证据。[来源 1]</w:t>
      </w:r>
    </w:p>
    <w:p>
      <w:r>
        <w:rPr>
          <w:rFonts w:ascii="Arial" w:hAnsi="Arial" w:eastAsia="Arial Unicode MS" w:cs="Arial"/>
          <w:b w:val="0"/>
          <w:color w:val="000000"/>
        </w:rPr>
        <w:t>S1 必须在构建新材料前发布逐项变更清单，记录“原条款、作用、放宽后条款、保留的业务条件、核验方式”。用用户是否能识别、操作并得到规定结果来判断约定的必要性，不能因为原测试使用某名称就认定该名称必需。未列入变更清单的要求保持 S0；不允许看到某个新实现失败后才补发例外。</w:t>
      </w:r>
    </w:p>
    <w:p>
      <w:r>
        <w:rPr>
          <w:rFonts w:ascii="Arial" w:hAnsi="Arial" w:eastAsia="Arial Unicode MS" w:cs="Arial"/>
          <w:b w:val="0"/>
          <w:color w:val="000000"/>
        </w:rPr>
        <w:t>S1 首轮冻结以下变化维度。它们是受控的可变界面范围，不代表取消界面契约。</w:t>
      </w:r>
    </w:p>
    <w:p>
      <w:pPr>
        <w:ind w:left="283" w:hanging="283"/>
      </w:pPr>
      <w:r>
        <w:rPr>
          <w:rFonts w:ascii="Arial" w:hAnsi="Arial" w:eastAsia="Arial Unicode MS" w:cs="Arial"/>
          <w:b w:val="0"/>
          <w:color w:val="000000"/>
        </w:rPr>
        <w:t>1. 名称表达：固定词面可替换为同一语言中清楚表达相同操作的名称，图标按钮有可识别的名称。保留操作含义、目标对象和可发现性；关闭并自动保存不能改成必须另点 Save。</w:t>
      </w:r>
    </w:p>
    <w:p>
      <w:pPr>
        <w:ind w:left="283" w:hanging="283"/>
      </w:pPr>
      <w:r>
        <w:rPr>
          <w:rFonts w:ascii="Arial" w:hAnsi="Arial" w:eastAsia="Arial Unicode MS" w:cs="Arial"/>
          <w:b w:val="0"/>
          <w:color w:val="000000"/>
        </w:rPr>
        <w:t>2. 控件表达：在实际语义相符的前提下，允许原生输入、自定义输入、富文本编辑器、菜单选项或筛选选项使用各自合理的操作方式。保留能输入、选择、校验和通过规定交互到达结果的能力，不接受无法正常操作的任意可点击 div。</w:t>
      </w:r>
    </w:p>
    <w:p>
      <w:pPr>
        <w:ind w:left="283" w:hanging="283"/>
      </w:pPr>
      <w:r>
        <w:rPr>
          <w:rFonts w:ascii="Arial" w:hAnsi="Arial" w:eastAsia="Arial Unicode MS" w:cs="Arial"/>
          <w:b w:val="0"/>
          <w:color w:val="000000"/>
        </w:rPr>
        <w:t>3. 对象组织：笔记和航班可使用不同卡片、列表或表格组织，不强制给每条记录附加原测试专用的 region/listitem 命名。仍须有可见的唯一业务标识，能区分对象及其动作和字段。</w:t>
      </w:r>
    </w:p>
    <w:p>
      <w:pPr>
        <w:ind w:left="283" w:hanging="283"/>
      </w:pPr>
      <w:r>
        <w:rPr>
          <w:rFonts w:ascii="Arial" w:hAnsi="Arial" w:eastAsia="Arial Unicode MS" w:cs="Arial"/>
          <w:b w:val="0"/>
          <w:color w:val="000000"/>
        </w:rPr>
        <w:t>4. 结果呈现：正文换行、通知位置、成功措辞和高亮的 DOM 可变。保留规定内容、数量、持续或消失条件，以及真实可见的高亮；不以新结构为由遗漏视觉义务。</w:t>
      </w:r>
    </w:p>
    <w:p>
      <w:r>
        <w:rPr>
          <w:rFonts w:ascii="Arial" w:hAnsi="Arial" w:eastAsia="Arial Unicode MS" w:cs="Arial"/>
          <w:b w:val="0"/>
          <w:color w:val="000000"/>
        </w:rPr>
        <w:t>给实现者的是含义和约束，不是方法开发者提前编写的所有名称/控件别名表。独立核验者审定每个具体表达的合规性，封存实现的具体措辞和 DOM 不回传给方法。主报告按变化维度分别给接受率，记录适配器复杂度、人时和新增错误，判断更宽接口是否值得；不预设放宽越多越好。</w:t>
      </w:r>
    </w:p>
    <w:p>
      <w:r>
        <w:rPr>
          <w:rFonts w:ascii="Arial" w:hAnsi="Arial" w:eastAsia="Arial Unicode MS" w:cs="Arial"/>
          <w:b w:val="0"/>
          <w:color w:val="000000"/>
        </w:rPr>
        <w:t>每个单位分别登记 S0 与 S1 标签。主样本集合和本文预算以 S1 为准，不与另一轨道的单位重复计数；其中至少一个开发族保留 S0 约定，至少一个封存族包含经独立认证同时满足 S0/S1 的需求单位，具体清单在方法运行前冻结。S0 兼容子集上可报告原测试的合规接受情况，S1 合规但 S0 不合规的部分用于展示旧接口适用边界，不能称为原规格误拒。</w:t>
      </w:r>
    </w:p>
    <w:p>
      <w:r>
        <w:rPr>
          <w:rFonts w:ascii="Arial" w:hAnsi="Arial" w:eastAsia="Arial Unicode MS" w:cs="Arial"/>
          <w:b w:val="0"/>
          <w:color w:val="000000"/>
        </w:rPr>
        <w:t>S1 主因果比较是 M2 对同样获得 S1 规格的 M0L、M1、M3、M4；原测试 M0 仅为历史工具覆盖范围和整体迁移成本的参考。S1 候选通过不自动证明它还检查了全部 S0 接口约定；如需完整的 S0 方法排名，须冻结独立 S0 测试包和运行预算，不能直接挪用 S1 成绩。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2.3 规格审计表</w:t>
      </w:r>
    </w:p>
    <w:p>
      <w:r>
        <w:rPr>
          <w:rFonts w:ascii="Arial" w:hAnsi="Arial" w:eastAsia="Arial Unicode MS" w:cs="Arial"/>
          <w:b w:val="0"/>
          <w:color w:val="000000"/>
        </w:rPr>
        <w:t>逐条阅读 ROOT、所有祖先节点、原子需求、scenarios、environment、data registry、依赖、引用图片和公开执行说明。区分 optional visual reference 与强制行为；文本与图片冲突、遗漏边界或存在两种合理解释时，记入歧义表，在标签冻结前处理。不能仅用某个测试的断言倒推出需求。</w:t>
      </w:r>
    </w:p>
    <w:p>
      <w:r>
        <w:rPr>
          <w:rFonts w:ascii="Arial" w:hAnsi="Arial" w:eastAsia="Arial Unicode MS" w:cs="Arial"/>
          <w:b w:val="0"/>
          <w:color w:val="000000"/>
        </w:rPr>
        <w:t>每条条款归入以下四类，并保存出处、适用范围和决定理由：</w:t>
      </w:r>
    </w:p>
    <w:p>
      <w:pPr>
        <w:ind w:left="283" w:hanging="283"/>
      </w:pPr>
      <w:r>
        <w:rPr>
          <w:rFonts w:ascii="Arial" w:hAnsi="Arial" w:eastAsia="Arial Unicode MS" w:cs="Arial"/>
          <w:b w:val="0"/>
          <w:color w:val="000000"/>
        </w:rPr>
        <w:t>1. BUSINESS：输入分区、身份绑定、集合成员、数量、状态变化、持久化、错误处理及明确视觉效果。</w:t>
      </w:r>
    </w:p>
    <w:p>
      <w:pPr>
        <w:ind w:left="283" w:hanging="283"/>
      </w:pPr>
      <w:r>
        <w:rPr>
          <w:rFonts w:ascii="Arial" w:hAnsi="Arial" w:eastAsia="Arial Unicode MS" w:cs="Arial"/>
          <w:b w:val="0"/>
          <w:color w:val="000000"/>
        </w:rPr>
        <w:t>2. INTERFACE_REQUIRED：当前轨道明确保留的入口、可发现性、语义可访问性、键盘操作和公开数据接口；S0 的精确 role/name 若在 S1 放宽，记录为 INTERFACE_RELAXED，并说明业务义务为何不变。</w:t>
      </w:r>
    </w:p>
    <w:p>
      <w:pPr>
        <w:ind w:left="283" w:hanging="283"/>
      </w:pPr>
      <w:r>
        <w:rPr>
          <w:rFonts w:ascii="Arial" w:hAnsi="Arial" w:eastAsia="Arial Unicode MS" w:cs="Arial"/>
          <w:b w:val="0"/>
          <w:color w:val="000000"/>
        </w:rPr>
        <w:t>3. FLEXIBLE：需求没有约束或明确允许变化的实现细节。</w:t>
      </w:r>
    </w:p>
    <w:p>
      <w:pPr>
        <w:ind w:left="283" w:hanging="283"/>
      </w:pPr>
      <w:r>
        <w:rPr>
          <w:rFonts w:ascii="Arial" w:hAnsi="Arial" w:eastAsia="Arial Unicode MS" w:cs="Arial"/>
          <w:b w:val="0"/>
          <w:color w:val="000000"/>
        </w:rPr>
        <w:t>4. UNRESOLVED：含义未确定；影响标签的条目解决前，不进入主结果。</w:t>
      </w:r>
    </w:p>
    <w:p>
      <w:r>
        <w:rPr>
          <w:rFonts w:ascii="Arial" w:hAnsi="Arial" w:eastAsia="Arial Unicode MS" w:cs="Arial"/>
          <w:b w:val="0"/>
          <w:color w:val="000000"/>
        </w:rPr>
        <w:t>规格清单须把每个场景映射到义务 ID，后续断言和失败归因都使用这些 ID。任何变更产生新版本与变更原因，禁止依据封存测试结果反向修改规格。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3 需求选择与样本规模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3.1 第一阶段固定三条需求</w:t>
      </w:r>
    </w:p>
    <w:p>
      <w:pPr>
        <w:keepNext/>
        <w:spacing w:before="100" w:after="100"/>
      </w:pPr>
      <w:r>
        <w:rPr>
          <w:rFonts w:ascii="Arial" w:hAnsi="Arial" w:eastAsia="Arial Unicode MS" w:cs="Arial"/>
          <w:b/>
          <w:color w:val="000000"/>
          <w:sz w:val="21"/>
        </w:rPr>
        <w:t>表 2　三条需求均包含两个完整场景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01"/>
        <w:gridCol w:w="4535"/>
        <w:gridCol w:w="3175"/>
      </w:tblGrid>
      <w:tr>
        <w:trPr>
          <w:cantSplit/>
          <w:tblHeader/>
        </w:trPr>
        <w:tc>
          <w:tcPr>
            <w:tcW w:type="dxa" w:w="1701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需求</w:t>
            </w:r>
          </w:p>
        </w:tc>
        <w:tc>
          <w:tcPr>
            <w:tcW w:type="dxa" w:w="4535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必须覆盖的业务条件</w:t>
            </w:r>
          </w:p>
        </w:tc>
        <w:tc>
          <w:tcPr>
            <w:tcW w:type="dxa" w:w="3175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代表性有效缺陷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Keep REQ-2.2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Close 自动保存恰好一条；标题和多行正文正确；刷新后保留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Close 丢弃输入；仅内存保存导致刷新丢失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Keep REQ-4.1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标题和正文不区分大小写匹配；排除不匹配对象；正确高亮；标签建议筛选；清空恢复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忽略正文匹配；标签筛选仍显示无标签对象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BookStack REQ-6.4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从列表打开所选页面；标题和正文正确；Edit 预填对应内容并出现 Save Page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总打开第一篇；重开编辑器时正文为空</w:t>
            </w:r>
          </w:p>
        </w:tc>
      </w:tr>
    </w:tbl>
    <w:p>
      <w:pPr>
        <w:spacing w:after="80" w:before="0" w:line="20" w:lineRule="exact"/>
      </w:pPr>
      <w:r>
        <w:rPr>
          <w:rFonts w:ascii="Arial" w:hAnsi="Arial" w:eastAsia="Arial Unicode MS" w:cs="Arial"/>
          <w:color w:val="000000"/>
          <w:sz w:val="2"/>
        </w:rPr>
      </w:r>
    </w:p>
    <w:p>
      <w:r>
        <w:rPr>
          <w:rFonts w:ascii="Arial" w:hAnsi="Arial" w:eastAsia="Arial Unicode MS" w:cs="Arial"/>
          <w:b w:val="0"/>
          <w:color w:val="000000"/>
        </w:rPr>
        <w:t>表中的 Close、Edit、Save Page 等名称沿用原需求，便于定位场景；S1 保留它们所代表的业务动作，不自动要求相同词面或 DOM 角色。所有 15 个正式场景都要建立“原文动作 → S1 语义动作 → 保留义务”的映射，不能因接口放宽删掉场景。</w:t>
      </w:r>
    </w:p>
    <w:p>
      <w:r>
        <w:rPr>
          <w:rFonts w:ascii="Arial" w:hAnsi="Arial" w:eastAsia="Arial Unicode MS" w:cs="Arial"/>
          <w:b w:val="0"/>
          <w:color w:val="000000"/>
        </w:rPr>
        <w:t>Keep 搜索的隔离后缀不能引入关键词 st；标签分支包含 REQ-2.8 的必要前置。BookStack 必须具备进入应用、创建书籍和页面的前置流程，并准备两篇标题与正文不同的页面、选择非第一篇，以确保“打开错误对象”的负例确实显现。创建前置数据若规格要求通过 UI，则候选测试也须遵守。</w:t>
      </w:r>
    </w:p>
    <w:p>
      <w:r>
        <w:rPr>
          <w:rFonts w:ascii="Arial" w:hAnsi="Arial" w:eastAsia="Arial Unicode MS" w:cs="Arial"/>
          <w:b w:val="0"/>
          <w:color w:val="000000"/>
        </w:rPr>
        <w:t>每条需求四个独立根实现，A、B 用于开发，C、D 封存；每个正确单位配两个有效缺陷版本。共 12 个正确单位、24 个缺陷单位，36 个运行目标。Keep 两条需求可共享一套根应用，所以需构建最多八套应用切片，而非十二套完整应用。</w:t>
      </w:r>
    </w:p>
    <w:p>
      <w:r>
        <w:rPr>
          <w:rFonts w:ascii="Arial" w:hAnsi="Arial" w:eastAsia="Arial Unicode MS" w:cs="Arial"/>
          <w:b w:val="0"/>
          <w:color w:val="000000"/>
        </w:rPr>
        <w:t>先做 BookStack REQ-6.4 的两个开发实现与各自一个缺陷版本，验证认证、重置、执行、取证和统计流程，可先保留 S0 约定降低设施调试复杂度。完成 S1 变更清单后，对同一开发家族构建并认证规定的合法变化，再开展三需求 S1 pilot。流程检查不当作正式收益；随后按预定顺序完成另外两条需求，不因结果不显著而临时换题。第一阶段没有独立验证集，只能作可行性证据。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3.2 正式阶段固定六条需求</w:t>
      </w:r>
    </w:p>
    <w:p>
      <w:pPr>
        <w:keepNext/>
        <w:spacing w:before="100" w:after="100"/>
      </w:pPr>
      <w:r>
        <w:rPr>
          <w:rFonts w:ascii="Arial" w:hAnsi="Arial" w:eastAsia="Arial Unicode MS" w:cs="Arial"/>
          <w:b/>
          <w:color w:val="000000"/>
          <w:sz w:val="21"/>
        </w:rPr>
        <w:t>表 3　在三条 pilot 需求基础上增加状态和表单场景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95" w:type="dxa"/>
          <w:bottom w:w="85" w:type="dxa"/>
          <w:right w:w="95" w:type="dxa"/>
        </w:tblCellMar>
      </w:tblPr>
      <w:tblGrid>
        <w:gridCol w:w="1587"/>
        <w:gridCol w:w="737"/>
        <w:gridCol w:w="3969"/>
        <w:gridCol w:w="3118"/>
      </w:tblGrid>
      <w:tr>
        <w:trPr>
          <w:cantSplit/>
          <w:tblHeader/>
        </w:trPr>
        <w:tc>
          <w:tcPr>
            <w:tcW w:type="dxa" w:w="1587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新增需求</w:t>
            </w:r>
          </w:p>
        </w:tc>
        <w:tc>
          <w:tcPr>
            <w:tcW w:type="dxa" w:w="737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场景数</w:t>
            </w:r>
          </w:p>
        </w:tc>
        <w:tc>
          <w:tcPr>
            <w:tcW w:type="dxa" w:w="3969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必须覆盖的条件</w:t>
            </w:r>
          </w:p>
        </w:tc>
        <w:tc>
          <w:tcPr>
            <w:tcW w:type="dxa" w:w="3118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三类负例候选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Keep REQ-2.4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移至 Trash、Undo 恢复、通知手动关闭和自动消失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未移入 Trash；Undo 恢复错误对象；通知不自动消失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Keep REQ-2.6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归档、Undo、指定对象取消归档、相关刷新结果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归档错误对象；Undo 丢失内容；取消归档状态刷新后丢失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ctrip REQ-2.4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三个指定航班及字段、查询条件保留、同城拒绝、空结果与 Modify search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漏掉指定航班；同城查询仍执行；空路线显示已有航班</w:t>
            </w:r>
          </w:p>
        </w:tc>
      </w:tr>
    </w:tbl>
    <w:p>
      <w:pPr>
        <w:spacing w:after="80" w:before="0" w:line="20" w:lineRule="exact"/>
      </w:pPr>
      <w:r>
        <w:rPr>
          <w:rFonts w:ascii="Arial" w:hAnsi="Arial" w:eastAsia="Arial Unicode MS" w:cs="Arial"/>
          <w:color w:val="000000"/>
          <w:sz w:val="2"/>
        </w:rPr>
      </w:r>
    </w:p>
    <w:p>
      <w:r>
        <w:rPr>
          <w:rFonts w:ascii="Arial" w:hAnsi="Arial" w:eastAsia="Arial Unicode MS" w:cs="Arial"/>
          <w:b w:val="0"/>
          <w:color w:val="000000"/>
        </w:rPr>
        <w:t>六条需求共 15 个场景。原 pilot 三条在正式阶段各补第三个有效缺陷：Keep REQ-2.2 重复创建，Keep REQ-4.1 不排除无匹配笔记，BookStack REQ-6.4 编辑器预填另一篇正文。缺陷只是候选，必须通过第 5 节的有效性核验后才能入库。</w:t>
      </w:r>
    </w:p>
    <w:p>
      <w:r>
        <w:rPr>
          <w:rFonts w:ascii="Arial" w:hAnsi="Arial" w:eastAsia="Arial Unicode MS" w:cs="Arial"/>
          <w:b w:val="0"/>
          <w:color w:val="000000"/>
        </w:rPr>
        <w:t>正式材料目标为六条需求 × 六个根实现族 = 36 个正确单位，每单位三个有效缺陷，共 108 个缺陷单位、144 个目标。三款应用每族各一套，共最多 18 套应用切片。每个缺陷版本从正确父本单独派生，禁止累计多个故障。</w:t>
      </w:r>
    </w:p>
    <w:p>
      <w:r>
        <w:rPr>
          <w:rFonts w:ascii="Arial" w:hAnsi="Arial" w:eastAsia="Arial Unicode MS" w:cs="Arial"/>
          <w:b w:val="0"/>
          <w:color w:val="000000"/>
        </w:rPr>
        <w:t>需求选择在运行候选方法前冻结，依据行为类型和实现成本，不按哪条需求最容易产生误拒挑选。若某需求无法独立核验，应报告退出原因和实际规模，修改协议版本；不能看到方法效果后用有利需求替换。Keep 占四条，因此除需求宏平均外，必须另报应用宏平均与逐应用结果。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4 构建跨栈实现并隔离数据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4.1 根实现与技术栈安排</w:t>
      </w:r>
    </w:p>
    <w:p>
      <w:pPr>
        <w:keepNext/>
        <w:spacing w:before="100" w:after="100"/>
      </w:pPr>
      <w:r>
        <w:rPr>
          <w:rFonts w:ascii="Arial" w:hAnsi="Arial" w:eastAsia="Arial Unicode MS" w:cs="Arial"/>
          <w:b/>
          <w:color w:val="000000"/>
          <w:sz w:val="21"/>
        </w:rPr>
        <w:t>表 4　正式阶段的建议划分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95" w:type="dxa"/>
          <w:bottom w:w="85" w:type="dxa"/>
          <w:right w:w="95" w:type="dxa"/>
        </w:tblCellMar>
      </w:tblPr>
      <w:tblGrid>
        <w:gridCol w:w="567"/>
        <w:gridCol w:w="3402"/>
        <w:gridCol w:w="1134"/>
        <w:gridCol w:w="4309"/>
      </w:tblGrid>
      <w:tr>
        <w:trPr>
          <w:cantSplit/>
          <w:tblHeader/>
        </w:trPr>
        <w:tc>
          <w:tcPr>
            <w:tcW w:type="dxa" w:w="567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族</w:t>
            </w:r>
          </w:p>
        </w:tc>
        <w:tc>
          <w:tcPr>
            <w:tcW w:type="dxa" w:w="3402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前端选型</w:t>
            </w:r>
          </w:p>
        </w:tc>
        <w:tc>
          <w:tcPr>
            <w:tcW w:type="dxa" w:w="1134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划分</w:t>
            </w:r>
          </w:p>
        </w:tc>
        <w:tc>
          <w:tcPr>
            <w:tcW w:type="dxa" w:w="4309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要检验的差异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React 加原生控件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开发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基本实现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Vue 加组件库 X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开发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不同框架和控件组织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React 加组件库 Y 的独立实现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开发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同栈不同表达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D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Vue 加独立自定义控件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验证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未参与修订的实现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E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React 加未见组件库 Z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封存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已见框架中的新实现和组件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F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Svelte 加独立控件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封存</w:t>
            </w:r>
          </w:p>
        </w:tc>
        <w:tc>
          <w:tcPr>
            <w:tcW w:type="dxa" w:w="430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未见前端框架</w:t>
            </w:r>
          </w:p>
        </w:tc>
      </w:tr>
    </w:tbl>
    <w:p>
      <w:pPr>
        <w:spacing w:after="80" w:before="0" w:line="20" w:lineRule="exact"/>
      </w:pPr>
      <w:r>
        <w:rPr>
          <w:rFonts w:ascii="Arial" w:hAnsi="Arial" w:eastAsia="Arial Unicode MS" w:cs="Arial"/>
          <w:color w:val="000000"/>
          <w:sz w:val="2"/>
        </w:rPr>
      </w:r>
    </w:p>
    <w:p>
      <w:r>
        <w:rPr>
          <w:rFonts w:ascii="Arial" w:hAnsi="Arial" w:eastAsia="Arial Unicode MS" w:cs="Arial"/>
          <w:b w:val="0"/>
          <w:color w:val="000000"/>
        </w:rPr>
        <w:t>X、Y、Z 是预注册时必须填写的实际库名及版本，不允许在报告中保留占位符。库选择取决于能否满足冻结的 S1 和正常使用习惯；A 另保留 S0 约定，封存兼容子集也按预先清单保留。合理控件可以采用不同角色与名称，但不得违反其实际语义及已保留的可访问性要求。第一阶段使用 A、B 开发，另建 Cpilot 和 Dpilot 为 React、Vue 的独立实现留出；Svelte 保留给正式 F。pilot 一旦开封，相关代码、模板、布局和修订知识均记为已暴露；正式封存 E、F 必须新建，不能把 pilot 材料改名后再次称为未见。“未见框架”仅指本项目修订和验证未使用，不指模型预训练从未见过该技术。若此前已实际利用 Svelte 反馈，F 须另选未暴露框架或改称未见实现。</w:t>
      </w:r>
    </w:p>
    <w:p>
      <w:r>
        <w:rPr>
          <w:rFonts w:ascii="Arial" w:hAnsi="Arial" w:eastAsia="Arial Unicode MS" w:cs="Arial"/>
          <w:b w:val="0"/>
          <w:color w:val="000000"/>
        </w:rPr>
        <w:t>同一库若跨划分复用，必须标记为“已见组件库”，不能计入未见组件证据。所有根实现登记 framework、组件库及版本、builder、生成模型与会话、模板来源、commit、共享代码、布局/导航/正文/输入控件形式。同源、复制、移植及派生合法变体按根家族整体划分，缺陷随正确父本走。</w:t>
      </w:r>
    </w:p>
    <w:p>
      <w:r>
        <w:rPr>
          <w:rFonts w:ascii="Arial" w:hAnsi="Arial" w:eastAsia="Arial Unicode MS" w:cs="Arial"/>
          <w:b w:val="0"/>
          <w:color w:val="000000"/>
        </w:rPr>
        <w:t>前端栈和界面形式同时变化只能支持整体迁移，不能证明框架本身造成收益。补充机制诊断可在开发父本上一次只改一种合法表达，如换行 DOM、嵌套列表或 SPA 导航；这些配对变体不算新的独立实现。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4.2 实现者的输入和限制</w:t>
      </w:r>
    </w:p>
    <w:p>
      <w:r>
        <w:rPr>
          <w:rFonts w:ascii="Arial" w:hAnsi="Arial" w:eastAsia="Arial Unicode MS" w:cs="Arial"/>
          <w:b w:val="0"/>
          <w:color w:val="000000"/>
        </w:rPr>
        <w:t>实现者只读取冻结的公开规格、必要资源及运行协议，不读取待比较测试、候选补丁或测试成绩。允许使用 LLM 实现，但不同根实现使用独立会话和提示；改变技术栈但复用核心前端代码不能声称独立根实现。保存全部生成和人工修复来源。</w:t>
      </w:r>
    </w:p>
    <w:p>
      <w:r>
        <w:rPr>
          <w:rFonts w:ascii="Arial" w:hAnsi="Arial" w:eastAsia="Arial Unicode MS" w:cs="Arial"/>
          <w:b w:val="0"/>
          <w:color w:val="000000"/>
        </w:rPr>
        <w:t>每套应用提供启动、健康检查、停止和重置入口，以及固定 seed 的初始化能力。健康检查、清库和基础数据初始化属于统一环境管理，不进入待测功能；测试不得用这些接口直接创建要求由用户操作产生的笔记、保存页面或制造成功状态。</w:t>
      </w:r>
    </w:p>
    <w:p>
      <w:r>
        <w:rPr>
          <w:rFonts w:ascii="Arial" w:hAnsi="Arial" w:eastAsia="Arial Unicode MS" w:cs="Arial"/>
          <w:b w:val="0"/>
          <w:color w:val="000000"/>
        </w:rPr>
        <w:t>后端建议先使用统一运行基座，以降低构建成本，但业务状态不能只存在于测试桩。实现契约仍决定持久化含义；“刷新保留”不自动扩大为跨设备同步或服务器重启保留。共享基座及其可能产生的共同错误须披露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4.3 访问权限与冻结顺序</w:t>
      </w:r>
    </w:p>
    <w:p>
      <w:r>
        <w:rPr>
          <w:rFonts w:ascii="Arial" w:hAnsi="Arial" w:eastAsia="Arial Unicode MS" w:cs="Arial"/>
          <w:b w:val="0"/>
          <w:color w:val="000000"/>
        </w:rPr>
        <w:t>材料构建者和独立核验者可接触产品与规格；方法开发者只看开发实现。验证协调者按固定规则运行验证集，方法开发者只能收到一次候选编号及门槛通过情况，不收到逐实现 DOM、源码、补丁建议或可反推页面的轨迹。封存材料在所有方法、提示、预算和选择规则冻结之后才交给最终运行程序。</w:t>
      </w:r>
    </w:p>
    <w:p>
      <w:r>
        <w:rPr>
          <w:rFonts w:ascii="Arial" w:hAnsi="Arial" w:eastAsia="Arial Unicode MS" w:cs="Arial"/>
          <w:b w:val="0"/>
          <w:color w:val="000000"/>
        </w:rPr>
        <w:t>建议按以下顺序签收：需求与场景 → 规格条款 → 正确/缺陷材料及认证证据 → 家族划分与暴露台账 → 方法与预算 → 候选 hash → 最终开封。每项记录日期、负责人、文件 hash 和依赖版本。</w:t>
      </w:r>
    </w:p>
    <w:p>
      <w:r>
        <w:rPr>
          <w:rFonts w:ascii="Arial" w:hAnsi="Arial" w:eastAsia="Arial Unicode MS" w:cs="Arial"/>
          <w:b w:val="0"/>
          <w:color w:val="000000"/>
        </w:rPr>
        <w:t>验证集只做一次接受或回退判定。若据此调提示、重做方法或查看失败详情，该验证集转为开发资料，并重新安排验证集。封存集一经用于修订，就失去封存资格。独立维护者保管目录是推荐做法；单人完成时使用独立上下文和访问日志，只能声称程序性隔离，必须披露人工盲法不足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5 正确性与缺陷的独立核验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5.1 正确样本的准入流程</w:t>
      </w:r>
    </w:p>
    <w:p>
      <w:r>
        <w:rPr>
          <w:rFonts w:ascii="Arial" w:hAnsi="Arial" w:eastAsia="Arial Unicode MS" w:cs="Arial"/>
          <w:b w:val="0"/>
          <w:color w:val="000000"/>
        </w:rPr>
        <w:t>第一步，由规格整理者把每条场景转换为人工可执行核验清单，写清前置状态、动作、目标对象、预期结果及必要证据。清单不得从候选测试成败生成标签。</w:t>
      </w:r>
    </w:p>
    <w:p>
      <w:r>
        <w:rPr>
          <w:rFonts w:ascii="Arial" w:hAnsi="Arial" w:eastAsia="Arial Unicode MS" w:cs="Arial"/>
          <w:b w:val="0"/>
          <w:color w:val="000000"/>
        </w:rPr>
        <w:t>第二步，由核验者从干净环境通过用户入口执行全部场景。保存动作记录、截图或视频、业务状态前后差异、刷新证据和运行条件。必要时使用独立探针或只读数据库检查佐证持久化与对象身份，但 UI 可见性、可操作性和视觉高亮必须由 UI 证据支持。只验证 API 返回正确不能证明页面正确。</w:t>
      </w:r>
    </w:p>
    <w:p>
      <w:r>
        <w:rPr>
          <w:rFonts w:ascii="Arial" w:hAnsi="Arial" w:eastAsia="Arial Unicode MS" w:cs="Arial"/>
          <w:b w:val="0"/>
          <w:color w:val="000000"/>
        </w:rPr>
        <w:t>第三步，由第二名核验者独立复核所有封存正确样本和所有缺陷的关键见证，开发/验证样本至少复核每条义务与全部争议。条件允许时全量双人独立核验；若只有一人，分开实现与核验会话、隔期复核，发布复核覆盖率，降低“独立人工真值”的论断强度。LLM 可辅助列清单，不能独自作最终裁定。</w:t>
      </w:r>
    </w:p>
    <w:p>
      <w:r>
        <w:rPr>
          <w:rFonts w:ascii="Arial" w:hAnsi="Arial" w:eastAsia="Arial Unicode MS" w:cs="Arial"/>
          <w:b w:val="0"/>
          <w:color w:val="000000"/>
        </w:rPr>
        <w:t>第四步，在三次独立重置下确认正样本的全部义务稳定满足。标签为 SATISFIED、VIOLATED 或 UNDETERMINED；只有 SATISFIED 入正确集合。记录所有未准入材料及原因，不能静默删除原测试拒绝的正确实现。三次复核不是形式化正确性证明。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5.2 有效缺陷的准入流程</w:t>
      </w:r>
    </w:p>
    <w:p>
      <w:r>
        <w:rPr>
          <w:rFonts w:ascii="Arial" w:hAnsi="Arial" w:eastAsia="Arial Unicode MS" w:cs="Arial"/>
          <w:b w:val="0"/>
          <w:color w:val="000000"/>
        </w:rPr>
        <w:t>每个缺陷必须有正确父本、单一目标义务、最小补丁、触发输入和独立违反证据。父本与缺陷使用相同 seed 和流程，连续三次独立运行显示父本满足、缺陷违反目标义务，同时前置流程可达、应用可启动、无无关崩溃。</w:t>
      </w:r>
    </w:p>
    <w:p>
      <w:r>
        <w:rPr>
          <w:rFonts w:ascii="Arial" w:hAnsi="Arial" w:eastAsia="Arial Unicode MS" w:cs="Arial"/>
          <w:b w:val="0"/>
          <w:color w:val="000000"/>
        </w:rPr>
        <w:t>判断变异是否有效不依赖待评测测试能否检出。若改动未生效、等价、目标流程不可达，或只造成安装失败，该版本不进入有效缺陷集，应修复或按预定次序重新构造并记录尝试。规格要求存在的入口被删除本身可以构成业务缺陷，须有独立证据；其“不可达”不同于被无关登录故障阻断。</w:t>
      </w:r>
    </w:p>
    <w:p>
      <w:r>
        <w:rPr>
          <w:rFonts w:ascii="Arial" w:hAnsi="Arial" w:eastAsia="Arial Unicode MS" w:cs="Arial"/>
          <w:b w:val="0"/>
          <w:color w:val="000000"/>
        </w:rPr>
        <w:t>每条需求的缺陷目录明确哪些用于开发反馈、哪些仅用于封存。在正式阶段，每个封存正确单位的三个负例中，至少一个为开发反馈中未出现的故障机制。比如开发集出现“删除数据”，封存集可出现“状态写入到错误对象”；不能只将变量名改写后称为未见故障。若做不到，按已见故障型迁移报告，不声称检出未知缺陷类型。</w:t>
      </w:r>
    </w:p>
    <w:p>
      <w:r>
        <w:rPr>
          <w:rFonts w:ascii="Arial" w:hAnsi="Arial" w:eastAsia="Arial Unicode MS" w:cs="Arial"/>
          <w:b w:val="0"/>
          <w:color w:val="000000"/>
        </w:rPr>
        <w:t>对在 pilot 中已经全数暴露的故障目录，正式材料需另补新机制以满足上述约束，最终以 protocol 中的故障机制清单为准。语义上相同的故障跨栈移植仍属同一机制。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5.3 真实缺陷与注入缺陷分开</w:t>
      </w:r>
    </w:p>
    <w:p>
      <w:r>
        <w:rPr>
          <w:rFonts w:ascii="Arial" w:hAnsi="Arial" w:eastAsia="Arial Unicode MS" w:cs="Arial"/>
          <w:b w:val="0"/>
          <w:color w:val="000000"/>
        </w:rPr>
        <w:t>人工构造的业务变异是有效性受控的代理，不能直接称为自然发生的真实 bug。另收集自然生成过程中发现并修复的缺陷，保存 buggy/fixed 提交、原始需求、独立触发步骤和修复证据；从构建家族整体隔离，排除仅使构建失败的记录。</w:t>
      </w:r>
    </w:p>
    <w:p>
      <w:r>
        <w:rPr>
          <w:rFonts w:ascii="Arial" w:hAnsi="Arial" w:eastAsia="Arial Unicode MS" w:cs="Arial"/>
          <w:b w:val="0"/>
          <w:color w:val="000000"/>
        </w:rPr>
        <w:t>正式阶段以覆盖至少三类行为、两个应用的六个自然缺陷配对为收集目标，不把未达数量作为造假的压力。自然缺陷单独统计和展示，不加入固定变异分母。若没有足够自然缺陷，结论写为“对经过核验的注入业务缺陷保持检出”，真实缺陷外部有效性列为待验证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5.4 标签冻结后的争议</w:t>
      </w:r>
    </w:p>
    <w:p>
      <w:r>
        <w:rPr>
          <w:rFonts w:ascii="Arial" w:hAnsi="Arial" w:eastAsia="Arial Unicode MS" w:cs="Arial"/>
          <w:b w:val="0"/>
          <w:color w:val="000000"/>
        </w:rPr>
        <w:t>看到方法结果后才怀疑标签时，交给不知道方法名称的核验者按原规格复核。保留原始数据、争议记录和修订前后两套统计，对全部方法一致应用修订；不得只纠正有利于某方法的样本。若争议改变规格含义或占比较高，暂停主结论，发布新协议后重建未暴露材料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6 分离操作层 观察层与业务判据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6.1 三层接口</w:t>
      </w:r>
    </w:p>
    <w:p>
      <w:r>
        <w:rPr>
          <w:rFonts w:ascii="Arial" w:hAnsi="Arial" w:eastAsia="Arial Unicode MS" w:cs="Arial"/>
          <w:b w:val="0"/>
          <w:color w:val="000000"/>
        </w:rPr>
        <w:t>操作层回答“怎样在页面上完成指定用户动作”。例如打开编辑器、按业务身份选择页面、输入标题、点击 Close、搜索、刷新。适配规则由实际页面可见属性决定，不根据实现编号、框架名称或测试集路径分支。</w:t>
      </w:r>
    </w:p>
    <w:p>
      <w:r>
        <w:rPr>
          <w:rFonts w:ascii="Arial" w:hAnsi="Arial" w:eastAsia="Arial Unicode MS" w:cs="Arial"/>
          <w:b w:val="0"/>
          <w:color w:val="000000"/>
        </w:rPr>
        <w:t>观察层回答“页面目前实际呈现了什么”。输出包含对象身份、标题、正文行、可见集合、所选字段和状态的结构化 Observation，并附证据来源、唯一性、原始值和无法提取原因。提取器不得读取 expected 结果后填补缺失值，也不得返回硬编码答案。</w:t>
      </w:r>
    </w:p>
    <w:p>
      <w:r>
        <w:rPr>
          <w:rFonts w:ascii="Arial" w:hAnsi="Arial" w:eastAsia="Arial Unicode MS" w:cs="Arial"/>
          <w:b w:val="0"/>
          <w:color w:val="000000"/>
        </w:rPr>
        <w:t>业务判据回答“这些观察是否满足被冻结的义务”。比较对象集合、身份、数量、前后状态及刷新保持等。业务判据读取 Observation 和场景输入，不知道 CSS selector、组件库或框架；每个检查关联义务 ID。执行错误单独报告，不能让缺失 Observation 默认满足断言。</w:t>
      </w:r>
    </w:p>
    <w:p>
      <w:r>
        <w:rPr>
          <w:rFonts w:ascii="Arial" w:hAnsi="Arial" w:eastAsia="Arial Unicode MS" w:cs="Arial"/>
          <w:b w:val="0"/>
          <w:color w:val="000000"/>
        </w:rPr>
        <w:t>关系如下：冻结场景 → 操作适配器 → 浏览器真实状态 → 结果提取器 → 带证据的 Observation → 固定义务判断。独立认证使用另一份核验流程，不能复用待优化提取器作为真值。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6.2 Keep 创建笔记的具体例子</w:t>
      </w:r>
    </w:p>
    <w:p>
      <w:r>
        <w:rPr>
          <w:rFonts w:ascii="Arial" w:hAnsi="Arial" w:eastAsia="Arial Unicode MS" w:cs="Arial"/>
          <w:b w:val="0"/>
          <w:color w:val="000000"/>
        </w:rPr>
        <w:t>操作层通过规定入口创建标题唯一的笔记，输入两行正文，并点击 Close；不能将 Close 替换成 API 保存，也不能补点一个会改变语义的 Save。观察层只在对应笔记区域读取标题和可见正文，在刷新后重新定位并提取。</w:t>
      </w:r>
    </w:p>
    <w:p>
      <w:r>
        <w:rPr>
          <w:rFonts w:ascii="Arial" w:hAnsi="Arial" w:eastAsia="Arial Unicode MS" w:cs="Arial"/>
          <w:b w:val="0"/>
          <w:color w:val="000000"/>
        </w:rPr>
        <w:t>业务判据检查编辑器关闭、目标对象恰好一个、标题相等、正文两行内容和次序正确、刷新后仍满足要求。正文可由保留换行的文本、br 或多个块级段落呈现，只要满足规格规定的可见内容；观察层可以规范化换行符，但不能删除一行、丢弃重复内容或把不同对象的文字拼接成正确答案。</w:t>
      </w:r>
    </w:p>
    <w:p>
      <w:r>
        <w:rPr>
          <w:rFonts w:ascii="Arial" w:hAnsi="Arial" w:eastAsia="Arial Unicode MS" w:cs="Arial"/>
          <w:b w:val="0"/>
          <w:color w:val="000000"/>
        </w:rPr>
        <w:t>“一行显示多行源文本”是否满足场景的多行呈现要求，应在契约中预先确定。视觉高亮属于明确义务时，DOM 角色仅证明可定位，不能单独证明视觉区别；需要固定的样式证据规则或独立截图审查，阈值不得为某候选临时调整。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6.3 适配边界与保护检查</w:t>
      </w:r>
    </w:p>
    <w:p>
      <w:r>
        <w:rPr>
          <w:rFonts w:ascii="Arial" w:hAnsi="Arial" w:eastAsia="Arial Unicode MS" w:cs="Arial"/>
          <w:b w:val="0"/>
          <w:color w:val="000000"/>
        </w:rPr>
        <w:t>所有候选只允许修改指定的操作、提取和测试编排文件。BUSINESS 义务清单、必测场景和已审定的判据核心保持只读；判据核心若发现错误，应暂停该需求，按规格修订流程统一修正所有组，不能作为方法私有补丁。</w:t>
      </w:r>
    </w:p>
    <w:p>
      <w:r>
        <w:rPr>
          <w:rFonts w:ascii="Arial" w:hAnsi="Arial" w:eastAsia="Arial Unicode MS" w:cs="Arial"/>
          <w:b w:val="0"/>
          <w:color w:val="000000"/>
        </w:rPr>
        <w:t>为防止提取器掩盖错误，在开发阶段准备真实观察样本：正确正文、缺一行、重复对象、错误标题、额外列表项、错误对象预填和未持久化。固定业务判据对这些样本须给出预期结果。另运行“永远 PASS”的测试和“永远抛错”的测试，确认统计分别给出高接受低检出、低接受低有效检出；二者都不能被误判为好方法。</w:t>
      </w:r>
    </w:p>
    <w:p>
      <w:r>
        <w:rPr>
          <w:rFonts w:ascii="Arial" w:hAnsi="Arial" w:eastAsia="Arial Unicode MS" w:cs="Arial"/>
          <w:b w:val="0"/>
          <w:color w:val="000000"/>
        </w:rPr>
        <w:t>不允许跳过场景、减少义务、吞异常后继续判通过、读取认证标签或隐藏应用状态、根据 variant_id 走特殊逻辑、直接写 storage/数据库制造结果、让实现配合候选测试增加私有 test-id。统一公开 test-id 是另一种需产品接入的方案，可单列对照，不作为无修改迁移的主方法。</w:t>
      </w:r>
    </w:p>
    <w:p>
      <w:r>
        <w:rPr>
          <w:rFonts w:ascii="Arial" w:hAnsi="Arial" w:eastAsia="Arial Unicode MS" w:cs="Arial"/>
          <w:b w:val="0"/>
          <w:color w:val="000000"/>
        </w:rPr>
        <w:t>定位必须先确定目标业务对象和作用域，再选择其中的动作。多候选时先验证唯一性；没有身份依据的 first()、nth(0)、宽泛正则和无限 fallback 不作为合格修复。对会改变数据的动作，不能失败后盲目重复点击，防止一次操作变为两次提交。Playwright 的 actionability 和自动等待可减少时序问题，但不能代替业务判据或数据隔离。[来源 2]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7 方法组别与修订算法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7.1 第一阶段的方法</w:t>
      </w:r>
    </w:p>
    <w:p>
      <w:pPr>
        <w:keepNext/>
        <w:spacing w:before="100" w:after="100"/>
      </w:pPr>
      <w:r>
        <w:rPr>
          <w:rFonts w:ascii="Arial" w:hAnsi="Arial" w:eastAsia="Arial Unicode MS" w:cs="Arial"/>
          <w:b/>
          <w:color w:val="000000"/>
          <w:sz w:val="21"/>
        </w:rPr>
        <w:t>表 5　先比较原始测试 分层基线和两个修订流程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95" w:type="dxa"/>
          <w:bottom w:w="85" w:type="dxa"/>
          <w:right w:w="95" w:type="dxa"/>
        </w:tblCellMar>
      </w:tblPr>
      <w:tblGrid>
        <w:gridCol w:w="1928"/>
        <w:gridCol w:w="6009"/>
        <w:gridCol w:w="1474"/>
      </w:tblGrid>
      <w:tr>
        <w:trPr>
          <w:cantSplit/>
          <w:tblHeader/>
        </w:trPr>
        <w:tc>
          <w:tcPr>
            <w:tcW w:type="dxa" w:w="1928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6009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输入与操作</w:t>
            </w:r>
          </w:p>
        </w:tc>
        <w:tc>
          <w:tcPr>
            <w:tcW w:type="dxa" w:w="1474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独立生成次数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M0 归一化原测试</w:t>
            </w:r>
          </w:p>
        </w:tc>
        <w:tc>
          <w:tcPr>
            <w:tcW w:type="dxa" w:w="600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原 spec 和 helpers 不改；统一执行配置，作为历史工具参考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M0L 分层契约基线</w:t>
            </w:r>
          </w:p>
        </w:tc>
        <w:tc>
          <w:tcPr>
            <w:tcW w:type="dxa" w:w="600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获得完整 S1；固定判据，采用静态通用适配，不用 LLM 修订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M1 单轮修订</w:t>
            </w:r>
          </w:p>
        </w:tc>
        <w:tc>
          <w:tcPr>
            <w:tcW w:type="dxa" w:w="600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原测试、规格、M0L、冻结判据及两基线在开发正负样本上的反馈；修订一次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M2 多轮反馈</w:t>
            </w:r>
          </w:p>
        </w:tc>
        <w:tc>
          <w:tcPr>
            <w:tcW w:type="dxa" w:w="6009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与 M1 相同首轮；后续读取本轮候选的开发正负反馈，最多三轮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keepLines/>
              <w:spacing w:before="0" w:after="0" w:line="288" w:lineRule="auto"/>
              <w:jc w:val="center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2</w:t>
            </w:r>
          </w:p>
        </w:tc>
      </w:tr>
    </w:tbl>
    <w:p>
      <w:pPr>
        <w:spacing w:after="80" w:before="0" w:line="20" w:lineRule="exact"/>
      </w:pPr>
      <w:r>
        <w:rPr>
          <w:rFonts w:ascii="Arial" w:hAnsi="Arial" w:eastAsia="Arial Unicode MS" w:cs="Arial"/>
          <w:color w:val="000000"/>
          <w:sz w:val="2"/>
        </w:rPr>
      </w:r>
    </w:p>
    <w:p>
      <w:r>
        <w:rPr>
          <w:rFonts w:ascii="Arial" w:hAnsi="Arial" w:eastAsia="Arial Unicode MS" w:cs="Arial"/>
          <w:b w:val="0"/>
          <w:color w:val="000000"/>
        </w:rPr>
        <w:t>M0L 与所有分层修订组共用同一份 S1 规格、接口、场景输入和判据核心。它在读取开发实现的执行反馈前构建，依据公开 S1 加入一般性的角色/字段关联定位、对象作用域与支持的控件操作分支，不故意保留已经被放宽的单一名称限制来制造弱基线。适配逻辑不能读取具体实现或认证时写的专用选择器。建议静态适配开发限每需求四小时并记录实际工时；规格整理与判据实现属于所有方法共享成本，另记。</w:t>
      </w:r>
    </w:p>
    <w:p>
      <w:r>
        <w:rPr>
          <w:rFonts w:ascii="Arial" w:hAnsi="Arial" w:eastAsia="Arial Unicode MS" w:cs="Arial"/>
          <w:b w:val="0"/>
          <w:color w:val="000000"/>
        </w:rPr>
        <w:t>M0 到 M0L 的全部变化须逐项登记为“规格范围调整、输入覆盖补足、判据整理、静态适配”之一。例如原 BookStack REQ-6.4 每个 case 只创建一篇，而独立负例需要两篇并选择非第一篇；这项输入增强属于 M0L 及所有修订组的共同改动。该基线可能已因人工工程而改善，因此不能把 M0 到 M2 的全部收益归给 LLM。</w:t>
      </w:r>
    </w:p>
    <w:p>
      <w:r>
        <w:rPr>
          <w:rFonts w:ascii="Arial" w:hAnsi="Arial" w:eastAsia="Arial Unicode MS" w:cs="Arial"/>
          <w:b w:val="0"/>
          <w:color w:val="000000"/>
        </w:rPr>
        <w:t>M1、M2 的每个对应生成重复强制共享同一首轮候选及其反馈预算：M1 到此停止，M2 继续；若首轮未合格，M1 回退 M0L，M2 仍可在剩余轮次尝试。无合格候选或无收益的生成重复也必须保留，回退为 M0L，不删除困难重复。M0L 本身在某正确实现上不能运行也照常计分，不为获得更好基线临时手工修复。共享执行只复用候选 hash、产品 hash、契约、环境、输入 seed、重复编号都相同的结果，日志同时列逻辑实验机会与实际执行次数；封存稳定性检查不以缓存代替真实重复。</w:t>
      </w:r>
    </w:p>
    <w:p>
      <w:r>
        <w:rPr>
          <w:rFonts w:ascii="Arial" w:hAnsi="Arial" w:eastAsia="Arial Unicode MS" w:cs="Arial"/>
          <w:b w:val="0"/>
          <w:color w:val="000000"/>
        </w:rPr>
        <w:t>另保存 M0raw，使用上游原配置执行开发集，仅用于分析配置差异。所有正式比较使用统一配置，方法增量相对 M0L，历史工具差异相对 M0；不能将更长的等待时间算成 LLM 泛化能力。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7.2 正式阶段的预算匹配对照</w:t>
      </w:r>
    </w:p>
    <w:p>
      <w:r>
        <w:rPr>
          <w:rFonts w:ascii="Arial" w:hAnsi="Arial" w:eastAsia="Arial Unicode MS" w:cs="Arial"/>
          <w:b w:val="0"/>
          <w:color w:val="000000"/>
        </w:rPr>
        <w:t>正式阶段 M1、M2 各做三次独立生成，再加入以下两个方法，各做三次。生成组使用同一模型快照、初始输入可见范围和每次 token 上限；M2、M3、M4 的候选数及总预算上限相同，M1 是低预算单轮参照。M0/M0L 无模型调用，不能说与生成组的生成预算相等。</w:t>
      </w:r>
    </w:p>
    <w:p>
      <w:r>
        <w:rPr>
          <w:rFonts w:ascii="Arial" w:hAnsi="Arial" w:eastAsia="Arial Unicode MS" w:cs="Arial"/>
          <w:b w:val="0"/>
          <w:color w:val="000000"/>
        </w:rPr>
        <w:t>M3 无新增执行反馈：三轮文本审查，初始数据与 M2 完全相同，后续不将新候选运行结果、编译错误、接受位或由运行成绩选择的编辑基底交给模型。M2、M3 都无条件从上一轮输出继续；M2 收到新增反馈，M3 仅收到固定审查指令。全部候选生成后，外部程序才按相同规则选优。这使 M2 与 M3 的差异主要落在新增执行证据。</w:t>
      </w:r>
    </w:p>
    <w:p>
      <w:r>
        <w:rPr>
          <w:rFonts w:ascii="Arial" w:hAnsi="Arial" w:eastAsia="Arial Unicode MS" w:cs="Arial"/>
          <w:b w:val="0"/>
          <w:color w:val="000000"/>
        </w:rPr>
        <w:t>M4 独立候选搜索：从同一初始输入独立生成三个单轮候选，彼此不见补丁和反馈；外部程序用相同开发集执行和选择规则选优。与 M2 使用相同候选数和执行次数上限，检验迭代是否优于多采样。</w:t>
      </w:r>
    </w:p>
    <w:p>
      <w:r>
        <w:rPr>
          <w:rFonts w:ascii="Arial" w:hAnsi="Arial" w:eastAsia="Arial Unicode MS" w:cs="Arial"/>
          <w:b w:val="0"/>
          <w:color w:val="000000"/>
        </w:rPr>
        <w:t>M0、M0L 各一套，四个生成方法各三套，最终共有 14 套候选系统。每套由六条需求的测试包组成。可以另加按固定工时修复的人工版 H，标为工程参考，并单列人工成本，不将其纳入预算等同的 LLM 对照。M2 相对 M0L 的增量用于判断 LLM 是否超出共享契约与工程重构的收益。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7.3 多轮反馈的具体步骤</w:t>
      </w:r>
    </w:p>
    <w:p>
      <w:r>
        <w:rPr>
          <w:rFonts w:ascii="Arial" w:hAnsi="Arial" w:eastAsia="Arial Unicode MS" w:cs="Arial"/>
          <w:b w:val="0"/>
          <w:color w:val="000000"/>
        </w:rPr>
        <w:t>步骤 1：在所有开发正确父本及全部开发缺陷上运行 M0、M0L，生成按需求和义务组织的报告；M0L 是修订起点。反馈只包含开发材料：场景、实际动作、候选元素、操作前后 DOM 或无障碍摘要、原始观察、失败归因、参考标签和缺陷触发证据。</w:t>
      </w:r>
    </w:p>
    <w:p>
      <w:r>
        <w:rPr>
          <w:rFonts w:ascii="Arial" w:hAnsi="Arial" w:eastAsia="Arial Unicode MS" w:cs="Arial"/>
          <w:b w:val="0"/>
          <w:color w:val="000000"/>
        </w:rPr>
        <w:t>步骤 2：每个需求、每个生成重复开独立上下文，最多三次模型修订调用，每次最多 24 000 输入 token、6 000 输出 token；明确工具可见路径。模型返回补丁、义务到断言映射、修复理由、仍未解决的失败。若模型不能满足上下文预算，按固定顺序摘要并保留原证据链接，不能只向某组提供更多资料。</w:t>
      </w:r>
    </w:p>
    <w:p>
      <w:r>
        <w:rPr>
          <w:rFonts w:ascii="Arial" w:hAnsi="Arial" w:eastAsia="Arial Unicode MS" w:cs="Arial"/>
          <w:b w:val="0"/>
          <w:color w:val="000000"/>
        </w:rPr>
        <w:t>步骤 3：应用补丁到新候选目录，做解析、类型/导入检查、case 清单和绕过行为审计。非法候选记 TEST_ERROR 或 POLICY_INVALID，仍消耗该轮预算，不额外免费补问。</w:t>
      </w:r>
    </w:p>
    <w:p>
      <w:r>
        <w:rPr>
          <w:rFonts w:ascii="Arial" w:hAnsi="Arial" w:eastAsia="Arial Unicode MS" w:cs="Arial"/>
          <w:b w:val="0"/>
          <w:color w:val="000000"/>
        </w:rPr>
        <w:t>步骤 4：候选在完整开发矩阵上运行，每个目标独立重置三次。即使正确父本被候选拒绝，也继续评测对应缺陷；记录缺陷原始结果，但有效检出按父本通过条件计算。此规则防止因预筛选删掉困难分母。</w:t>
      </w:r>
    </w:p>
    <w:p>
      <w:r>
        <w:rPr>
          <w:rFonts w:ascii="Arial" w:hAnsi="Arial" w:eastAsia="Arial Unicode MS" w:cs="Arial"/>
          <w:b w:val="0"/>
          <w:color w:val="000000"/>
        </w:rPr>
        <w:t>步骤 5：保留所有候选、反馈和费用。M2、M3 以最后一轮输出作为下一轮编辑基底，即使该输出失败也不回退编辑基底；无法应用的补丁以原始文本保留，M2 可依据错误信息修复，M3 只能自行审查。M2 每轮获得实际反馈，M3 不获得任何新的运行结果。除总预算耗尽或服务不可用外都完成预定三轮；不得依据运行成绩提前停止 M3，避免停止信号泄漏反馈。最终部署版本由下一节规则选择，可以回退 M0L。</w:t>
      </w:r>
    </w:p>
    <w:p>
      <w:r>
        <w:rPr>
          <w:rFonts w:ascii="Arial" w:hAnsi="Arial" w:eastAsia="Arial Unicode MS" w:cs="Arial"/>
          <w:b w:val="0"/>
          <w:color w:val="000000"/>
        </w:rPr>
        <w:t>步骤 6：开发阶段结束后只提交一份开发优胜候选到验证协调者。若验证未通过第 7.5 节门槛，则回退 M0L；禁止再生成或挑第二份候选试探验证集。冻结最终 hash 后才执行封存评价。pilot 没有验证集，跳过此步骤中的验证判定，直接冻结开发选出的候选。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7.4 候选选择规则</w:t>
      </w:r>
    </w:p>
    <w:p>
      <w:r>
        <w:rPr>
          <w:rFonts w:ascii="Arial" w:hAnsi="Arial" w:eastAsia="Arial Unicode MS" w:cs="Arial"/>
          <w:b w:val="0"/>
          <w:color w:val="000000"/>
        </w:rPr>
        <w:t>先检查场景完整、义务完整、接口合法、无绕过行为。通过后，要求 M0L 已稳定接受的开发正确单位不退化，M0L 已有效检出的开发负例不变为未检出；保护的是逐项清单，不能用一个新检出抵消另一个失去的检出。</w:t>
      </w:r>
    </w:p>
    <w:p>
      <w:r>
        <w:rPr>
          <w:rFonts w:ascii="Arial" w:hAnsi="Arial" w:eastAsia="Arial Unicode MS" w:cs="Arial"/>
          <w:b w:val="0"/>
          <w:color w:val="000000"/>
        </w:rPr>
        <w:t>所有方法使用同一份冻结的 M0L 保护清单，在全部候选生成后统一选择，不根据中途新成功扩展保护清单。满足保护条件的候选按开发 CAR@3 优先、EDR@3 次优排序；完全相同则选较早候选，稳定性和耗时另列。M0L 本身也参与选择，没有合格改进则返回 M0L。M2、M3、M4 的保护与排序规则完全一致；每轮得失仍逐项公布。任何规则调整只能发生在新协议与新封存集下。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7.5 验证门槛</w:t>
      </w:r>
    </w:p>
    <w:p>
      <w:r>
        <w:rPr>
          <w:rFonts w:ascii="Arial" w:hAnsi="Arial" w:eastAsia="Arial Unicode MS" w:cs="Arial"/>
          <w:b w:val="0"/>
          <w:color w:val="000000"/>
        </w:rPr>
        <w:t>对每个需求单独验证：候选不得丢失 M0L 在验证集稳定接受的正确单位或有效检出的缺陷，不得新增 TEST_ERROR/POLICY_INVALID；且对应义务映射完整。没有正增益但不退化可以保留，验证只负责阻止明显回归，不要求验证单元必须有提升。某需求回退仅替换该需求测试包；共享 helper 若改变，必须重跑其影响的全部需求并按同一规则决定，不能悄悄交叉污染。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7.6 机制消融</w:t>
      </w:r>
    </w:p>
    <w:p>
      <w:r>
        <w:rPr>
          <w:rFonts w:ascii="Arial" w:hAnsi="Arial" w:eastAsia="Arial Unicode MS" w:cs="Arial"/>
          <w:b w:val="0"/>
          <w:color w:val="000000"/>
        </w:rPr>
        <w:t>先完成正式主比较，再在同一冻结协议下执行预先登记的消融；不能看到封存结果后临时选择有利消融。资源不足时优先前两项，并在开封前确定哪些属于本次计划。</w:t>
      </w:r>
    </w:p>
    <w:p>
      <w:pPr>
        <w:keepNext/>
        <w:spacing w:before="100" w:after="100"/>
      </w:pPr>
      <w:r>
        <w:rPr>
          <w:rFonts w:ascii="Arial" w:hAnsi="Arial" w:eastAsia="Arial Unicode MS" w:cs="Arial"/>
          <w:b/>
          <w:color w:val="000000"/>
          <w:sz w:val="21"/>
        </w:rPr>
        <w:t>表 6　每项消融仅改变一个因素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95" w:type="dxa"/>
          <w:bottom w:w="85" w:type="dxa"/>
          <w:right w:w="95" w:type="dxa"/>
        </w:tblCellMar>
      </w:tblPr>
      <w:tblGrid>
        <w:gridCol w:w="1814"/>
        <w:gridCol w:w="4422"/>
        <w:gridCol w:w="3175"/>
      </w:tblGrid>
      <w:tr>
        <w:trPr>
          <w:cantSplit/>
          <w:tblHeader/>
        </w:trPr>
        <w:tc>
          <w:tcPr>
            <w:tcW w:type="dxa" w:w="1814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变体</w:t>
            </w:r>
          </w:p>
        </w:tc>
        <w:tc>
          <w:tcPr>
            <w:tcW w:type="dxa" w:w="4422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改变</w:t>
            </w:r>
          </w:p>
        </w:tc>
        <w:tc>
          <w:tcPr>
            <w:tcW w:type="dxa" w:w="3175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可以回答的问题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M2 单实现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只反馈开发 A，其他预算不变；在完整开发集上仅做外部审计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多种正确表达的反馈是否必要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M2 正例反馈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模型只收到正确样本反馈；负例仍参与外部保护选择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负例信息是否帮助修订，而非只靠事后筛选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M2 不分层</w:t>
            </w:r>
          </w:p>
        </w:tc>
        <w:tc>
          <w:tcPr>
            <w:tcW w:type="dxa" w:w="442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业务义务不变，但操作、提取和断言写在同一 spec，其他输入预算不变</w:t>
            </w:r>
          </w:p>
        </w:tc>
        <w:tc>
          <w:tcPr>
            <w:tcW w:type="dxa" w:w="317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显式分层是否提高迁移与审计性</w:t>
            </w:r>
          </w:p>
        </w:tc>
      </w:tr>
    </w:tbl>
    <w:p>
      <w:pPr>
        <w:spacing w:after="80" w:before="0" w:line="20" w:lineRule="exact"/>
      </w:pPr>
      <w:r>
        <w:rPr>
          <w:rFonts w:ascii="Arial" w:hAnsi="Arial" w:eastAsia="Arial Unicode MS" w:cs="Arial"/>
          <w:color w:val="000000"/>
          <w:sz w:val="2"/>
        </w:rPr>
      </w:r>
    </w:p>
    <w:p>
      <w:r>
        <w:rPr>
          <w:rFonts w:ascii="Arial" w:hAnsi="Arial" w:eastAsia="Arial Unicode MS" w:cs="Arial"/>
          <w:b w:val="0"/>
          <w:color w:val="000000"/>
        </w:rPr>
        <w:t>单实现变体的候选选择只使用 A 的分数，其他开发实现的外部审计结果不参与选择或模型反馈；正式验证仍统一执行。正例反馈变体保留负例选择门槛，因此它检验的是“负例反馈”的贡献，不等同于完全移除缺陷保护。若另做无负例约束实验，必须单独命名，避免错误归因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8 统一执行与失败归因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8.1 运行条件</w:t>
      </w:r>
    </w:p>
    <w:p>
      <w:r>
        <w:rPr>
          <w:rFonts w:ascii="Arial" w:hAnsi="Arial" w:eastAsia="Arial Unicode MS" w:cs="Arial"/>
          <w:b w:val="0"/>
          <w:color w:val="000000"/>
        </w:rPr>
        <w:t>主环境固定 Node 22、上游 setup 锁定的 Playwright 1.57.0 及其对应 Chromium。记录准确 patch 版本、浏览器 build、OS 或容器 digest、CPU/内存和依赖锁文件。若平台必须改用其他 Playwright 版本，在任何正式比较前统一更换并发布协议修订，不将不同版本混为同一实验。</w:t>
      </w:r>
    </w:p>
    <w:p>
      <w:r>
        <w:rPr>
          <w:rFonts w:ascii="Arial" w:hAnsi="Arial" w:eastAsia="Arial Unicode MS" w:cs="Arial"/>
          <w:b w:val="0"/>
          <w:color w:val="000000"/>
        </w:rPr>
        <w:t>所有方法单 worker、retries=0、同一 viewport、locale、时区和固定业务时钟；建议 viewport 1440×900、locale en-US。Keep 使用其规格的 2026-07-21T12:00:00Z；ctrip 使用 2026-07-19 08:00 Asia/Shanghai；其他应用逐条提取要求，不使用机器当前日期替代。主配置每个 case 总时限 120 秒，action 15 秒、navigation 30 秒、普通 expect 10 秒；规格允许较长等待的义务显式使用同一语义预算，如通知自动消失 60 秒。</w:t>
      </w:r>
    </w:p>
    <w:p>
      <w:r>
        <w:rPr>
          <w:rFonts w:ascii="Arial" w:hAnsi="Arial" w:eastAsia="Arial Unicode MS" w:cs="Arial"/>
          <w:b w:val="0"/>
          <w:color w:val="000000"/>
        </w:rPr>
        <w:t>120 秒是统一的初始预算，不是所有任务性能合格标准。流程预检若发现无法容纳合法行为，必须在方法比较前统一调整并冻结，同时保留原配置诊断。禁止仅给改进组延长等待或加重试。Playwright 的失败后 retry 与本研究的独立重置重复是不同机制；retry 必须关闭。[来源 3]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8.2 一次执行的顺序</w:t>
      </w:r>
    </w:p>
    <w:p>
      <w:r>
        <w:rPr>
          <w:rFonts w:ascii="Arial" w:hAnsi="Arial" w:eastAsia="Arial Unicode MS" w:cs="Arial"/>
          <w:b w:val="0"/>
          <w:color w:val="000000"/>
        </w:rPr>
        <w:t>创建隔离实例或清理数据库、localStorage、IndexedDB、cookies 和缓存；装载规定基础 seed；设置前后端业务时钟；启动并核对当前构建 hash；创建全新浏览器上下文；通过规定入口执行该需求全部场景；保存 JSON report、trace、截图和服务日志；关闭浏览器与应用；校验环境清理完成。</w:t>
      </w:r>
    </w:p>
    <w:p>
      <w:r>
        <w:rPr>
          <w:rFonts w:ascii="Arial" w:hAnsi="Arial" w:eastAsia="Arial Unicode MS" w:cs="Arial"/>
          <w:b w:val="0"/>
          <w:color w:val="000000"/>
        </w:rPr>
        <w:t>每个目标执行 K=3 次，使用预注册的不同 run_id 与成对一致的 seed。一个重复内父本和缺陷、不同方法使用相同输入分区；记录确切测试数据。不能采用“三次有一次通过”的规则。生成重复和执行重复分别编号，不混成样本量。</w:t>
      </w:r>
    </w:p>
    <w:p>
      <w:r>
        <w:rPr>
          <w:rFonts w:ascii="Arial" w:hAnsi="Arial" w:eastAsia="Arial Unicode MS" w:cs="Arial"/>
          <w:b w:val="0"/>
          <w:color w:val="000000"/>
        </w:rPr>
        <w:t>在每个重复块内用固定随机 seed 打乱方法顺序与目标顺序，避免缓存、机器负载和时间漂移偏向某方法。样本代码和测试均使用内容 hash 绑定，防止运行旧服务。并行可发生在隔离容器之间，不能改变单个测试实例的 worker 数。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8.3 结果状态与有效检出</w:t>
      </w:r>
    </w:p>
    <w:p>
      <w:pPr>
        <w:keepNext/>
        <w:spacing w:before="100" w:after="100"/>
      </w:pPr>
      <w:r>
        <w:rPr>
          <w:rFonts w:ascii="Arial" w:hAnsi="Arial" w:eastAsia="Arial Unicode MS" w:cs="Arial"/>
          <w:b/>
          <w:color w:val="000000"/>
          <w:sz w:val="21"/>
        </w:rPr>
        <w:t>表 7　每次运行保存一个终态和完整归因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95" w:type="dxa"/>
          <w:bottom w:w="85" w:type="dxa"/>
          <w:right w:w="95" w:type="dxa"/>
        </w:tblCellMar>
      </w:tblPr>
      <w:tblGrid>
        <w:gridCol w:w="2551"/>
        <w:gridCol w:w="3118"/>
        <w:gridCol w:w="3742"/>
      </w:tblGrid>
      <w:tr>
        <w:trPr>
          <w:cantSplit/>
          <w:tblHeader/>
        </w:trPr>
        <w:tc>
          <w:tcPr>
            <w:tcW w:type="dxa" w:w="2551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3118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3742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对主指标的处理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PASS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所有必测 case 与义务通过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正样本可计接受；负样本为存活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ASSERTION_FAIL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到达相关业务判断后断言不满足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经独立归因后才可能计目标检出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ADAPTATION_FAIL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合法页面无法定位、操作或提取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正样本不接受；通常不算目标缺陷检出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TEST_ERROR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测试语法、导入、工具调用或候选执行逻辑错误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保留在固定分母；不算有效检出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POLICY_INVALID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跳过、吞错、绕过 UI、读取标签等协议违规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候选不可用，回退并保留记录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INFRA_UNRESOLVED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外部浏览器、端口、磁盘或服务基础设施异常未解决</w:t>
            </w:r>
          </w:p>
        </w:tc>
        <w:tc>
          <w:tcPr>
            <w:tcW w:type="dxa" w:w="374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标未知，按缺失规则报告界限</w:t>
            </w:r>
          </w:p>
        </w:tc>
      </w:tr>
    </w:tbl>
    <w:p>
      <w:pPr>
        <w:spacing w:after="80" w:before="0" w:line="20" w:lineRule="exact"/>
      </w:pPr>
      <w:r>
        <w:rPr>
          <w:rFonts w:ascii="Arial" w:hAnsi="Arial" w:eastAsia="Arial Unicode MS" w:cs="Arial"/>
          <w:color w:val="000000"/>
          <w:sz w:val="2"/>
        </w:rPr>
      </w:r>
    </w:p>
    <w:p>
      <w:r>
        <w:rPr>
          <w:rFonts w:ascii="Arial" w:hAnsi="Arial" w:eastAsia="Arial Unicode MS" w:cs="Arial"/>
          <w:b w:val="0"/>
          <w:color w:val="000000"/>
        </w:rPr>
        <w:t>target_failure_confirmed 不是由“测试失败”自动推出。原始目标失败归因须满足：目标变异独立有效；测试轨迹执行到目标义务或独立确认该义务要求的入口确实缺失；失败机制与违反义务一致；不是因为无关前置流程或提取器错误。此字段不包含父本成绩；汇总 EDR 时再要求正确父本三次稳定通过，使原始缺陷证据和配对有效检出可分别审计。</w:t>
      </w:r>
    </w:p>
    <w:p>
      <w:r>
        <w:rPr>
          <w:rFonts w:ascii="Arial" w:hAnsi="Arial" w:eastAsia="Arial Unicode MS" w:cs="Arial"/>
          <w:b w:val="0"/>
          <w:color w:val="000000"/>
        </w:rPr>
        <w:t>例如 Close 按钮被违规删除，找不到 Close 可构成目标检出；而缺陷只改变保存内容，测试先在无关登录超时，则不构成目标检出。结果归因采用匿名方法编号，争议由第二人复核。保存目标是否到达、检查是否执行、缺陷是否显现三个字段，避免把“没有看到错误”当作业务正确。</w:t>
      </w:r>
    </w:p>
    <w:p>
      <w:r>
        <w:rPr>
          <w:rFonts w:ascii="Arial" w:hAnsi="Arial" w:eastAsia="Arial Unicode MS" w:cs="Arial"/>
          <w:b w:val="0"/>
          <w:color w:val="000000"/>
        </w:rPr>
        <w:t>外部环境异常最多允许两次修复后重跑，所有方法按同一规则处理并保留原始记录；定位超时、候选脚本错误、产品真实崩溃不能借此无上限重试。重跑后仍未知，主表给计划数量、完成数量和未知数量，不静默删除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9 指标与统计分析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9.1 主指标</w:t>
      </w:r>
    </w:p>
    <w:p>
      <w:r>
        <w:rPr>
          <w:rFonts w:ascii="Arial" w:hAnsi="Arial" w:eastAsia="Arial Unicode MS" w:cs="Arial"/>
          <w:b w:val="0"/>
          <w:color w:val="000000"/>
        </w:rPr>
        <w:t>以下名称为本项目的操作性定义，@3 表示三次独立重置全部满足。对需求 r，令 C_r 为冻结正确集合，M_r 为独立认证的有效父本—缺陷配对集合。令 A(T,c)=1 表示候选 T 在正确单位 c 上三次均 PASS；D(T,m)=1 表示三次均因目标义务被确认拒绝。</w:t>
      </w:r>
    </w:p>
    <w:p>
      <w:pPr>
        <w:keepLines/>
        <w:spacing w:before="60" w:after="140"/>
        <w:jc w:val="center"/>
      </w:pPr>
      <m:oMath>
        <m:sSub>
          <m:e>
            <m:r>
              <w:rPr/>
              <m:t>CAR</m:t>
            </m:r>
          </m:e>
          <m:sub>
            <m:r>
              <w:rPr/>
              <m:t>r</m:t>
            </m:r>
          </m:sub>
        </m:sSub>
        <m:r>
          <w:rPr/>
          <m:t>@3 = </m:t>
        </m:r>
        <m:f>
          <m:num>
            <m:r>
              <w:rPr/>
              <m:t>Σ A(T,c)</m:t>
            </m:r>
          </m:num>
          <m:den>
            <m:r>
              <w:rPr/>
              <m:t>|</m:t>
            </m:r>
            <m:sSub>
              <m:e>
                <m:r>
                  <w:rPr/>
                  <m:t>C</m:t>
                </m:r>
              </m:e>
              <m:sub>
                <m:r>
                  <w:rPr/>
                  <m:t>r</m:t>
                </m:r>
              </m:sub>
            </m:sSub>
            <m:r>
              <w:rPr/>
              <m:t>|</m:t>
            </m:r>
          </m:den>
        </m:f>
      </m:oMath>
    </w:p>
    <w:p>
      <w:pPr>
        <w:keepLines/>
        <w:spacing w:before="60" w:after="140"/>
        <w:jc w:val="center"/>
      </w:pPr>
      <m:oMath>
        <m:sSub>
          <m:e>
            <m:r>
              <w:rPr/>
              <m:t>EDR</m:t>
            </m:r>
          </m:e>
          <m:sub>
            <m:r>
              <w:rPr/>
              <m:t>r</m:t>
            </m:r>
          </m:sub>
        </m:sSub>
        <m:r>
          <w:rPr/>
          <m:t>@3 = </m:t>
        </m:r>
        <m:f>
          <m:num>
            <m:r>
              <w:rPr/>
              <m:t>Σ [A(T,parent(m)) × D(T,m)]</m:t>
            </m:r>
          </m:num>
          <m:den>
            <m:r>
              <w:rPr/>
              <m:t>|</m:t>
            </m:r>
            <m:sSub>
              <m:e>
                <m:r>
                  <w:rPr/>
                  <m:t>M</m:t>
                </m:r>
              </m:e>
              <m:sub>
                <m:r>
                  <w:rPr/>
                  <m:t>r</m:t>
                </m:r>
              </m:sub>
            </m:sSub>
            <m:r>
              <w:rPr/>
              <m:t>|</m:t>
            </m:r>
          </m:den>
        </m:f>
      </m:oMath>
    </w:p>
    <w:p>
      <w:r>
        <w:rPr>
          <w:rFonts w:ascii="Arial" w:hAnsi="Arial" w:eastAsia="Arial Unicode MS" w:cs="Arial"/>
          <w:b w:val="0"/>
          <w:color w:val="000000"/>
        </w:rPr>
        <w:t>主结果先逐需求计算，再对六条需求等权平均；同时报告逐应用、逐实现族、逐缺陷类别的 k/n，以及应用等权平均。零有效样本写 NA。样本分母由独立认证决定，不因某方法不接受父本或不执行目标而缩小。</w:t>
      </w:r>
    </w:p>
    <w:p>
      <w:r>
        <w:rPr>
          <w:rFonts w:ascii="Arial" w:hAnsi="Arial" w:eastAsia="Arial Unicode MS" w:cs="Arial"/>
          <w:b w:val="0"/>
          <w:color w:val="000000"/>
        </w:rPr>
        <w:t>EDR 同时要求接受正确父本和拒绝对应错误版本，所以能惩罚“永远失败”的测试。CAR 改善也可能使 EDR 增加，即使缺陷断言本身没变。因此另报条件检出率 CDR：只在本方法父本三次通过的配对中计算 D，并明确这个分母随方法变化。再报 M0L 与 M2 都接受父本的共同子集检出，以及“新增有效检出中由父本恢复带来的数量”，用于解释机制，不能用条件结果替代主 EDR；M0 的相应分析另列为历史参考。</w:t>
      </w:r>
    </w:p>
    <w:p>
      <w:r>
        <w:rPr>
          <w:rFonts w:ascii="Arial" w:hAnsi="Arial" w:eastAsia="Arial Unicode MS" w:cs="Arial"/>
          <w:b w:val="0"/>
          <w:color w:val="000000"/>
        </w:rPr>
        <w:t>原始缺陷拒绝率仅统计缺陷是否非 PASS，不加父本与目标归因，作为诊断值；它不能代表真实错误检出。被候选拒绝的正确单元统称未接受，再分语义额外限制、定位/操作/提取失败和测试工具错误，不能把所有 1−CAR 都叫语义误判。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9.2 稳定性与缺失</w:t>
      </w:r>
    </w:p>
    <w:p>
      <w:r>
        <w:rPr>
          <w:rFonts w:ascii="Arial" w:hAnsi="Arial" w:eastAsia="Arial Unicode MS" w:cs="Arial"/>
          <w:b w:val="0"/>
          <w:color w:val="000000"/>
        </w:rPr>
        <w:t>Flaky@3：完成三次业务执行的单位中，既出现 PASS 又出现 ASSERTION_FAIL/ADAPTATION_FAIL 的单位比例。TEST_ERROR/POLICY_INVALID 和 INFRA_UNRESOLVED 不塞进这个二元指标，另报出现比例与全部终态的状态翻转率。分别计算正确集和缺陷集，再给合并值；始终失败也会 Flaky=0，必须与 CAR、EDR 一起解释。</w:t>
      </w:r>
    </w:p>
    <w:p>
      <w:r>
        <w:rPr>
          <w:rFonts w:ascii="Arial" w:hAnsi="Arial" w:eastAsia="Arial Unicode MS" w:cs="Arial"/>
          <w:b w:val="0"/>
          <w:color w:val="000000"/>
        </w:rPr>
        <w:t>对于外部基础设施未决，给固定计划分母下的保守下界和理论上界：已确认成功数/N 与（已确认成功数+尚可能成功的未决单位数）/N。若某单位已有一次确定失败，其 CAR@3 上界也为 0，不能因另一次未知又把该单位加进上界。EDR 上界同理同时检查父本与缺陷条件。另列完成案例估计，但不能只给完成案例百分比。</w:t>
      </w:r>
    </w:p>
    <w:p>
      <w:r>
        <w:rPr>
          <w:rFonts w:ascii="Arial" w:hAnsi="Arial" w:eastAsia="Arial Unicode MS" w:cs="Arial"/>
          <w:b w:val="0"/>
          <w:color w:val="000000"/>
        </w:rPr>
        <w:t>报告 K=3 的局限。即使每次独立执行失稳概率为 10%，三次恰好都没有失稳的概率仍为 72.9%。正式主评价结束后，对所有方法在预注册的稳定性子集执行 K=10（建议每需求至少一个封存正确父本及其全部缺陷），不根据谁刚好表现不好挑子集；该结果单列为压力检查。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9.3 成本与不确定性</w:t>
      </w:r>
    </w:p>
    <w:p>
      <w:r>
        <w:rPr>
          <w:rFonts w:ascii="Arial" w:hAnsi="Arial" w:eastAsia="Arial Unicode MS" w:cs="Arial"/>
          <w:b w:val="0"/>
          <w:color w:val="000000"/>
        </w:rPr>
        <w:t>成本记录模型调用次数、输入输出及缓存 token、按记录时价格计算的费用、人工规格/标注/审计工时、每轮执行次数、墙钟耗时、CPU 时间或资源用量、最终单例耗时中位数与 P95。缺失 token 不能按 0 处理。构建样本的费用和修订评测器的费用分开列。</w:t>
      </w:r>
    </w:p>
    <w:p>
      <w:r>
        <w:rPr>
          <w:rFonts w:ascii="Arial" w:hAnsi="Arial" w:eastAsia="Arial Unicode MS" w:cs="Arial"/>
          <w:b w:val="0"/>
          <w:color w:val="000000"/>
        </w:rPr>
        <w:t>pilot 仅报告 k/n、配对变化和生成重复分布，不做夸大显著性的推断。正式实验先对每个生成重复报告结果，再汇报平均与范围，不以最好一次替代总体。三次执行不是三个独立实现，三个故障也不是三个独立软件。</w:t>
      </w:r>
    </w:p>
    <w:p>
      <w:r>
        <w:rPr>
          <w:rFonts w:ascii="Arial" w:hAnsi="Arial" w:eastAsia="Arial Unicode MS" w:cs="Arial"/>
          <w:b w:val="0"/>
          <w:color w:val="000000"/>
        </w:rPr>
        <w:t>正式阶段可给探索性的配对分层 bootstrap 区间：以应用根实现为相关单元，保留其全部需求和缺陷，在每次重采样中保持各方法同一配对，另在生成重复层重采样。需求宏平均按原定义重算，固定随机种子，10 000 次。只有三款应用和两个封存家族时区间可能非常不稳，必须说明有限样本支持范围；不得按全部执行行独立 bootstrap 或据此声称普遍显著。要做更强的总体推断，优先增加独立根实现和应用，而不是重复运行次数。</w:t>
      </w:r>
    </w:p>
    <w:p>
      <w:r>
        <w:rPr>
          <w:rFonts w:ascii="Arial" w:hAnsi="Arial" w:eastAsia="Arial Unicode MS" w:cs="Arial"/>
          <w:b w:val="0"/>
          <w:color w:val="000000"/>
        </w:rPr>
        <w:t>主比较预注册为 S1 下的 M2 对 M0L；M2 对 M3、M4 检验反馈与迭代机制，M2 对 M1 描述追加修订收益。M0 只作历史工具参考，其在新增合法范围上的拒绝不能单独证明 LLM 方法有效。M0L 若已解释全部收益，应归因为规格整理和分层工程，而非 LLM 迭代。其他比较与消融标为次要，不逐项寻找最显著的结果。小样本不以未显著证明无差异或等效。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10 继续条件与失败后的动作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10.1 pilot 的继续门槛</w:t>
      </w:r>
    </w:p>
    <w:p>
      <w:r>
        <w:rPr>
          <w:rFonts w:ascii="Arial" w:hAnsi="Arial" w:eastAsia="Arial Unicode MS" w:cs="Arial"/>
          <w:b w:val="0"/>
          <w:color w:val="000000"/>
        </w:rPr>
        <w:t>先要求材料认证完成、三次重置一致、固定分母和取证可用，再判断收益。建议门槛为：M2 两次生成重复的封存 CAR@3 均不低于 M0L，相对 M0L 至少恢复两个“正确单位 × 生成重复”的接受，其中覆盖至少两条需求，且没有新拒绝；M0L 原本有效检出的每个关键负例在对应 M2 重复中不丢失；没有新增候选工具错误，Flaky@3 不上升。M0 有效检出的业务缺陷如有丢失也必须单独披露，但不把接口规范不同引起的拒绝算成检出。</w:t>
      </w:r>
    </w:p>
    <w:p>
      <w:r>
        <w:rPr>
          <w:rFonts w:ascii="Arial" w:hAnsi="Arial" w:eastAsia="Arial Unicode MS" w:cs="Arial"/>
          <w:b w:val="0"/>
          <w:color w:val="000000"/>
        </w:rPr>
        <w:t>门槛用于决定是否扩大投入，不是统计显著性声明。未达到时先按开发证据诊断：若 M0L 留出已经全接受，说明静态工程已解决当前材料，不必为证明 LLM 有用而制造难度；若 M2 只在开发集进步，优先检查过拟合；若负例检出退化，检查提取器与判据是否被弱化；若全部方法受重置影响，先修运行设施。查看 pilot 封存详情后形成的修改必须在新材料上验证。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10.2 正式实验的预定目标</w:t>
      </w:r>
    </w:p>
    <w:p>
      <w:r>
        <w:rPr>
          <w:rFonts w:ascii="Arial" w:hAnsi="Arial" w:eastAsia="Arial Unicode MS" w:cs="Arial"/>
          <w:b w:val="0"/>
          <w:color w:val="000000"/>
        </w:rPr>
        <w:t>建议工程目标为：M2 平均 CAR@3 相对 M0L 提升至少 10 个百分点，至少两款应用出现恢复，封存 E 和 F 的结果分别报告；平均 EDR@3 不下降，且三次生成重复都不丢失 M0L 已稳定检出的关键缺陷；Flaky@3 的宏平均不增加超过 5 个百分点，无新增系统性 TEST_ERROR。</w:t>
      </w:r>
    </w:p>
    <w:p>
      <w:r>
        <w:rPr>
          <w:rFonts w:ascii="Arial" w:hAnsi="Arial" w:eastAsia="Arial Unicode MS" w:cs="Arial"/>
          <w:b w:val="0"/>
          <w:color w:val="000000"/>
        </w:rPr>
        <w:t>正式封存每条需求只有两个正确单位，百分比变化呈离散跳变，须同时展示实际恢复/新拒绝数。上述 10/5 个百分点为可修改的预注册工程阈值，必须在开封前冻结；不把它们称为文献公认标准。任何关键缺陷退化均单独披露，即使总体 EDR 上升，也不得写“没有牺牲缺陷检出”。</w:t>
      </w:r>
    </w:p>
    <w:p>
      <w:r>
        <w:rPr>
          <w:rFonts w:ascii="Arial" w:hAnsi="Arial" w:eastAsia="Arial Unicode MS" w:cs="Arial"/>
          <w:b w:val="0"/>
          <w:color w:val="000000"/>
        </w:rPr>
        <w:t>若 M2 超过 M0L 但不优于预算匹配 M3/M4，只能支持“给定修订流程改善此材料上的评测”，不能证明执行反馈或迭代是独特贡献。若仅超过旧工具 M0、没有超过 M0L，则支持的是新接口范围和静态工程的价值。若自然缺陷数据不足，结论限定在注入业务缺陷。接口放宽方案即使没有带来 LLM 收益，也可作为独立发现：说明哪些固定约定可以移除、需要多少适配成本、错误检出是否受影响。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11 工程任务与交付接口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本节列出需要实现的实验工具，不表示仓库已经存在这些命令。推荐新建 </w:t>
      </w:r>
      <w:r>
        <w:rPr>
          <w:rFonts w:ascii="Arial" w:hAnsi="Arial" w:eastAsia="Arial Unicode MS" w:cs="Arial"/>
          <w:b w:val="0"/>
          <w:color w:val="000000"/>
          <w:sz w:val="21"/>
        </w:rPr>
        <w:t>experiments/cross-impl-generalization-v1/</w:t>
      </w:r>
      <w:r>
        <w:rPr>
          <w:rFonts w:ascii="Arial" w:hAnsi="Arial" w:eastAsia="Arial Unicode MS" w:cs="Arial"/>
          <w:b w:val="0"/>
          <w:color w:val="000000"/>
        </w:rPr>
        <w:t>，不覆盖旧测试或旧结果。所有新脚本先通过微型固定样例检查，再运行真实矩阵。</w:t>
      </w:r>
    </w:p>
    <w:p>
      <w:pPr>
        <w:keepNext/>
        <w:spacing w:before="100" w:after="100"/>
      </w:pPr>
      <w:r>
        <w:rPr>
          <w:rFonts w:ascii="Arial" w:hAnsi="Arial" w:eastAsia="Arial Unicode MS" w:cs="Arial"/>
          <w:b/>
          <w:color w:val="000000"/>
          <w:sz w:val="21"/>
        </w:rPr>
        <w:t>表 8　工作项及完成标准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95" w:type="dxa"/>
          <w:bottom w:w="85" w:type="dxa"/>
          <w:right w:w="95" w:type="dxa"/>
        </w:tblCellMar>
      </w:tblPr>
      <w:tblGrid>
        <w:gridCol w:w="1984"/>
        <w:gridCol w:w="4025"/>
        <w:gridCol w:w="3402"/>
      </w:tblGrid>
      <w:tr>
        <w:trPr>
          <w:cantSplit/>
          <w:tblHeader/>
        </w:trPr>
        <w:tc>
          <w:tcPr>
            <w:tcW w:type="dxa" w:w="1984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工作项</w:t>
            </w:r>
          </w:p>
        </w:tc>
        <w:tc>
          <w:tcPr>
            <w:tcW w:type="dxa" w:w="4025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输入与输出</w:t>
            </w:r>
          </w:p>
        </w:tc>
        <w:tc>
          <w:tcPr>
            <w:tcW w:type="dxa" w:w="3402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完成标准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规格导出与冻结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上游 SHA → 需求包、条款表、hash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全部祖先/场景/资源可追溯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应用生命周期管理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variant manifest → 独立 URL 与重置日志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不复用旧进程；前后端数据清理可证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矩阵运行器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方法、需求、变体、重复 → JSONL 与证据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精确选择 spec；核对全部 case 数和终态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修订控制器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开发反馈与只读判据 → 候选补丁、费用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执行预算、权限和保护规则可审计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结果归因工具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trace 与义务 ID → 原因及目标检出判定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匿名方法编号；争议可复核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汇总程序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冻结标签与结果 → 指标、逐项差异、缺失界限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永远通过/失败控制得到正确结果</w:t>
            </w:r>
          </w:p>
        </w:tc>
      </w:tr>
    </w:tbl>
    <w:p>
      <w:pPr>
        <w:spacing w:after="80" w:before="0" w:line="20" w:lineRule="exact"/>
      </w:pPr>
      <w:r>
        <w:rPr>
          <w:rFonts w:ascii="Arial" w:hAnsi="Arial" w:eastAsia="Arial Unicode MS" w:cs="Arial"/>
          <w:color w:val="000000"/>
          <w:sz w:val="2"/>
        </w:rPr>
      </w:r>
    </w:p>
    <w:p>
      <w:r>
        <w:rPr>
          <w:rFonts w:ascii="Arial" w:hAnsi="Arial" w:eastAsia="Arial Unicode MS" w:cs="Arial"/>
          <w:b w:val="0"/>
          <w:color w:val="000000"/>
        </w:rPr>
        <w:t>矩阵运行器必须从 Playwright JSON reporter 获取每个 case 及重试 attempt，按“需求全部 case 通过”聚合。不得只解析 stdout 中第一条 passed，也不得仅设置 testDir 后以为运行了指定文件。</w:t>
      </w:r>
      <w:r>
        <w:rPr>
          <w:rFonts w:ascii="Arial" w:hAnsi="Arial" w:eastAsia="Arial Unicode MS" w:cs="Arial"/>
          <w:b w:val="0"/>
          <w:color w:val="000000"/>
          <w:sz w:val="21"/>
        </w:rPr>
        <w:t>--list</w:t>
      </w:r>
      <w:r>
        <w:rPr>
          <w:rFonts w:ascii="Arial" w:hAnsi="Arial" w:eastAsia="Arial Unicode MS" w:cs="Arial"/>
          <w:b w:val="0"/>
          <w:color w:val="000000"/>
        </w:rPr>
        <w:t xml:space="preserve"> 生成清单与 protocol 的场景映射比对，零测试、skip、only、重复 case、缺少 case 均要显式失败。</w:t>
      </w:r>
    </w:p>
    <w:p>
      <w:r>
        <w:rPr>
          <w:rFonts w:ascii="Arial" w:hAnsi="Arial" w:eastAsia="Arial Unicode MS" w:cs="Arial"/>
          <w:b w:val="0"/>
          <w:color w:val="000000"/>
        </w:rPr>
        <w:t>正式目录建议如下；封存材料只挂载给最终执行进程。</w:t>
      </w:r>
    </w:p>
    <w:p>
      <w:pPr>
        <w:pStyle w:val="CodeBlock"/>
      </w:pPr>
      <w:r>
        <w:rPr>
          <w:rFonts w:ascii="Menlo" w:hAnsi="Menlo" w:eastAsia="Arial Unicode MS" w:cs="Menlo"/>
          <w:b w:val="0"/>
          <w:color w:val="000000"/>
          <w:sz w:val="17"/>
        </w:rPr>
        <w:t>cross-impl-generalization-v1/</w:t>
        <w:br/>
        <w:t xml:space="preserve">  protocol/       protocol.json  obligations.jsonl  exposure.jsonl</w:t>
        <w:br/>
        <w:t xml:space="preserve">  snapshot/       upstream/  original-tests/  normalized-config/</w:t>
        <w:br/>
        <w:t xml:space="preserve">  materials/      dev/  validation/  sealed/</w:t>
        <w:br/>
        <w:t xml:space="preserve">  certification/ labels.jsonl  witnesses/  adjudication.jsonl</w:t>
        <w:br/>
        <w:t xml:space="preserve">  methods/        M0/  M0L/  M1/  M2/  M3/  M4/</w:t>
        <w:br/>
        <w:t xml:space="preserve">  revisions/      request/  patches/  feedback/  usage.jsonl</w:t>
        <w:br/>
        <w:t xml:space="preserve">  runs/           dev/  validation/  sealed/</w:t>
        <w:br/>
        <w:t xml:space="preserve">  analysis/       unit-results.jsonl  metrics.json  tables/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12 时间安排与预算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12.1 分阶段执行</w:t>
      </w:r>
    </w:p>
    <w:p>
      <w:pPr>
        <w:keepNext/>
        <w:spacing w:before="100" w:after="100"/>
      </w:pPr>
      <w:r>
        <w:rPr>
          <w:rFonts w:ascii="Arial" w:hAnsi="Arial" w:eastAsia="Arial Unicode MS" w:cs="Arial"/>
          <w:b/>
          <w:color w:val="000000"/>
          <w:sz w:val="21"/>
        </w:rPr>
        <w:t>表 9　按一名执行者和一名兼职复核者估算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95" w:type="dxa"/>
          <w:bottom w:w="85" w:type="dxa"/>
          <w:right w:w="95" w:type="dxa"/>
        </w:tblCellMar>
      </w:tblPr>
      <w:tblGrid>
        <w:gridCol w:w="2381"/>
        <w:gridCol w:w="1757"/>
        <w:gridCol w:w="5272"/>
      </w:tblGrid>
      <w:tr>
        <w:trPr>
          <w:cantSplit/>
          <w:tblHeader/>
        </w:trPr>
        <w:tc>
          <w:tcPr>
            <w:tcW w:type="dxa" w:w="2381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1757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预计时间</w:t>
            </w:r>
          </w:p>
        </w:tc>
        <w:tc>
          <w:tcPr>
            <w:tcW w:type="dxa" w:w="5272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完成后应有的产物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P0 规格和基础设施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2–3 个工作日</w:t>
            </w:r>
          </w:p>
        </w:tc>
        <w:tc>
          <w:tcPr>
            <w:tcW w:type="dxa" w:w="527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SHA快照、条款表、两个BookStack流程样本、runner检查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P1 pilot 材料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4–6 个工作日</w:t>
            </w:r>
          </w:p>
        </w:tc>
        <w:tc>
          <w:tcPr>
            <w:tcW w:type="dxa" w:w="527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八套切片、12个正确单位与24个缺陷认证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P2 pilot 方法与开封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2–3 个工作日</w:t>
            </w:r>
          </w:p>
        </w:tc>
        <w:tc>
          <w:tcPr>
            <w:tcW w:type="dxa" w:w="527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两基线与两个修订流程、324次留出执行、继续判断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P3 正式材料与验证隔离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8–12 个工作日</w:t>
            </w:r>
          </w:p>
        </w:tc>
        <w:tc>
          <w:tcPr>
            <w:tcW w:type="dxa" w:w="527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六族三应用、36个正确单位与108个缺陷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P4 正式方法与封存评价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5–7 个工作日</w:t>
            </w:r>
          </w:p>
        </w:tc>
        <w:tc>
          <w:tcPr>
            <w:tcW w:type="dxa" w:w="527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预算匹配对照、2016次主封存执行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P5 消融及报告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4–6 个工作日</w:t>
            </w:r>
          </w:p>
        </w:tc>
        <w:tc>
          <w:tcPr>
            <w:tcW w:type="dxa" w:w="5272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机制证据、自然缺陷补充、完整复现包</w:t>
            </w:r>
          </w:p>
        </w:tc>
      </w:tr>
    </w:tbl>
    <w:p>
      <w:pPr>
        <w:spacing w:after="80" w:before="0" w:line="20" w:lineRule="exact"/>
      </w:pPr>
      <w:r>
        <w:rPr>
          <w:rFonts w:ascii="Arial" w:hAnsi="Arial" w:eastAsia="Arial Unicode MS" w:cs="Arial"/>
          <w:color w:val="000000"/>
          <w:sz w:val="2"/>
        </w:rPr>
      </w:r>
    </w:p>
    <w:p>
      <w:r>
        <w:rPr>
          <w:rFonts w:ascii="Arial" w:hAnsi="Arial" w:eastAsia="Arial Unicode MS" w:cs="Arial"/>
          <w:b w:val="0"/>
          <w:color w:val="000000"/>
        </w:rPr>
        <w:t>总计约 25–37 个工作日，按每天 4–6 小时有效研究工时约 100–220 小时，另预留 20% 材料返工和复核时间。前置流程与组件适配最可能超出估计。预算不足时先保留三个 pilot 需求的完整认证和封存评价，不用减少场景或省掉缺陷核验来凑正式规模。</w:t>
      </w:r>
    </w:p>
    <w:p>
      <w:pPr>
        <w:pStyle w:val="Heading2"/>
      </w:pPr>
      <w:r>
        <w:rPr>
          <w:rFonts w:ascii="Arial" w:hAnsi="Arial" w:eastAsia="Arial Unicode MS" w:cs="Arial"/>
          <w:b w:val="0"/>
          <w:color w:val="000000"/>
        </w:rPr>
        <w:t>12.2 执行次数计算</w:t>
      </w:r>
    </w:p>
    <w:p>
      <w:r>
        <w:rPr>
          <w:rFonts w:ascii="Arial" w:hAnsi="Arial" w:eastAsia="Arial Unicode MS" w:cs="Arial"/>
          <w:b w:val="0"/>
          <w:color w:val="000000"/>
        </w:rPr>
        <w:t>pilot 封存有 6 个正确目标和 12 个缺陷目标。M0、M0L 各一套、M1 两套、M2 两套，共六套：18 × 3 × 6 = 324 次需求级执行。每次包含该需求全部场景，不等于 324 个 Playwright case。</w:t>
      </w:r>
    </w:p>
    <w:p>
      <w:r>
        <w:rPr>
          <w:rFonts w:ascii="Arial" w:hAnsi="Arial" w:eastAsia="Arial Unicode MS" w:cs="Arial"/>
          <w:b w:val="0"/>
          <w:color w:val="000000"/>
        </w:rPr>
        <w:t>正式封存有 12 个正确目标和 36 个缺陷目标。M0、M0L 各一套，M1–M4 各三套，共十四套：48 × 3 × 14 = 2016 次需求级执行。若三项消融各三套，新增 48 × 3 × 9 = 1296 次；自然缺陷和 K=10 压力检查另计。</w:t>
      </w:r>
    </w:p>
    <w:p>
      <w:r>
        <w:rPr>
          <w:rFonts w:ascii="Arial" w:hAnsi="Arial" w:eastAsia="Arial Unicode MS" w:cs="Arial"/>
          <w:b w:val="0"/>
          <w:color w:val="000000"/>
        </w:rPr>
        <w:t>正式开发集有 72 个目标。按 M1 每重复一版、M2/M3/M4 每重复最多三版、各三次生成计算，最多 30 个候选版本当量：72 × 3 × 30 = 6480 次开发执行；M0、M0L 开发评价再加 432 次。验证每个生成方法每重复只查一份候选：24 × 3 × 12 = 864 次，再加两个基线的 144 次。上述是未扣除 M1/M2 首轮共享的保守预算，实际共享执行可去重；未计认证、非法候选的失败执行、人工 H 与基础设施重跑。</w:t>
      </w:r>
    </w:p>
    <w:p>
      <w:r>
        <w:rPr>
          <w:rFonts w:ascii="Arial" w:hAnsi="Arial" w:eastAsia="Arial Unicode MS" w:cs="Arial"/>
          <w:b w:val="0"/>
          <w:color w:val="000000"/>
        </w:rPr>
        <w:t>候选版本“当量”指六条需求各生成相应数量的包，不能误当成一次 LLM 调用修订整个应用。正式核心模型调用上限为 6 × 3 × (1+3+3+3) = 180 次；配对首轮复用和提前停止会降低实际调用。每次输入输出上限分别为 24k/6k，则保守上限为 432万输入 token、108万输出 token，费用用选定模型的实际单价计算，另列缓存与推理费用。</w:t>
      </w:r>
    </w:p>
    <w:p>
      <w:r>
        <w:rPr>
          <w:rFonts w:ascii="Arial" w:hAnsi="Arial" w:eastAsia="Arial Unicode MS" w:cs="Arial"/>
          <w:b w:val="0"/>
          <w:color w:val="000000"/>
        </w:rPr>
        <w:t>先测 pilot 每个需求级执行耗时，以均值 t 秒估计总串行机时 N×t/3600，再加应用重置与启动时间。运行阶段超过原预计预算 20% 时，只能暂停扩展或按预注册优先级取消尚未开始的次要分析，不改变已经观察到的主实验分母。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13 结果表与应交付材料</w:t>
      </w:r>
    </w:p>
    <w:p>
      <w:r>
        <w:rPr>
          <w:rFonts w:ascii="Arial" w:hAnsi="Arial" w:eastAsia="Arial Unicode MS" w:cs="Arial"/>
          <w:b w:val="0"/>
          <w:color w:val="000000"/>
        </w:rPr>
        <w:t>主表按方法列出：正确单位 k/n、CAR@3、有效缺陷配对 k/n、EDR@3、Flaky@3、TEST_ERROR、外部未决数、生成费用和最终执行耗时。每个生成重复单独保留，汇总行给平均与范围。正文先写恢复了哪些正确行为，再写是否失去缺陷检出，最后解释运行成本。</w:t>
      </w:r>
    </w:p>
    <w:p>
      <w:r>
        <w:rPr>
          <w:rFonts w:ascii="Arial" w:hAnsi="Arial" w:eastAsia="Arial Unicode MS" w:cs="Arial"/>
          <w:b w:val="0"/>
          <w:color w:val="000000"/>
        </w:rPr>
        <w:t>附表一给逐需求 × 实现族配对变化：原接受→新接受、原拒绝→新接受、原接受→新拒绝、均拒绝。附表二按缺陷类别分解目标到达、原始拒绝、有效检出、存活与未知。附表三报告合法变化维度与接受情况；同时变化的因素只作描述，不作单因素因果解释。</w:t>
      </w:r>
    </w:p>
    <w:p>
      <w:r>
        <w:rPr>
          <w:rFonts w:ascii="Arial" w:hAnsi="Arial" w:eastAsia="Arial Unicode MS" w:cs="Arial"/>
          <w:b w:val="0"/>
          <w:color w:val="000000"/>
        </w:rPr>
        <w:t>每项机制至少配一个完整案例，包含原规格条款、正确实现差异、原测试失败轨迹、候选补丁、修订后观察，以及对应缺陷仍被拒绝的证据。不得仅展示恢复案例而省略新误拒与新漏检。</w:t>
      </w:r>
    </w:p>
    <w:p>
      <w:r>
        <w:rPr>
          <w:rFonts w:ascii="Arial" w:hAnsi="Arial" w:eastAsia="Arial Unicode MS" w:cs="Arial"/>
          <w:b w:val="0"/>
          <w:color w:val="000000"/>
        </w:rPr>
        <w:t>交付包包括冻结协议、需求条款、实现与缺陷清单、认证标签与证据、数据划分和暴露日志、各方法完整测试包、每轮提示与补丁、原始运行结果、归因记录、统计脚本、成本记录及结论边界。公开包中不含 API 密钥、个人账号数据或私有凭证。</w:t>
      </w:r>
    </w:p>
    <w:p>
      <w:r>
        <w:rPr>
          <w:rFonts w:ascii="Arial" w:hAnsi="Arial" w:eastAsia="Arial Unicode MS" w:cs="Arial"/>
          <w:b w:val="0"/>
          <w:color w:val="000000"/>
        </w:rPr>
        <w:t>研究论断与证据状态如下。全部效果性论断在本计划编写时均待实验支持。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95" w:type="dxa"/>
          <w:bottom w:w="85" w:type="dxa"/>
          <w:right w:w="95" w:type="dxa"/>
        </w:tblCellMar>
      </w:tblPr>
      <w:tblGrid>
        <w:gridCol w:w="3005"/>
        <w:gridCol w:w="4025"/>
        <w:gridCol w:w="2381"/>
      </w:tblGrid>
      <w:tr>
        <w:trPr>
          <w:cantSplit/>
          <w:tblHeader/>
        </w:trPr>
        <w:tc>
          <w:tcPr>
            <w:tcW w:type="dxa" w:w="3005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论断</w:t>
            </w:r>
          </w:p>
        </w:tc>
        <w:tc>
          <w:tcPr>
            <w:tcW w:type="dxa" w:w="4025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必需证据</w:t>
            </w:r>
          </w:p>
        </w:tc>
        <w:tc>
          <w:tcPr>
            <w:tcW w:type="dxa" w:w="2381"/>
            <w:vAlign w:val="center"/>
            <w:shd w:fill="E8EDF2" w:val="clear"/>
          </w:tcPr>
          <w:p>
            <w:pPr>
              <w:keepNext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/>
                <w:color w:val="000000"/>
                <w:sz w:val="21"/>
              </w:rPr>
              <w:t>当前状态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固定界面细节会拒绝合规实现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独立认证的完整正确应用和原测试失败轨迹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局部风险已有依据，完整新材料待运行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多轮修订提高未见实现接受率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封存 CAR@3 与逐项恢复，多个生成重复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待实验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改善未牺牲真实错误检出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EDR、共同父本分析、关键负例与自然缺陷证据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待实验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多实现执行反馈是有效机制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M2 对 M3/M4、单实现及反馈消融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待实验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具有跨栈稳定性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E/F 分开结果、重复运行和实现来源审计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keepLines/>
              <w:spacing w:before="0" w:after="0" w:line="288" w:lineRule="auto"/>
              <w:jc w:val="left"/>
            </w:pPr>
            <w:r>
              <w:rPr>
                <w:rFonts w:ascii="Arial" w:hAnsi="Arial" w:eastAsia="Arial Unicode MS" w:cs="Arial"/>
                <w:b w:val="0"/>
                <w:color w:val="000000"/>
                <w:sz w:val="21"/>
              </w:rPr>
              <w:t>待实验，范围有限</w:t>
            </w:r>
          </w:p>
        </w:tc>
      </w:tr>
    </w:tbl>
    <w:p>
      <w:pPr>
        <w:spacing w:after="80" w:before="0" w:line="20" w:lineRule="exact"/>
      </w:pPr>
      <w:r>
        <w:rPr>
          <w:rFonts w:ascii="Arial" w:hAnsi="Arial" w:eastAsia="Arial Unicode MS" w:cs="Arial"/>
          <w:color w:val="000000"/>
          <w:sz w:val="2"/>
        </w:rPr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14 第一周执行清单与命令</w:t>
      </w:r>
    </w:p>
    <w:p>
      <w:r>
        <w:rPr>
          <w:rFonts w:ascii="Arial" w:hAnsi="Arial" w:eastAsia="Arial Unicode MS" w:cs="Arial"/>
          <w:b w:val="0"/>
          <w:color w:val="000000"/>
        </w:rPr>
        <w:t>第一天完成以下六项，完成前不启动大规模模型调用：导出冻结快照；核对三条 pilot 的全部规格；填业务/界面/自由变化表；冻结样本构建提示；选定四族并登记来源；构建两个 BookStack 开发版本及独立缺陷见证。</w:t>
      </w:r>
    </w:p>
    <w:p>
      <w:r>
        <w:rPr>
          <w:rFonts w:ascii="Arial" w:hAnsi="Arial" w:eastAsia="Arial Unicode MS" w:cs="Arial"/>
          <w:b w:val="0"/>
          <w:color w:val="000000"/>
        </w:rPr>
        <w:t>下面的快照命令使用已存在的 Git 对象，只创建新目录。先检查目标目录不存在；若已经存在，应核对内容并选择新版本目录，不覆盖。代码中的路径按当前 workspace 编写，命令在后续执行实验时运行，本计划未启动这些实验。</w:t>
      </w:r>
    </w:p>
    <w:p>
      <w:pPr>
        <w:pStyle w:val="CodeBlock"/>
      </w:pPr>
      <w:r>
        <w:rPr>
          <w:rFonts w:ascii="Menlo" w:hAnsi="Menlo" w:eastAsia="Arial Unicode MS" w:cs="Menlo"/>
          <w:b w:val="0"/>
          <w:color w:val="000000"/>
          <w:sz w:val="17"/>
        </w:rPr>
        <w:t>cd /Users/chenjiahao/Desktop/research/FYP/arc-bench</w:t>
        <w:br/>
        <w:t>EXPERIMENT_ROOT="$PWD/experiments/cross-impl-generalization-v1"</w:t>
        <w:br/>
        <w:t>test ! -e "$EXPERIMENT_ROOT" || exit 1</w:t>
        <w:br/>
        <w:t>mkdir -p "$EXPERIMENT_ROOT/snapshot/upstream"</w:t>
        <w:br/>
        <w:t>git archive c583968dcde891cf58ad3b54a03c757affc44c54 \</w:t>
        <w:br/>
        <w:t xml:space="preserve">  | tar -x -C "$EXPERIMENT_ROOT/snapshot/upstream"</w:t>
      </w:r>
    </w:p>
    <w:p>
      <w:r>
        <w:rPr>
          <w:rFonts w:ascii="Arial" w:hAnsi="Arial" w:eastAsia="Arial Unicode MS" w:cs="Arial"/>
          <w:b w:val="0"/>
          <w:color w:val="000000"/>
        </w:rPr>
        <w:t>下面是冻结上游的实际安装和单 spec 运行方式。先启动经过核验的 BookStack 开发应用；33000 仅为示例端口，必须替换为 manifest 中对应 URL。首次 setup 生成 package/config 并安装依赖，在专用 runner 目录运行；后续复现使用冻结锁文件安装，不重复生成配置。统一主实验配置在此生成的配置副本中修改并保存 diff。</w:t>
      </w:r>
    </w:p>
    <w:p>
      <w:pPr>
        <w:pStyle w:val="CodeBlock"/>
      </w:pPr>
      <w:r>
        <w:rPr>
          <w:rFonts w:ascii="Menlo" w:hAnsi="Menlo" w:eastAsia="Arial Unicode MS" w:cs="Menlo"/>
          <w:b w:val="0"/>
          <w:color w:val="000000"/>
          <w:sz w:val="17"/>
        </w:rPr>
        <w:t>mkdir -p "$EXPERIMENT_ROOT/runners/bookstack"</w:t>
        <w:br/>
        <w:t>cp -R "$EXPERIMENT_ROOT/snapshot/upstream/arc-bench/bookstack/tests" \</w:t>
        <w:br/>
        <w:t xml:space="preserve">  "$EXPERIMENT_ROOT/runners/bookstack/tests"</w:t>
        <w:br/>
        <w:t>cp "$EXPERIMENT_ROOT/snapshot/upstream/setup-playwright.sh" \</w:t>
        <w:br/>
        <w:t xml:space="preserve">  "$EXPERIMENT_ROOT/runners/bookstack/setup-playwright.sh"</w:t>
        <w:br/>
        <w:t>cd "$EXPERIMENT_ROOT/runners/bookstack"</w:t>
        <w:br/>
        <w:t>bash -c 'source ./setup-playwright.sh "http://127.0.0.1:33000"'</w:t>
        <w:br/>
        <w:t>npm run test:e2e -- tests/REQ-6.4.spec.ts --list</w:t>
        <w:br/>
        <w:t>PLAYWRIGHT_BASE_URL=http://127.0.0.1:33000 \</w:t>
        <w:br/>
        <w:t xml:space="preserve">  npm run test:e2e -- tests/REQ-6.4.spec.ts --workers=1 --retries=0</w:t>
      </w:r>
    </w:p>
    <w:p>
      <w:r>
        <w:rPr>
          <w:rFonts w:ascii="Arial" w:hAnsi="Arial" w:eastAsia="Arial Unicode MS" w:cs="Arial"/>
          <w:b w:val="0"/>
          <w:color w:val="000000"/>
        </w:rPr>
        <w:t>这组命令已根据冻结源码静态核对；执行成功后仅证明原始安装和精确 spec 入口可运行，不等于完成实验矩阵。正式运行前还需实现第 11 节的重置、统一 120 秒配置、JSON reporter、完整 case 核对、证据归档和指标汇总。源脚本在 bash 子进程中设置的环境变量不会带回外层 zsh，因此运行示例显式传入 URL；正式 runner 应显式传入全部运行条件。</w:t>
      </w:r>
    </w:p>
    <w:p>
      <w:r>
        <w:rPr>
          <w:rFonts w:ascii="Arial" w:hAnsi="Arial" w:eastAsia="Arial Unicode MS" w:cs="Arial"/>
          <w:b w:val="0"/>
          <w:color w:val="000000"/>
        </w:rPr>
        <w:t>第一周结束检查：三个需求均有完整条款表；开发正确父本独立三次通过；负例已独立三次触发；封存构建与访问隔离完成；runner 能识别零 case、跳过、错误脚本和环境失败；模型只能改允许文件；所有方法用相同配置。任何一项未完成，优先完成材料与设施，不提前开封看效果。</w:t>
      </w:r>
    </w:p>
    <w:p>
      <w:pPr>
        <w:pStyle w:val="Heading1"/>
        <w:pageBreakBefore/>
      </w:pPr>
      <w:r>
        <w:rPr>
          <w:rFonts w:ascii="Arial" w:hAnsi="Arial" w:eastAsia="Arial Unicode MS" w:cs="Arial"/>
          <w:b w:val="0"/>
          <w:color w:val="000000"/>
        </w:rPr>
        <w:t>附录 A 可复制的契约示例</w:t>
      </w:r>
    </w:p>
    <w:p>
      <w:r>
        <w:rPr>
          <w:rFonts w:ascii="Arial" w:hAnsi="Arial" w:eastAsia="Arial Unicode MS" w:cs="Arial"/>
          <w:b w:val="0"/>
          <w:color w:val="000000"/>
        </w:rPr>
        <w:t>以下为 Keep REQ-2.2 的 S1 最小示例。实际契约须附 S0 原文、逐项放宽理由与未变业务义务；它不能替代完整规格审计。可填写的协议、材料认证、运行记录和规格变更模板见同目录 templates/使用说明.md。</w:t>
      </w:r>
    </w:p>
    <w:p>
      <w:pPr>
        <w:pStyle w:val="CodeBlock"/>
      </w:pPr>
      <w:r>
        <w:rPr>
          <w:rFonts w:ascii="Menlo" w:hAnsi="Menlo" w:eastAsia="Arial Unicode MS" w:cs="Menlo"/>
          <w:b w:val="0"/>
          <w:color w:val="000000"/>
          <w:sz w:val="17"/>
        </w:rPr>
        <w:t>{</w:t>
        <w:br/>
        <w:t xml:space="preserve">  "contract_id": "keep.REQ-2.2.S1.v1",</w:t>
        <w:br/>
        <w:t xml:space="preserve">  "reference_sha": "c583968dcde891cf58ad3b54a03c757affc44c54",</w:t>
        <w:br/>
        <w:t xml:space="preserve">  "scope": "all_scenarios_and_required_prerequisites",</w:t>
        <w:br/>
        <w:t xml:space="preserve">  "scenario_ids": ["autosave_on_close", "persist_after_reload"],</w:t>
        <w:br/>
        <w:t xml:space="preserve">  "required_user_intents": [</w:t>
        <w:br/>
        <w:t xml:space="preserve">    "discover_and_open_note_editor",</w:t>
        <w:br/>
        <w:t xml:space="preserve">    "identify_and_edit_title_and_multiline_content",</w:t>
        <w:br/>
        <w:t xml:space="preserve">    "close_editor_with_autosave_and_no_extra_save_action"</w:t>
        <w:br/>
        <w:t xml:space="preserve">  ],</w:t>
        <w:br/>
        <w:t xml:space="preserve">  "interface_constraints": [</w:t>
        <w:br/>
        <w:t xml:space="preserve">    "visible_discoverable_actions",</w:t>
        <w:br/>
        <w:t xml:space="preserve">    "meaningful_accessible_names_and_appropriate_roles",</w:t>
        <w:br/>
        <w:t xml:space="preserve">    "unambiguous_note_identity_and_action_scope"</w:t>
        <w:br/>
        <w:t xml:space="preserve">  ],</w:t>
        <w:br/>
        <w:t xml:space="preserve">  "obligations": [</w:t>
        <w:br/>
        <w:t xml:space="preserve">    {"id": "O1", "rule": "close_editor_and_create_exactly_one_note"},</w:t>
        <w:br/>
        <w:t xml:space="preserve">    {"id": "O2", "rule": "preserve_title_and_both_content_lines"},</w:t>
        <w:br/>
        <w:t xml:space="preserve">    {"id": "O3", "rule": "preserve_target_note_after_reload"}</w:t>
        <w:br/>
        <w:t xml:space="preserve">  ],</w:t>
        <w:br/>
        <w:t xml:space="preserve">  "allowed_variation": [</w:t>
        <w:br/>
        <w:t xml:space="preserve">    "equivalent_action_names", "appropriate_control_types",</w:t>
        <w:br/>
        <w:t xml:space="preserve">    "record_layout", "legal_line_rendering"</w:t>
        <w:br/>
        <w:t xml:space="preserve">  ],</w:t>
        <w:br/>
        <w:t xml:space="preserve">  "normalization": ["CRLF_to_LF"],</w:t>
        <w:br/>
        <w:t xml:space="preserve">  "forbidden_bypass": ["save_api", "storage_write", "extra_save_action"],</w:t>
        <w:br/>
        <w:t xml:space="preserve">  "review_status": "DRAFT_REQUIRES_CERTIFICATION"</w:t>
        <w:br/>
        <w:t>}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附录 B 记录字段与提示模板</w:t>
      </w:r>
    </w:p>
    <w:p>
      <w:r>
        <w:rPr>
          <w:rFonts w:ascii="Arial" w:hAnsi="Arial" w:eastAsia="Arial Unicode MS" w:cs="Arial"/>
          <w:b w:val="0"/>
          <w:color w:val="000000"/>
        </w:rPr>
        <w:t>标签表每行包含：unit_id、requirement_id、scenario_ids、contract_hash、spec_track、reference_labels_by_track、relaxation_ids、root_family、app、stack、component_library、split、variant_id、parent_id、source_commit、reference_label、target_obligation、fault_mechanism、certification_repeat、evidence_path、reviewer、second_reviewer、adjudication_status。reference_label 是当前轨道标签，S0/S1 的完整裁定另保存在 reference_labels_by_track。标签表在方法运行之前冻结。</w:t>
      </w:r>
    </w:p>
    <w:p>
      <w:r>
        <w:rPr>
          <w:rFonts w:ascii="Arial" w:hAnsi="Arial" w:eastAsia="Arial Unicode MS" w:cs="Arial"/>
          <w:b w:val="0"/>
          <w:color w:val="000000"/>
        </w:rPr>
        <w:t>执行表每行包含：protocol_hash、upstream_sha、unit_id、method、generation_repeat、revision_round、test_hash、execution_repeat、case_ids_expected、case_ids_observed、result、failure_cause、target_reached、target_check_executed、target_fault_manifested、target_failure_confirmed、runtime_ms、reset_id、run_id、seed、environment_hash、trace_path、raw_report_path、infra_rerun_of。缺失字段用 null 或明确的未知状态，不以 false 冒充已经否定。</w:t>
      </w:r>
    </w:p>
    <w:p>
      <w:r>
        <w:rPr>
          <w:rFonts w:ascii="Arial" w:hAnsi="Arial" w:eastAsia="Arial Unicode MS" w:cs="Arial"/>
          <w:b w:val="0"/>
          <w:color w:val="000000"/>
        </w:rPr>
        <w:t>反馈提示模板：</w:t>
      </w:r>
    </w:p>
    <w:p>
      <w:pPr>
        <w:pStyle w:val="CodeBlock"/>
      </w:pPr>
      <w:r>
        <w:rPr>
          <w:rFonts w:ascii="Menlo" w:hAnsi="Menlo" w:eastAsia="Arial Unicode MS" w:cs="Menlo"/>
          <w:b w:val="0"/>
          <w:color w:val="000000"/>
          <w:sz w:val="17"/>
        </w:rPr>
        <w:t>你要修订指定需求的 Playwright 测试。</w:t>
        <w:br/>
        <w:t>只读输入：冻结需求、义务清单、判据核心、场景、开发执行证据。</w:t>
        <w:br/>
        <w:t>可改范围：操作适配器、结果提取器、测试编排。</w:t>
        <w:br/>
        <w:t>目标：提高合法实现接受率，并保留已验证的业务缺陷检出。</w:t>
        <w:br/>
        <w:t>禁止：跳过场景、弱化义务、吞错、写内部状态、读取隐藏材料、</w:t>
        <w:br/>
        <w:t>按实现编号分支、用预期值填充观察值、修改产品迁就测试。</w:t>
        <w:br/>
        <w:t>请返回：补丁；逐义务检查映射；每项改动所依据的开发证据；</w:t>
        <w:br/>
        <w:t>尚未解决的失败和不确定性。无证据时保留不确定性。</w:t>
        <w:br/>
        <w:t>本轮只能使用下方开发反馈，不假设任何封存页面结构。</w:t>
      </w:r>
    </w:p>
    <w:p>
      <w:r>
        <w:rPr>
          <w:rFonts w:ascii="Arial" w:hAnsi="Arial" w:eastAsia="Arial Unicode MS" w:cs="Arial"/>
          <w:b w:val="0"/>
          <w:color w:val="000000"/>
        </w:rPr>
        <w:t>模型调用日志另外保存 model_snapshot、provider、temperature、seed 是否实际支持、prompt_hash、input/output/cache/reasoning token、实际账单、调用时长与错误。温度建议固定 0.2；若提供方不支持该设置，记录实际参数和限制，不伪造随机种子可复现性。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附录 C 复核问题</w:t>
      </w:r>
    </w:p>
    <w:p>
      <w:r>
        <w:rPr>
          <w:rFonts w:ascii="Arial" w:hAnsi="Arial" w:eastAsia="Arial Unicode MS" w:cs="Arial"/>
          <w:b w:val="0"/>
          <w:color w:val="000000"/>
        </w:rPr>
        <w:t>贡献：实验是否提供“哪些合法差异导致误拒、何种反馈可修复且不削弱判据”的新证据？计划已给出机制对照；结果和相对已有工作的新增价值仍待验证。</w:t>
      </w:r>
    </w:p>
    <w:p>
      <w:r>
        <w:rPr>
          <w:rFonts w:ascii="Arial" w:hAnsi="Arial" w:eastAsia="Arial Unicode MS" w:cs="Arial"/>
          <w:b w:val="0"/>
          <w:color w:val="000000"/>
        </w:rPr>
        <w:t>表达：是否能从需求原文追到标签、观察和断言？条款 ID、证据路径、原始结果与契约示例已规定，执行者须在材料冻结时补齐。</w:t>
      </w:r>
    </w:p>
    <w:p>
      <w:r>
        <w:rPr>
          <w:rFonts w:ascii="Arial" w:hAnsi="Arial" w:eastAsia="Arial Unicode MS" w:cs="Arial"/>
          <w:b w:val="0"/>
          <w:color w:val="000000"/>
        </w:rPr>
        <w:t>实验强度：样本是否足以支持结论？pilot 仅用于可行性；正式六需求、三应用、两个封存家族仍有限，不能支持无限制泛化或强总体显著性。</w:t>
      </w:r>
    </w:p>
    <w:p>
      <w:r>
        <w:rPr>
          <w:rFonts w:ascii="Arial" w:hAnsi="Arial" w:eastAsia="Arial Unicode MS" w:cs="Arial"/>
          <w:b w:val="0"/>
          <w:color w:val="000000"/>
        </w:rPr>
        <w:t>评价完整性：是否同时报告接受、检出、稳定性、未知和成本？主表已规定；自然缺陷不足时须缩小真实缺陷的结论。</w:t>
      </w:r>
    </w:p>
    <w:p>
      <w:r>
        <w:rPr>
          <w:rFonts w:ascii="Arial" w:hAnsi="Arial" w:eastAsia="Arial Unicode MS" w:cs="Arial"/>
          <w:b w:val="0"/>
          <w:color w:val="000000"/>
        </w:rPr>
        <w:t>方法合理性：是否把复杂适配器当成隐藏答案、是否发生测试集泄漏？观察证据、禁止规则、家族划分、访问日志和一次性开封用于约束，但仍需要执行时审计。</w:t>
      </w:r>
    </w:p>
    <w:p>
      <w:pPr>
        <w:pStyle w:val="Heading1"/>
      </w:pPr>
      <w:r>
        <w:rPr>
          <w:rFonts w:ascii="Arial" w:hAnsi="Arial" w:eastAsia="Arial Unicode MS" w:cs="Arial"/>
          <w:b w:val="0"/>
          <w:color w:val="000000"/>
        </w:rPr>
        <w:t>资料与技术依据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资料 A　</w:t>
      </w:r>
      <w:hyperlink r:id="rId10">
        <w:r>
          <w:rPr>
            <w:rFonts w:ascii="Arial" w:hAnsi="Arial" w:eastAsia="Arial Unicode MS"/>
            <w:color w:val="1F4E79"/>
            <w:u w:val="single"/>
          </w:rPr>
          <w:t>10月18日泛化试验与指标建议</w:t>
        </w:r>
      </w:hyperlink>
      <w:r>
        <w:rPr>
          <w:rFonts w:ascii="Arial" w:hAnsi="Arial" w:eastAsia="Arial Unicode MS" w:cs="Arial"/>
          <w:b w:val="0"/>
          <w:color w:val="000000"/>
        </w:rPr>
        <w:t>。本计划将其扩展为执行步骤、验证隔离、预算对照和正式规模，不将建议数字视为既有结果。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资料 B　</w:t>
      </w:r>
      <w:hyperlink r:id="rId11">
        <w:r>
          <w:rPr>
            <w:rFonts w:ascii="Arial" w:hAnsi="Arial" w:eastAsia="Arial Unicode MS"/>
            <w:color w:val="1F4E79"/>
            <w:u w:val="single"/>
          </w:rPr>
          <w:t>10月17日上游误拒候选核对</w:t>
        </w:r>
      </w:hyperlink>
      <w:r>
        <w:rPr>
          <w:rFonts w:ascii="Arial" w:hAnsi="Arial" w:eastAsia="Arial Unicode MS" w:cs="Arial"/>
          <w:b w:val="0"/>
          <w:color w:val="000000"/>
        </w:rPr>
        <w:t>。局部反例与完整应用证据的边界见该审查。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资料 C　</w:t>
      </w:r>
      <w:hyperlink r:id="rId12">
        <w:r>
          <w:rPr>
            <w:rFonts w:ascii="Arial" w:hAnsi="Arial" w:eastAsia="Arial Unicode MS"/>
            <w:color w:val="1F4E79"/>
            <w:u w:val="single"/>
          </w:rPr>
          <w:t>正确实现判定与指标调研</w:t>
        </w:r>
      </w:hyperlink>
      <w:r>
        <w:rPr>
          <w:rFonts w:ascii="Arial" w:hAnsi="Arial" w:eastAsia="Arial Unicode MS" w:cs="Arial"/>
          <w:b w:val="0"/>
          <w:color w:val="000000"/>
        </w:rPr>
        <w:t>。提供独立参考标签、固定分母和受控缺陷的背景。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资料 D　</w:t>
      </w:r>
      <w:hyperlink r:id="rId13">
        <w:r>
          <w:rPr>
            <w:rFonts w:ascii="Arial" w:hAnsi="Arial" w:eastAsia="Arial Unicode MS"/>
            <w:color w:val="1F4E79"/>
            <w:u w:val="single"/>
          </w:rPr>
          <w:t>固定上游提交</w:t>
        </w:r>
      </w:hyperlink>
      <w:r>
        <w:rPr>
          <w:rFonts w:ascii="Arial" w:hAnsi="Arial" w:eastAsia="Arial Unicode MS" w:cs="Arial"/>
          <w:b w:val="0"/>
          <w:color w:val="000000"/>
        </w:rPr>
        <w:t>。本次通过本地 Git 对象核对了 Keep、BookStack、ctrip 的相关 YAML、spec、helpers 与 setup 脚本。实验者仍须审阅所选需求全部资源。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来源 1　</w:t>
      </w:r>
      <w:hyperlink r:id="rId14">
        <w:r>
          <w:rPr>
            <w:rFonts w:ascii="Arial" w:hAnsi="Arial" w:eastAsia="Arial Unicode MS"/>
            <w:color w:val="1F4E79"/>
            <w:u w:val="single"/>
          </w:rPr>
          <w:t>Playwright Locators</w:t>
        </w:r>
      </w:hyperlink>
      <w:r>
        <w:rPr>
          <w:rFonts w:ascii="Arial" w:hAnsi="Arial" w:eastAsia="Arial Unicode MS" w:cs="Arial"/>
          <w:b w:val="0"/>
          <w:color w:val="000000"/>
        </w:rPr>
        <w:t>。支持语义定位、作用域和显式接口约定的设计；文档动态更新，实际 API 以冻结的 1.57.0 为准。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来源 2　</w:t>
      </w:r>
      <w:hyperlink r:id="rId15">
        <w:r>
          <w:rPr>
            <w:rFonts w:ascii="Arial" w:hAnsi="Arial" w:eastAsia="Arial Unicode MS"/>
            <w:color w:val="1F4E79"/>
            <w:u w:val="single"/>
          </w:rPr>
          <w:t>Playwright Auto waiting</w:t>
        </w:r>
      </w:hyperlink>
      <w:r>
        <w:rPr>
          <w:rFonts w:ascii="Arial" w:hAnsi="Arial" w:eastAsia="Arial Unicode MS" w:cs="Arial"/>
          <w:b w:val="0"/>
          <w:color w:val="000000"/>
        </w:rPr>
        <w:t>。支持 actionability 与条件等待的实现基础，不能证明业务正确。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来源 3　</w:t>
      </w:r>
      <w:hyperlink r:id="rId16">
        <w:r>
          <w:rPr>
            <w:rFonts w:ascii="Arial" w:hAnsi="Arial" w:eastAsia="Arial Unicode MS"/>
            <w:color w:val="1F4E79"/>
            <w:u w:val="single"/>
          </w:rPr>
          <w:t>Playwright Retries</w:t>
        </w:r>
      </w:hyperlink>
      <w:r>
        <w:rPr>
          <w:rFonts w:ascii="Arial" w:hAnsi="Arial" w:eastAsia="Arial Unicode MS" w:cs="Arial"/>
          <w:b w:val="0"/>
          <w:color w:val="000000"/>
        </w:rPr>
        <w:t>。用于区分框架 retry 与本协议独立重置运行。</w:t>
      </w:r>
    </w:p>
    <w:p>
      <w:r>
        <w:rPr>
          <w:rFonts w:ascii="Arial" w:hAnsi="Arial" w:eastAsia="Arial Unicode MS" w:cs="Arial"/>
          <w:b w:val="0"/>
          <w:color w:val="000000"/>
        </w:rPr>
        <w:t xml:space="preserve">来源 4　</w:t>
      </w:r>
      <w:hyperlink r:id="rId17">
        <w:r>
          <w:rPr>
            <w:rFonts w:ascii="Arial" w:hAnsi="Arial" w:eastAsia="Arial Unicode MS"/>
            <w:color w:val="1F4E79"/>
            <w:u w:val="single"/>
          </w:rPr>
          <w:t>Madaan 等 Self Refine</w:t>
        </w:r>
      </w:hyperlink>
      <w:r>
        <w:rPr>
          <w:rFonts w:ascii="Arial" w:hAnsi="Arial" w:eastAsia="Arial Unicode MS" w:cs="Arial"/>
          <w:b w:val="0"/>
          <w:color w:val="000000"/>
        </w:rPr>
        <w:t>。支持离线生成、反馈、修订的流程背景；该论文不直接证明此流程能改善 ARC-Bench 跨实现泛化。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 w:cs="Arial"/>
        <w:color w:val="000000"/>
        <w:sz w:val="18"/>
      </w:rPr>
      <w:t xml:space="preserve">第 </w:t>
    </w:r>
    <w:r>
      <w:rPr>
        <w:rFonts w:ascii="Arial" w:hAnsi="Arial" w:eastAsia="Arial Unicode MS" w:cs="Arial"/>
        <w:color w:val="000000"/>
        <w:sz w:val="18"/>
      </w:rPr>
    </w:r>
    <w:fldSimple w:instr="PAGE"/>
    <w:r>
      <w:rPr>
        <w:rFonts w:ascii="Arial" w:hAnsi="Arial" w:eastAsia="Arial Unicode MS" w:cs="Arial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m:mathPr>
    <m:mathFont m:val="Cambria Math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00"/>
    </w:pPr>
    <w:rPr>
      <w:rFonts w:ascii="Arial" w:hAnsi="Arial" w:eastAsia="Arial Unicode MS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300" w:lineRule="auto"/>
      <w:outlineLvl w:val="0"/>
    </w:pPr>
    <w:rPr>
      <w:rFonts w:asciiTheme="majorHAnsi" w:eastAsiaTheme="majorEastAsia" w:hAnsiTheme="majorHAnsi" w:cstheme="majorBidi" w:ascii="Arial" w:hAnsi="Arial" w:eastAsia="Arial Unicode MS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 w:line="300" w:lineRule="auto"/>
      <w:outlineLvl w:val="1"/>
    </w:pPr>
    <w:rPr>
      <w:rFonts w:asciiTheme="majorHAnsi" w:eastAsiaTheme="majorEastAsia" w:hAnsiTheme="majorHAnsi" w:cstheme="majorBidi" w:ascii="Arial" w:hAnsi="Arial" w:eastAsia="Arial Unicode MS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Arial" w:hAnsi="Arial" w:eastAsia="Arial Unicode MS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00" w:line="300" w:lineRule="auto" w:before="0"/>
      <w:contextualSpacing/>
    </w:pPr>
    <w:rPr>
      <w:rFonts w:asciiTheme="majorHAnsi" w:eastAsiaTheme="majorEastAsia" w:hAnsiTheme="majorHAnsi" w:cstheme="majorBidi" w:ascii="Arial" w:hAnsi="Arial" w:eastAsia="Arial Unicode MS" w:cs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00" w:line="300" w:lineRule="auto"/>
    </w:pPr>
    <w:rPr>
      <w:rFonts w:asciiTheme="majorHAnsi" w:eastAsiaTheme="majorEastAsia" w:hAnsiTheme="majorHAnsi" w:cstheme="majorBidi" w:ascii="Arial" w:hAnsi="Arial" w:eastAsia="Arial Unicode MS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line="240" w:lineRule="exact" w:before="80" w:after="140"/>
      <w:ind w:left="142" w:right="85"/>
    </w:pPr>
    <w:rPr>
      <w:rFonts w:ascii="Menlo" w:hAnsi="Menlo" w:eastAsia="Arial Unicode MS" w:cs="Menlo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/Users/chenjiahao/Desktop/research/FYP/arc-bench/docs/generalization-pilot-metrics-and-methods-2026-10-18.md" TargetMode="External"/><Relationship Id="rId11" Type="http://schemas.openxmlformats.org/officeDocument/2006/relationships/hyperlink" Target="/Users/chenjiahao/Desktop/research/FYP/arc-bench/docs/reviews/2026-10-17-upstream-false-rejection-review.md" TargetMode="External"/><Relationship Id="rId12" Type="http://schemas.openxmlformats.org/officeDocument/2006/relationships/hyperlink" Target="/Users/chenjiahao/Desktop/research/FYP/arc-bench/docs/correct-implementation-generalization-metrics-2026-10-17.md" TargetMode="External"/><Relationship Id="rId13" Type="http://schemas.openxmlformats.org/officeDocument/2006/relationships/hyperlink" Target="https://github.com/code-philia/arc-bench/tree/c583968dcde891cf58ad3b54a03c757affc44c54" TargetMode="External"/><Relationship Id="rId14" Type="http://schemas.openxmlformats.org/officeDocument/2006/relationships/hyperlink" Target="https://playwright.dev/docs/locators" TargetMode="External"/><Relationship Id="rId15" Type="http://schemas.openxmlformats.org/officeDocument/2006/relationships/hyperlink" Target="https://playwright.dev/docs/actionability" TargetMode="External"/><Relationship Id="rId16" Type="http://schemas.openxmlformats.org/officeDocument/2006/relationships/hyperlink" Target="https://playwright.dev/docs/test-retries" TargetMode="External"/><Relationship Id="rId17" Type="http://schemas.openxmlformats.org/officeDocument/2006/relationships/hyperlink" Target="https://arxiv.org/abs/2303.176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Bench 跨实现泛化实验执行计划</dc:title>
  <dc:subject>研究执行与结果复核</dc:subject>
  <dc:creator/>
  <cp:keywords>ARC-Bench, Playwright, 跨实现泛化, 实验计划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