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08427B"/>
          <w:sz w:val="64"/>
          <w:szCs w:val="64"/>
        </w:rPr>
        <w:t xml:space="preserve">AirServiz</w:t>
      </w:r>
    </w:p>
    <w:p>
      <w:pPr>
        <w:spacing w:after="40"/>
        <w:jc w:val="center"/>
      </w:pPr>
      <w:r>
        <w:rPr>
          <w:color w:val="1168BD"/>
          <w:sz w:val="30"/>
          <w:szCs w:val="30"/>
        </w:rPr>
        <w:t xml:space="preserve">Documentación técnica central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Marketplace de servicios locales · arquitectura de microservicios event-driven</w:t>
      </w:r>
    </w:p>
    <w:p>
      <w:pPr>
        <w:pBdr>
          <w:top w:val="single" w:color="1168BD" w:sz="6"/>
        </w:pBdr>
        <w:spacing w:after="0" w:before="200"/>
        <w:jc w:val="center"/>
      </w:pPr>
    </w:p>
    <w:p>
      <w:pPr>
        <w:spacing w:before="120"/>
        <w:jc w:val="center"/>
      </w:pPr>
      <w:r>
        <w:rPr>
          <w:color w:val="666666"/>
          <w:sz w:val="18"/>
          <w:szCs w:val="18"/>
        </w:rPr>
        <w:t xml:space="preserve">Proyecto Integrador · Sprint 8 · rama sprint-8-consolidacion</w:t>
      </w:r>
    </w:p>
    <w:p>
      <w:pPr>
        <w:jc w:val="center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github.com/NeithanSad/AirServizV1-</w:t>
      </w:r>
    </w:p>
    <w:p>
      <w:pPr>
        <w:spacing w:after="0"/>
      </w:pPr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8427B"/>
        </w:rPr>
        <w:t xml:space="preserve">1. Visión general</w:t>
      </w:r>
    </w:p>
    <w:p>
      <w:pPr>
        <w:spacing w:after="100" w:line="264"/>
      </w:pPr>
      <w:r>
        <w:t xml:space="preserve">AirServiz es un </w:t>
      </w:r>
      <w:r>
        <w:rPr>
          <w:b/>
          <w:bCs/>
        </w:rPr>
        <w:t xml:space="preserve">marketplace de servicios locales bajo demanda</w:t>
      </w:r>
      <w:r>
        <w:t xml:space="preserve">: un cliente busca en un catálogo, agenda un servicio con fecha, paga y sigue el estado en tiempo real; el proveedor publica su oferta y gestiona las solicitudes.</w:t>
      </w:r>
    </w:p>
    <w:p>
      <w:pPr>
        <w:spacing w:after="100" w:line="264"/>
      </w:pPr>
      <w:r>
        <w:t xml:space="preserve">El sistema son </w:t>
      </w:r>
      <w:r>
        <w:rPr>
          <w:b/>
          <w:bCs/>
        </w:rPr>
        <w:t xml:space="preserve">6 microservicios NestJS event-driven</w:t>
      </w:r>
      <w:r>
        <w:t xml:space="preserve"> detrás de un API Gateway, con </w:t>
      </w:r>
      <w:r>
        <w:rPr>
          <w:b/>
          <w:bCs/>
        </w:rPr>
        <w:t xml:space="preserve">3 aplicaciones frontend</w:t>
      </w:r>
      <w:r>
        <w:t xml:space="preserve"> (React + Vite):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1900"/>
        <w:gridCol w:w="900"/>
        <w:gridCol w:w="6560"/>
      </w:tblGrid>
      <w:tr>
        <w:trPr>
          <w:tblHeader/>
        </w:trPr>
        <w:tc>
          <w:tcPr>
            <w:tcW w:type="dxa" w:w="190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Aplicación</w:t>
            </w:r>
          </w:p>
        </w:tc>
        <w:tc>
          <w:tcPr>
            <w:tcW w:type="dxa" w:w="90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Puerto</w:t>
            </w:r>
          </w:p>
        </w:tc>
        <w:tc>
          <w:tcPr>
            <w:tcW w:type="dxa" w:w="656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client-app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5173</w:t>
            </w:r>
          </w:p>
        </w:tc>
        <w:tc>
          <w:tcPr>
            <w:tcW w:type="dxa" w:w="65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Cliente: catálogo, agendamiento, pago, feed de notificaciones en vivo (SSE)</w:t>
            </w:r>
          </w:p>
        </w:tc>
      </w:tr>
      <w:tr>
        <w:tc>
          <w:tcPr>
            <w:tcW w:type="dxa" w:w="19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provider-app</w:t>
            </w:r>
          </w:p>
        </w:tc>
        <w:tc>
          <w:tcPr>
            <w:tcW w:type="dxa" w:w="9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5174</w:t>
            </w:r>
          </w:p>
        </w:tc>
        <w:tc>
          <w:tcPr>
            <w:tcW w:type="dxa" w:w="65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Proveedor: publica servicios con foto, confirma / reprograma / cancela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admin-dashboard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5175</w:t>
            </w:r>
          </w:p>
        </w:tc>
        <w:tc>
          <w:tcPr>
            <w:tcW w:type="dxa" w:w="65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Administrador (rol ADMIN): consola de solo lectura de transacciones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8427B"/>
        </w:rPr>
        <w:t xml:space="preserve">2. Arquitectura</w:t>
      </w:r>
    </w:p>
    <w:p>
      <w:pPr>
        <w:pStyle w:val="Heading2"/>
        <w:spacing w:after="80" w:before="180"/>
      </w:pPr>
      <w:r>
        <w:rPr>
          <w:b/>
          <w:bCs/>
          <w:color w:val="1168BD"/>
        </w:rPr>
        <w:t xml:space="preserve">2.1 Los 6 microservicios</w:t>
      </w:r>
    </w:p>
    <w:p>
      <w:pPr>
        <w:spacing w:after="100" w:line="264"/>
      </w:pPr>
      <w:r>
        <w:t xml:space="preserve">Cada servicio es autónomo (NestJS 10 · Node 20), se despliega por separado y expone su propia API REST y </w:t>
      </w:r>
      <w:r>
        <w:rPr>
          <w:rFonts w:ascii="Consolas" w:cs="Consolas" w:eastAsia="Consolas" w:hAnsi="Consolas"/>
          <w:sz w:val="19"/>
          <w:szCs w:val="19"/>
        </w:rPr>
        <w:t xml:space="preserve">/metrics</w:t>
      </w:r>
      <w:r>
        <w:t xml:space="preserve">. El tráfico síncrono entra por Kong; el asíncrono viaja por Kafka.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300"/>
        <w:gridCol w:w="780"/>
        <w:gridCol w:w="3980"/>
        <w:gridCol w:w="2300"/>
      </w:tblGrid>
      <w:tr>
        <w:trPr>
          <w:tblHeader/>
        </w:trPr>
        <w:tc>
          <w:tcPr>
            <w:tcW w:type="dxa" w:w="230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78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Puerto</w:t>
            </w:r>
          </w:p>
        </w:tc>
        <w:tc>
          <w:tcPr>
            <w:tcW w:type="dxa" w:w="398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230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 de datos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auth-service</w:t>
            </w:r>
          </w:p>
        </w:tc>
        <w:tc>
          <w:tcPr>
            <w:tcW w:type="dxa" w:w="7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3001</w:t>
            </w:r>
          </w:p>
        </w:tc>
        <w:tc>
          <w:tcPr>
            <w:tcW w:type="dxa" w:w="39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Registro, login, emisión / refresh de JWT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postgres-users (5433)</w:t>
            </w:r>
          </w:p>
        </w:tc>
      </w:tr>
      <w:tr>
        <w:tc>
          <w:tcPr>
            <w:tcW w:type="dxa" w:w="23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user-service</w:t>
            </w:r>
          </w:p>
        </w:tc>
        <w:tc>
          <w:tcPr>
            <w:tcW w:type="dxa" w:w="78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3005</w:t>
            </w:r>
          </w:p>
        </w:tc>
        <w:tc>
          <w:tcPr>
            <w:tcW w:type="dxa" w:w="398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Perfiles (foto, bio, ciudad, geo)</w:t>
            </w:r>
          </w:p>
        </w:tc>
        <w:tc>
          <w:tcPr>
            <w:tcW w:type="dxa" w:w="23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postgres-users (5433)*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booking-service</w:t>
            </w:r>
          </w:p>
        </w:tc>
        <w:tc>
          <w:tcPr>
            <w:tcW w:type="dxa" w:w="7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3002</w:t>
            </w:r>
          </w:p>
        </w:tc>
        <w:tc>
          <w:tcPr>
            <w:tcW w:type="dxa" w:w="39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Órdenes: máquina de estados + eventos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postgres-bookings (5434)</w:t>
            </w:r>
          </w:p>
        </w:tc>
      </w:tr>
      <w:tr>
        <w:tc>
          <w:tcPr>
            <w:tcW w:type="dxa" w:w="23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catalog-service</w:t>
            </w:r>
          </w:p>
        </w:tc>
        <w:tc>
          <w:tcPr>
            <w:tcW w:type="dxa" w:w="78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3004</w:t>
            </w:r>
          </w:p>
        </w:tc>
        <w:tc>
          <w:tcPr>
            <w:tcW w:type="dxa" w:w="398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Catálogo de servicios + subida de imagen</w:t>
            </w:r>
          </w:p>
        </w:tc>
        <w:tc>
          <w:tcPr>
            <w:tcW w:type="dxa" w:w="23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postgres-catalog (5435)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payment-service</w:t>
            </w:r>
          </w:p>
        </w:tc>
        <w:tc>
          <w:tcPr>
            <w:tcW w:type="dxa" w:w="7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3006</w:t>
            </w:r>
          </w:p>
        </w:tc>
        <w:tc>
          <w:tcPr>
            <w:tcW w:type="dxa" w:w="39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Cobros (pasarela simulada) + webhook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postgres-payments (5436)</w:t>
            </w:r>
          </w:p>
        </w:tc>
      </w:tr>
      <w:tr>
        <w:tc>
          <w:tcPr>
            <w:tcW w:type="dxa" w:w="23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notification-service</w:t>
            </w:r>
          </w:p>
        </w:tc>
        <w:tc>
          <w:tcPr>
            <w:tcW w:type="dxa" w:w="78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3003</w:t>
            </w:r>
          </w:p>
        </w:tc>
        <w:tc>
          <w:tcPr>
            <w:tcW w:type="dxa" w:w="398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Consume eventos Kafka, feed SSE</w:t>
            </w:r>
          </w:p>
        </w:tc>
        <w:tc>
          <w:tcPr>
            <w:tcW w:type="dxa" w:w="23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 memoria (sin BD)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* auth y user comparten la instancia postgres-users, pero en tablas distintas (users vs profiles): mismo bounded context, cero acoplamiento de esquema.</w:t>
      </w:r>
    </w:p>
    <w:p>
      <w:pPr>
        <w:pStyle w:val="Heading2"/>
        <w:spacing w:after="80" w:before="180"/>
      </w:pPr>
      <w:r>
        <w:rPr>
          <w:b/>
          <w:bCs/>
          <w:color w:val="1168BD"/>
        </w:rPr>
        <w:t xml:space="preserve">2.2 Patrón Database-per-service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Cada servicio con estado es dueño exclusivo de su base de datos: </w:t>
      </w:r>
      <w:r>
        <w:rPr>
          <w:b/>
          <w:bCs/>
        </w:rPr>
        <w:t xml:space="preserve">ningún servicio consulta la BD de otro</w:t>
      </w:r>
      <w:r>
        <w:t xml:space="preserve">. La única vía de datos entre servicios es la API o Kafka.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Son </w:t>
      </w:r>
      <w:r>
        <w:rPr>
          <w:b/>
          <w:bCs/>
        </w:rPr>
        <w:t xml:space="preserve">4 instancias PostgreSQL 15 aisladas</w:t>
      </w:r>
      <w:r>
        <w:t xml:space="preserve"> (users, bookings, catalog, payments). notification-service no persiste: mantiene historial en memoria y lo retransmite por SSE.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Migraciones versionadas con TypeORM (</w:t>
      </w:r>
      <w:r>
        <w:rPr>
          <w:rFonts w:ascii="Consolas" w:cs="Consolas" w:eastAsia="Consolas" w:hAnsi="Consolas"/>
          <w:sz w:val="19"/>
          <w:szCs w:val="19"/>
        </w:rPr>
        <w:t xml:space="preserve">migrationsRun: true</w:t>
      </w:r>
      <w:r>
        <w:t xml:space="preserve">): cada servicio crea/actualiza su esquema al arrancar; reemplazó a </w:t>
      </w:r>
      <w:r>
        <w:rPr>
          <w:rFonts w:ascii="Consolas" w:cs="Consolas" w:eastAsia="Consolas" w:hAnsi="Consolas"/>
          <w:sz w:val="19"/>
          <w:szCs w:val="19"/>
        </w:rPr>
        <w:t xml:space="preserve">synchronize</w:t>
      </w:r>
      <w:r>
        <w:t xml:space="preserve">.</w:t>
      </w:r>
    </w:p>
    <w:tbl>
      <w:tblPr>
        <w:tblW w:type="dxa" w:w="9360"/>
        <w:tblBorders>
          <w:top w:val="none"/>
          <w:left w:val="single" w:color="D9A441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Corrección técnica vs. brief</w:t>
            </w:r>
          </w:p>
          <w:p>
            <w:pPr>
              <w:spacing w:after="20" w:line="250"/>
            </w:pPr>
            <w:r>
              <w:rPr>
                <w:color w:val="333333"/>
                <w:sz w:val="20"/>
                <w:szCs w:val="20"/>
              </w:rPr>
              <w:t xml:space="preserve">El enunciado mencionaba 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"Postgres x4 + MongoDB"</w:t>
            </w:r>
            <w:r>
              <w:rPr>
                <w:color w:val="333333"/>
                <w:sz w:val="20"/>
                <w:szCs w:val="20"/>
              </w:rPr>
              <w:t xml:space="preserve">. En el sistema real 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no existe MongoDB</w:t>
            </w:r>
            <w:r>
              <w:rPr>
                <w:color w:val="333333"/>
                <w:sz w:val="20"/>
                <w:szCs w:val="20"/>
              </w:rPr>
              <w:t xml:space="preserve">: la capa de datos son 4 PostgreSQL. Se documenta la arquitectura implementada, no la planificada.</w:t>
            </w:r>
          </w:p>
        </w:tc>
      </w:tr>
    </w:tbl>
    <w:p>
      <w:pPr>
        <w:spacing w:after="60"/>
      </w:pPr>
    </w:p>
    <w:p>
      <w:pPr>
        <w:pStyle w:val="Heading2"/>
        <w:spacing w:after="80" w:before="180"/>
      </w:pPr>
      <w:r>
        <w:rPr>
          <w:b/>
          <w:bCs/>
          <w:color w:val="1168BD"/>
        </w:rPr>
        <w:t xml:space="preserve">2.3 Asincronía con Apache Kafka</w:t>
      </w:r>
    </w:p>
    <w:p>
      <w:pPr>
        <w:spacing w:after="100" w:line="264"/>
      </w:pPr>
      <w:r>
        <w:t xml:space="preserve">Kafka desacopla a los servicios: el productor emite un evento y sigue; quien deba reaccionar se suscribe, sin que el emisor sepa quién ni cuántos. Coordinado por </w:t>
      </w:r>
      <w:r>
        <w:rPr>
          <w:b/>
          <w:bCs/>
        </w:rPr>
        <w:t xml:space="preserve">Zookeeper</w:t>
      </w:r>
      <w:r>
        <w:t xml:space="preserve">. 5 topics: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 (topic)</w:t>
            </w:r>
          </w:p>
        </w:tc>
        <w:tc>
          <w:tcPr>
            <w:tcW w:type="dxa" w:w="240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Produce</w:t>
            </w:r>
          </w:p>
        </w:tc>
        <w:tc>
          <w:tcPr>
            <w:tcW w:type="dxa" w:w="376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Consume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order_created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</w:t>
            </w:r>
          </w:p>
        </w:tc>
        <w:tc>
          <w:tcPr>
            <w:tcW w:type="dxa" w:w="3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 (registro / auditoría)</w:t>
            </w:r>
          </w:p>
        </w:tc>
      </w:tr>
      <w:tr>
        <w:tc>
          <w:tcPr>
            <w:tcW w:type="dxa" w:w="32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order_confirmed</w:t>
            </w:r>
          </w:p>
        </w:tc>
        <w:tc>
          <w:tcPr>
            <w:tcW w:type="dxa" w:w="2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</w:t>
            </w:r>
          </w:p>
        </w:tc>
        <w:tc>
          <w:tcPr>
            <w:tcW w:type="dxa" w:w="37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payment, notification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order_cancelled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</w:t>
            </w:r>
          </w:p>
        </w:tc>
        <w:tc>
          <w:tcPr>
            <w:tcW w:type="dxa" w:w="3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</w:t>
            </w:r>
          </w:p>
        </w:tc>
      </w:tr>
      <w:tr>
        <w:tc>
          <w:tcPr>
            <w:tcW w:type="dxa" w:w="32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order_rescheduled</w:t>
            </w:r>
          </w:p>
        </w:tc>
        <w:tc>
          <w:tcPr>
            <w:tcW w:type="dxa" w:w="2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</w:t>
            </w:r>
          </w:p>
        </w:tc>
        <w:tc>
          <w:tcPr>
            <w:tcW w:type="dxa" w:w="37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payment_processed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</w:t>
            </w:r>
          </w:p>
        </w:tc>
        <w:tc>
          <w:tcPr>
            <w:tcW w:type="dxa" w:w="3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line="260"/>
      </w:pPr>
      <w:r>
        <w:t xml:space="preserve">Entrega </w:t>
      </w:r>
      <w:r>
        <w:rPr>
          <w:b/>
          <w:bCs/>
        </w:rPr>
        <w:t xml:space="preserve">at-least-once</w:t>
      </w:r>
      <w:r>
        <w:t xml:space="preserve">; los consumidores son idempotentes. Ej.: payment-service ignora un </w:t>
      </w:r>
      <w:r>
        <w:rPr>
          <w:rFonts w:ascii="Consolas" w:cs="Consolas" w:eastAsia="Consolas" w:hAnsi="Consolas"/>
          <w:sz w:val="19"/>
          <w:szCs w:val="19"/>
        </w:rPr>
        <w:t xml:space="preserve">order_confirmed</w:t>
      </w:r>
      <w:r>
        <w:t xml:space="preserve"> repetido (orderId único) y un webhook duplicado en estado terminal — cubierto por tests.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Flujo estelar: </w:t>
      </w:r>
      <w:r>
        <w:rPr>
          <w:rFonts w:ascii="Consolas" w:cs="Consolas" w:eastAsia="Consolas" w:hAnsi="Consolas"/>
          <w:sz w:val="19"/>
          <w:szCs w:val="19"/>
        </w:rPr>
        <w:t xml:space="preserve">order_confirmed</w:t>
      </w:r>
      <w:r>
        <w:t xml:space="preserve"> → payment cobra → emite </w:t>
      </w:r>
      <w:r>
        <w:rPr>
          <w:rFonts w:ascii="Consolas" w:cs="Consolas" w:eastAsia="Consolas" w:hAnsi="Consolas"/>
          <w:sz w:val="19"/>
          <w:szCs w:val="19"/>
        </w:rPr>
        <w:t xml:space="preserve">payment_processed</w:t>
      </w:r>
      <w:r>
        <w:t xml:space="preserve"> → notification avisa al cliente por SSE.</w:t>
      </w:r>
    </w:p>
    <w:p>
      <w:pPr>
        <w:pStyle w:val="Heading1"/>
        <w:spacing w:after="120" w:before="260"/>
      </w:pPr>
      <w:r>
        <w:rPr>
          <w:b/>
          <w:bCs/>
          <w:color w:val="08427B"/>
        </w:rPr>
        <w:t xml:space="preserve">3. API Gateway — Kong</w:t>
      </w:r>
    </w:p>
    <w:p>
      <w:pPr>
        <w:spacing w:after="100" w:line="264"/>
      </w:pPr>
      <w:r>
        <w:t xml:space="preserve">Kong 3.6 en modo </w:t>
      </w:r>
      <w:r>
        <w:rPr>
          <w:b/>
          <w:bCs/>
        </w:rPr>
        <w:t xml:space="preserve">DB-less</w:t>
      </w:r>
      <w:r>
        <w:t xml:space="preserve"> (configuración declarativa YAML) es el único punto de entrada al backend, en el puerto </w:t>
      </w:r>
      <w:r>
        <w:rPr>
          <w:rFonts w:ascii="Consolas" w:cs="Consolas" w:eastAsia="Consolas" w:hAnsi="Consolas"/>
          <w:sz w:val="19"/>
          <w:szCs w:val="19"/>
        </w:rPr>
        <w:t xml:space="preserve">:8000</w:t>
      </w:r>
      <w:r>
        <w:t xml:space="preserve">. Los tres frontends envían todo su tráfico </w:t>
      </w:r>
      <w:r>
        <w:rPr>
          <w:rFonts w:ascii="Consolas" w:cs="Consolas" w:eastAsia="Consolas" w:hAnsi="Consolas"/>
          <w:sz w:val="19"/>
          <w:szCs w:val="19"/>
        </w:rPr>
        <w:t xml:space="preserve">/api/*</w:t>
      </w:r>
      <w:r>
        <w:t xml:space="preserve"> a Kong (vía proxy de Vite en dev o nginx en prod); Kong quita el prefijo </w:t>
      </w:r>
      <w:r>
        <w:rPr>
          <w:rFonts w:ascii="Consolas" w:cs="Consolas" w:eastAsia="Consolas" w:hAnsi="Consolas"/>
          <w:sz w:val="19"/>
          <w:szCs w:val="19"/>
        </w:rPr>
        <w:t xml:space="preserve">/api</w:t>
      </w:r>
      <w:r>
        <w:t xml:space="preserve"> y enruta al servicio correcto.</w:t>
      </w:r>
    </w:p>
    <w:p>
      <w:pPr>
        <w:pStyle w:val="Heading2"/>
        <w:spacing w:after="80" w:before="180"/>
      </w:pPr>
      <w:r>
        <w:rPr>
          <w:b/>
          <w:bCs/>
          <w:color w:val="1168BD"/>
        </w:rPr>
        <w:t xml:space="preserve">Responsabilidades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686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Enrutamiento</w:t>
            </w:r>
          </w:p>
        </w:tc>
        <w:tc>
          <w:tcPr>
            <w:tcW w:type="dxa" w:w="68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Una ruta por servicio: /api/auth, /api/orders, /api/services, /api/profiles, /api/payments, /api/notifications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Autenticación JWT</w:t>
            </w:r>
          </w:p>
        </w:tc>
        <w:tc>
          <w:tcPr>
            <w:tcW w:type="dxa" w:w="68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 la firma HS256 y el claim exp antes de llegar al servicio. El secreto coincide con el que emite auth-service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Autorización por método</w:t>
            </w:r>
          </w:p>
        </w:tc>
        <w:tc>
          <w:tcPr>
            <w:tcW w:type="dxa" w:w="68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/profiles y GET /services públicos (navegar el catálogo); PUT/POST/PATCH exigen JWT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Rate-limiting</w:t>
            </w:r>
          </w:p>
        </w:tc>
        <w:tc>
          <w:tcPr>
            <w:tcW w:type="dxa" w:w="68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60 req/min y 1000 req/h por consumer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68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Plugin correlation-id: un id por request cruza todos los servicios</w:t>
            </w:r>
          </w:p>
        </w:tc>
      </w:tr>
    </w:tbl>
    <w:tbl>
      <w:tblPr>
        <w:tblW w:type="dxa" w:w="9360"/>
        <w:tblBorders>
          <w:top w:val="none"/>
          <w:left w:val="single" w:color="1168BD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Rutas públicas vs. protegidas</w:t>
            </w:r>
          </w:p>
          <w:p>
            <w:pPr>
              <w:spacing w:after="20" w:line="2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Públicas: </w:t>
            </w:r>
            <w:r>
              <w:rPr>
                <w:color w:val="333333"/>
                <w:sz w:val="20"/>
                <w:szCs w:val="20"/>
              </w:rPr>
              <w:t xml:space="preserve">login/registro, y las lecturas del catálogo y perfiles (el cliente explora antes de autenticarse). 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Protegidas: </w:t>
            </w:r>
            <w:r>
              <w:rPr>
                <w:color w:val="333333"/>
                <w:sz w:val="20"/>
                <w:szCs w:val="20"/>
              </w:rPr>
              <w:t xml:space="preserve">órdenes, pagos y toda escritura — requieren Bearer JWT válido.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8427B"/>
        </w:rPr>
        <w:t xml:space="preserve">4. Infraestructura</w:t>
      </w:r>
    </w:p>
    <w:p>
      <w:pPr>
        <w:pStyle w:val="Heading2"/>
        <w:spacing w:after="80" w:before="180"/>
      </w:pPr>
      <w:r>
        <w:rPr>
          <w:b/>
          <w:bCs/>
          <w:color w:val="1168BD"/>
        </w:rPr>
        <w:t xml:space="preserve">4.1 Ecosistema Docker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Todo el entorno corre en </w:t>
      </w:r>
      <w:r>
        <w:rPr>
          <w:b/>
          <w:bCs/>
        </w:rPr>
        <w:t xml:space="preserve">Docker Compose</w:t>
      </w:r>
      <w:r>
        <w:t xml:space="preserve"> sobre una red </w:t>
      </w:r>
      <w:r>
        <w:rPr>
          <w:rFonts w:ascii="Consolas" w:cs="Consolas" w:eastAsia="Consolas" w:hAnsi="Consolas"/>
          <w:sz w:val="19"/>
          <w:szCs w:val="19"/>
        </w:rPr>
        <w:t xml:space="preserve">airserviz-net</w:t>
      </w:r>
      <w:r>
        <w:t xml:space="preserve"> (23 contenedores): frontends, Kong, los 6 servicios, 4 Postgres, Redis, Kafka+Zookeeper y el stack de observabilidad.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Un solo comando levanta todo con el profile </w:t>
      </w:r>
      <w:r>
        <w:rPr>
          <w:rFonts w:ascii="Consolas" w:cs="Consolas" w:eastAsia="Consolas" w:hAnsi="Consolas"/>
          <w:sz w:val="19"/>
          <w:szCs w:val="19"/>
        </w:rPr>
        <w:t xml:space="preserve">services</w:t>
      </w:r>
      <w:r>
        <w:t xml:space="preserve">. Datos en volúmenes persistentes (</w:t>
      </w:r>
      <w:r>
        <w:rPr>
          <w:rFonts w:ascii="Consolas" w:cs="Consolas" w:eastAsia="Consolas" w:hAnsi="Consolas"/>
          <w:sz w:val="19"/>
          <w:szCs w:val="19"/>
        </w:rPr>
        <w:t xml:space="preserve">postgres-*-data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kafka-data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es-data</w:t>
      </w:r>
      <w:r>
        <w:t xml:space="preserve">…).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CI/CD: GitHub Actions (build + </w:t>
      </w:r>
      <w:r>
        <w:rPr>
          <w:b/>
          <w:bCs/>
        </w:rPr>
        <w:t xml:space="preserve">68 tests</w:t>
      </w:r>
      <w:r>
        <w:t xml:space="preserve">) publica imágenes a ghcr.io. Manifiestos K8s (Deployment + Service + HPA por servicio) como despliegue alternativo.</w:t>
      </w:r>
    </w:p>
    <w:p>
      <w:pPr>
        <w:pStyle w:val="Heading2"/>
        <w:spacing w:after="80" w:before="180"/>
      </w:pPr>
      <w:r>
        <w:rPr>
          <w:b/>
          <w:bCs/>
          <w:color w:val="1168BD"/>
        </w:rPr>
        <w:t xml:space="preserve">4.2 AWS Lambda — imágenes</w:t>
      </w:r>
    </w:p>
    <w:p>
      <w:pPr>
        <w:spacing w:after="100" w:line="264"/>
      </w:pPr>
      <w:r>
        <w:t xml:space="preserve">La optimización de imágenes es </w:t>
      </w:r>
      <w:r>
        <w:rPr>
          <w:b/>
          <w:bCs/>
        </w:rPr>
        <w:t xml:space="preserve">serverless real, desplegado en AWS</w:t>
      </w:r>
      <w:r>
        <w:t xml:space="preserve"> (us-east-1). Cuando un proveedor sube la foto de un servicio, catalog-service invoca la Lambda </w:t>
      </w:r>
      <w:r>
        <w:rPr>
          <w:rFonts w:ascii="Consolas" w:cs="Consolas" w:eastAsia="Consolas" w:hAnsi="Consolas"/>
          <w:sz w:val="19"/>
          <w:szCs w:val="19"/>
        </w:rPr>
        <w:t xml:space="preserve">airserviz-image-optimizer</w:t>
      </w:r>
      <w:r>
        <w:t xml:space="preserve"> por SDK; ésta optimiza con </w:t>
      </w:r>
      <w:r>
        <w:rPr>
          <w:rFonts w:ascii="Consolas" w:cs="Consolas" w:eastAsia="Consolas" w:hAnsi="Consolas"/>
          <w:sz w:val="19"/>
          <w:szCs w:val="19"/>
        </w:rPr>
        <w:t xml:space="preserve">sharp</w:t>
      </w:r>
      <w:r>
        <w:t xml:space="preserve"> (resize ≤1024px → WebP) y sube a </w:t>
      </w:r>
      <w:r>
        <w:rPr>
          <w:rFonts w:ascii="Consolas" w:cs="Consolas" w:eastAsia="Consolas" w:hAnsi="Consolas"/>
          <w:sz w:val="19"/>
          <w:szCs w:val="19"/>
        </w:rPr>
        <w:t xml:space="preserve">S3</w:t>
      </w:r>
      <w:r>
        <w:t xml:space="preserve">, devolviendo la URL pública que se guarda en el catálogo. Escala a cero y no roba CPU a los pods transaccionales.</w:t>
      </w:r>
    </w:p>
    <w:p>
      <w:pPr>
        <w:pStyle w:val="Heading2"/>
        <w:spacing w:after="80" w:before="180"/>
      </w:pPr>
      <w:r>
        <w:rPr>
          <w:b/>
          <w:bCs/>
          <w:color w:val="1168BD"/>
        </w:rPr>
        <w:t xml:space="preserve">4.3 Caché — Redis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catalog-service usa Redis con patrón </w:t>
      </w:r>
      <w:r>
        <w:rPr>
          <w:b/>
          <w:bCs/>
        </w:rPr>
        <w:t xml:space="preserve">cache-aside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GET /services</w:t>
      </w:r>
      <w:r>
        <w:t xml:space="preserve"> consulta Redis antes que Postgres (TTL 60s).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Invalidación </w:t>
      </w:r>
      <w:r>
        <w:rPr>
          <w:b/>
          <w:bCs/>
        </w:rPr>
        <w:t xml:space="preserve">O(1)</w:t>
      </w:r>
      <w:r>
        <w:t xml:space="preserve">: una version-key (</w:t>
      </w:r>
      <w:r>
        <w:rPr>
          <w:rFonts w:ascii="Consolas" w:cs="Consolas" w:eastAsia="Consolas" w:hAnsi="Consolas"/>
          <w:sz w:val="19"/>
          <w:szCs w:val="19"/>
        </w:rPr>
        <w:t xml:space="preserve">catalog:ver</w:t>
      </w:r>
      <w:r>
        <w:t xml:space="preserve">) se incrementa en cada escritura y huérfana todas las claves viejas — sin barridos.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Degradación elegante: si Redis cae, las lecturas caen a Postgres sin romper el catálogo.</w:t>
      </w:r>
    </w:p>
    <w:p>
      <w:pPr>
        <w:pStyle w:val="Heading2"/>
        <w:spacing w:after="80" w:before="180"/>
      </w:pPr>
      <w:r>
        <w:rPr>
          <w:b/>
          <w:bCs/>
          <w:color w:val="1168BD"/>
        </w:rPr>
        <w:t xml:space="preserve">4.4 Observabilidad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500"/>
        <w:gridCol w:w="2300"/>
        <w:gridCol w:w="4560"/>
      </w:tblGrid>
      <w:tr>
        <w:trPr>
          <w:tblHeader/>
        </w:trPr>
        <w:tc>
          <w:tcPr>
            <w:tcW w:type="dxa" w:w="250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230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456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¿Está sano el sistema?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45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Prometheus scrapea /metrics de los 6 servicios; Grafana los grafica (:3000)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¿Qué pasó exactamente?</w:t>
            </w:r>
          </w:p>
        </w:tc>
        <w:tc>
          <w:tcPr>
            <w:tcW w:type="dxa" w:w="23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ELK</w:t>
            </w:r>
          </w:p>
        </w:tc>
        <w:tc>
          <w:tcPr>
            <w:tcW w:type="dxa" w:w="45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pino (JSON) → Logstash :5000 → Elasticsearch (índice airserviz-logs-*) → Kibana :5601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Métricas = pulso en vivo (latencia, errores, memoria). Logs = la historia buscable de cada request, correlacionada entre los 6 servicios en un solo lugar.</w:t>
      </w:r>
    </w:p>
    <w:p>
      <w:pPr>
        <w:pStyle w:val="Heading1"/>
        <w:spacing w:after="120" w:before="260"/>
      </w:pPr>
      <w:r>
        <w:rPr>
          <w:b/>
          <w:bCs/>
          <w:color w:val="08427B"/>
        </w:rPr>
        <w:t xml:space="preserve">5. Despliegue local</w:t>
      </w:r>
    </w:p>
    <w:p>
      <w:pPr>
        <w:spacing w:after="100" w:line="264"/>
      </w:pPr>
      <w:r>
        <w:t xml:space="preserve">Requisitos: Docker Desktop. Desde la raíz del repo:</w:t>
      </w:r>
    </w:p>
    <w:p>
      <w:pPr>
        <w:spacing w:after="100" w:line="264"/>
      </w:pPr>
      <w:r>
        <w:rPr>
          <w:b/>
          <w:bCs/>
        </w:rPr>
        <w:t xml:space="preserve">Todo en un comando </w:t>
      </w:r>
      <w:r>
        <w:t xml:space="preserve">(infra + los 6 servicios como contenedores):</w:t>
      </w:r>
    </w:p>
    <w:p>
      <w:pPr>
        <w:shd w:fill="1E1E1E" w:color="auto" w:val="clear"/>
        <w:spacing w:after="40" w:before="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cd infra/docker-compose</w:t>
      </w:r>
    </w:p>
    <w:p>
      <w:pPr>
        <w:shd w:fill="1E1E1E" w:color="auto" w:val="clear"/>
        <w:spacing w:after="120" w:before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docker compose --profile services up -d</w:t>
      </w:r>
    </w:p>
    <w:p>
      <w:pPr>
        <w:spacing w:after="100" w:line="264"/>
      </w:pPr>
      <w:r>
        <w:rPr>
          <w:b/>
          <w:bCs/>
        </w:rPr>
        <w:t xml:space="preserve">Solo infraestructura </w:t>
      </w:r>
      <w:r>
        <w:t xml:space="preserve">(si corres los servicios a mano con </w:t>
      </w:r>
      <w:r>
        <w:rPr>
          <w:rFonts w:ascii="Consolas" w:cs="Consolas" w:eastAsia="Consolas" w:hAnsi="Consolas"/>
          <w:sz w:val="19"/>
          <w:szCs w:val="19"/>
        </w:rPr>
        <w:t xml:space="preserve">npm run start:dev</w:t>
      </w:r>
      <w:r>
        <w:t xml:space="preserve"> para hot-reload):</w:t>
      </w:r>
    </w:p>
    <w:p>
      <w:pPr>
        <w:shd w:fill="1E1E1E" w:color="auto" w:val="clear"/>
        <w:spacing w:after="120" w:before="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docker compose up -d   # sin --profile services</w:t>
      </w:r>
    </w:p>
    <w:p>
      <w:pPr>
        <w:pStyle w:val="Heading2"/>
        <w:spacing w:after="80" w:before="180"/>
      </w:pPr>
      <w:r>
        <w:rPr>
          <w:b/>
          <w:bCs/>
          <w:color w:val="1168BD"/>
        </w:rPr>
        <w:t xml:space="preserve">URLs una vez levantado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496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Frontends (client / provider / admin)</w:t>
            </w:r>
          </w:p>
        </w:tc>
        <w:tc>
          <w:tcPr>
            <w:tcW w:type="dxa" w:w="4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localhost:5173 / :5174 / :5175</w:t>
            </w:r>
          </w:p>
        </w:tc>
      </w:tr>
      <w:tr>
        <w:tc>
          <w:tcPr>
            <w:tcW w:type="dxa" w:w="4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Kong (proxy API)</w:t>
            </w:r>
          </w:p>
        </w:tc>
        <w:tc>
          <w:tcPr>
            <w:tcW w:type="dxa" w:w="49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localhost:8000/api/…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Swagger unificado (los 6 servicios)</w:t>
            </w:r>
          </w:p>
        </w:tc>
        <w:tc>
          <w:tcPr>
            <w:tcW w:type="dxa" w:w="4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localhost:8089</w:t>
            </w:r>
          </w:p>
        </w:tc>
      </w:tr>
      <w:tr>
        <w:tc>
          <w:tcPr>
            <w:tcW w:type="dxa" w:w="4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Grafana / Prometheus</w:t>
            </w:r>
          </w:p>
        </w:tc>
        <w:tc>
          <w:tcPr>
            <w:tcW w:type="dxa" w:w="49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localhost:3000 / :9090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Kibana (logs)</w:t>
            </w:r>
          </w:p>
        </w:tc>
        <w:tc>
          <w:tcPr>
            <w:tcW w:type="dxa" w:w="4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localhost:5601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8427B"/>
        </w:rPr>
        <w:t xml:space="preserve">6. Conclusiones y recomendaciones</w:t>
      </w:r>
    </w:p>
    <w:p>
      <w:pPr>
        <w:pStyle w:val="Heading2"/>
        <w:spacing w:after="80" w:before="180"/>
      </w:pPr>
      <w:r>
        <w:rPr>
          <w:b/>
          <w:bCs/>
          <w:color w:val="1168BD"/>
        </w:rPr>
        <w:t xml:space="preserve">Estado actual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Arquitectura event-driven completa y funcional: 6 microservicios, database-per-service (4 Postgres), Kafka, Kong con JWT y rate-limit, Redis, Lambda+S3 reales y observabilidad Prometheus/Grafana + ELK.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Calidad verificada: </w:t>
      </w:r>
      <w:r>
        <w:rPr>
          <w:b/>
          <w:bCs/>
        </w:rPr>
        <w:t xml:space="preserve">68 tests automatizados</w:t>
      </w:r>
      <w:r>
        <w:t xml:space="preserve"> en los 6 servicios, CI en verde. Escribir los tests reveló y corrigió un bug de seguridad real (truncamiento de bcrypt permitía que un refresh token viejo sobreviviera a un nuevo login).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Documentación C4 completa (contexto, contenedores, componentes) + diagrama de despliegue.</w:t>
      </w:r>
    </w:p>
    <w:p>
      <w:pPr>
        <w:pStyle w:val="Heading2"/>
        <w:spacing w:after="80" w:before="180"/>
      </w:pPr>
      <w:r>
        <w:rPr>
          <w:b/>
          <w:bCs/>
          <w:color w:val="1168BD"/>
        </w:rPr>
        <w:t xml:space="preserve">Recomendaciones (próximos pasos)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860"/>
            <w:shd w:fill="1168B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Recomendación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Alta</w:t>
            </w:r>
          </w:p>
        </w:tc>
        <w:tc>
          <w:tcPr>
            <w:tcW w:type="dxa" w:w="78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Reemplazar la pasarela de pago simulada por Stripe real: implementar la interfaz PaymentGateway y cambiar el binding DI (la arquitectura ya está preparada)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Alta</w:t>
            </w:r>
          </w:p>
        </w:tc>
        <w:tc>
          <w:tcPr>
            <w:tcW w:type="dxa" w:w="78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Gestión de secretos en producción: los .env y Secret de K8s usan valores demo (change_me). Migrar a sealed-secrets / external-secrets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78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Dar uso real a Redis en booking-service (variable REDIS_HOST hoy inactiva): p. ej. caché de disponibilidad de agenda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78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Persistir el historial de notification-service (hoy en memoria, se pierde al reiniciar)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</w:t>
            </w:r>
          </w:p>
        </w:tc>
        <w:tc>
          <w:tcPr>
            <w:tcW w:type="dxa" w:w="78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Autenticar la Admin API de Kong y cerrar puertos de dashboards en despliegues expuestos</w:t>
            </w:r>
          </w:p>
        </w:tc>
      </w:tr>
    </w:tbl>
    <w:p>
      <w:pPr>
        <w:pBdr>
          <w:top w:val="single" w:color="CCCCCC" w:sz="4"/>
        </w:pBdr>
        <w:spacing w:before="300"/>
      </w:pPr>
    </w:p>
    <w:p>
      <w:pPr>
        <w:spacing w:before="80"/>
        <w:jc w:val="center"/>
      </w:pPr>
      <w:r>
        <w:rPr>
          <w:color w:val="999999"/>
          <w:sz w:val="16"/>
          <w:szCs w:val="16"/>
        </w:rPr>
        <w:t xml:space="preserve">AirServiz · Documentación técnica central · Sprint 8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08427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1168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AirServiz — Documentación técnica central</dc:title>
  <dc:creator>AirServiz</dc:creator>
  <cp:lastModifiedBy>Un-named</cp:lastModifiedBy>
  <cp:revision>1</cp:revision>
  <dcterms:created xsi:type="dcterms:W3CDTF">2026-07-16T05:15:14.261Z</dcterms:created>
  <dcterms:modified xsi:type="dcterms:W3CDTF">2026-07-16T05:15:14.263Z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