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6C2A0" w14:textId="3544C7DE" w:rsidR="001A22AD" w:rsidRPr="005C6230" w:rsidRDefault="00301336" w:rsidP="00994162">
      <w:pPr>
        <w:pStyle w:val="Heading2"/>
        <w:rPr>
          <w:sz w:val="22"/>
          <w:szCs w:val="22"/>
          <w:lang w:val="fr-BE"/>
        </w:rPr>
      </w:pPr>
      <w:bookmarkStart w:id="0" w:name="_Toc57127699"/>
      <w:r w:rsidRPr="005C6230">
        <w:rPr>
          <w:sz w:val="22"/>
          <w:szCs w:val="22"/>
          <w:lang w:val="fr-BE"/>
        </w:rPr>
        <w:t>Introduction</w:t>
      </w:r>
    </w:p>
    <w:p w14:paraId="2A6E5C9D" w14:textId="6475C524" w:rsidR="001A22AD" w:rsidRPr="005C6230" w:rsidRDefault="001A22AD" w:rsidP="00994162">
      <w:pPr>
        <w:jc w:val="both"/>
        <w:rPr>
          <w:sz w:val="22"/>
          <w:szCs w:val="22"/>
          <w:lang w:val="fr-BE"/>
        </w:rPr>
      </w:pPr>
    </w:p>
    <w:p w14:paraId="77937202" w14:textId="4989FE28" w:rsidR="001A22AD" w:rsidRPr="005C6230" w:rsidRDefault="00301336" w:rsidP="00994162">
      <w:pPr>
        <w:jc w:val="both"/>
        <w:rPr>
          <w:sz w:val="22"/>
          <w:szCs w:val="22"/>
          <w:lang w:val="fr-BE"/>
        </w:rPr>
      </w:pPr>
      <w:r w:rsidRPr="005C6230">
        <w:rPr>
          <w:sz w:val="22"/>
          <w:szCs w:val="22"/>
          <w:lang w:val="fr-BE"/>
        </w:rPr>
        <w:t>Le 1</w:t>
      </w:r>
      <w:r w:rsidRPr="005C6230">
        <w:rPr>
          <w:sz w:val="22"/>
          <w:szCs w:val="22"/>
          <w:vertAlign w:val="superscript"/>
          <w:lang w:val="fr-BE"/>
        </w:rPr>
        <w:t>er</w:t>
      </w:r>
      <w:r w:rsidRPr="005C6230">
        <w:rPr>
          <w:sz w:val="22"/>
          <w:szCs w:val="22"/>
          <w:lang w:val="fr-BE"/>
        </w:rPr>
        <w:t xml:space="preserve"> avril 2021, la manière dont le matériel de stomie est remboursé change. Les patients recevront un portefeuille virtuel, un budget virtue</w:t>
      </w:r>
      <w:r w:rsidR="00FD21EB" w:rsidRPr="005C6230">
        <w:rPr>
          <w:sz w:val="22"/>
          <w:szCs w:val="22"/>
          <w:lang w:val="fr-BE"/>
        </w:rPr>
        <w:t xml:space="preserve">l </w:t>
      </w:r>
      <w:r w:rsidR="001A22AD" w:rsidRPr="005C6230">
        <w:rPr>
          <w:sz w:val="22"/>
          <w:szCs w:val="22"/>
          <w:lang w:val="fr-BE"/>
        </w:rPr>
        <w:t xml:space="preserve">avec lequel le </w:t>
      </w:r>
      <w:r w:rsidR="009D5C16" w:rsidRPr="005C6230">
        <w:rPr>
          <w:sz w:val="22"/>
          <w:szCs w:val="22"/>
          <w:lang w:val="fr-BE"/>
        </w:rPr>
        <w:t>patient</w:t>
      </w:r>
      <w:r w:rsidR="001A22AD" w:rsidRPr="005C6230">
        <w:rPr>
          <w:sz w:val="22"/>
          <w:szCs w:val="22"/>
          <w:lang w:val="fr-BE"/>
        </w:rPr>
        <w:t xml:space="preserve"> peut </w:t>
      </w:r>
      <w:r w:rsidR="009D5C16" w:rsidRPr="005C6230">
        <w:rPr>
          <w:sz w:val="22"/>
          <w:szCs w:val="22"/>
          <w:lang w:val="fr-BE"/>
        </w:rPr>
        <w:t>se procurer les dispositifs de stomie qui lui sont nécessaires</w:t>
      </w:r>
      <w:r w:rsidR="001A22AD" w:rsidRPr="005C6230">
        <w:rPr>
          <w:sz w:val="22"/>
          <w:szCs w:val="22"/>
          <w:lang w:val="fr-BE"/>
        </w:rPr>
        <w:t xml:space="preserve">. </w:t>
      </w:r>
      <w:r w:rsidR="009D5C16" w:rsidRPr="005C6230">
        <w:rPr>
          <w:sz w:val="22"/>
          <w:szCs w:val="22"/>
          <w:lang w:val="fr-BE"/>
        </w:rPr>
        <w:t>Le portefeuille</w:t>
      </w:r>
      <w:r w:rsidR="001A22AD" w:rsidRPr="005C6230">
        <w:rPr>
          <w:sz w:val="22"/>
          <w:szCs w:val="22"/>
          <w:lang w:val="fr-BE"/>
        </w:rPr>
        <w:t xml:space="preserve"> est approvisionné tous les 3 mois.</w:t>
      </w:r>
    </w:p>
    <w:p w14:paraId="34ABB53D" w14:textId="77777777" w:rsidR="001A22AD" w:rsidRPr="005C6230" w:rsidRDefault="001A22AD" w:rsidP="00994162">
      <w:pPr>
        <w:jc w:val="both"/>
        <w:rPr>
          <w:sz w:val="22"/>
          <w:szCs w:val="22"/>
          <w:lang w:val="fr-BE"/>
        </w:rPr>
      </w:pPr>
    </w:p>
    <w:p w14:paraId="3A54C54B" w14:textId="3EBF4E75" w:rsidR="001A22AD" w:rsidRPr="005C6230" w:rsidRDefault="001A22AD" w:rsidP="00994162">
      <w:pPr>
        <w:jc w:val="both"/>
        <w:rPr>
          <w:sz w:val="22"/>
          <w:szCs w:val="22"/>
          <w:lang w:val="fr-BE"/>
        </w:rPr>
      </w:pPr>
      <w:r w:rsidRPr="005C6230">
        <w:rPr>
          <w:sz w:val="22"/>
          <w:szCs w:val="22"/>
          <w:lang w:val="fr-BE"/>
        </w:rPr>
        <w:t xml:space="preserve">Le médecin </w:t>
      </w:r>
      <w:r w:rsidR="008E16F5" w:rsidRPr="005C6230">
        <w:rPr>
          <w:sz w:val="22"/>
          <w:szCs w:val="22"/>
          <w:lang w:val="fr-BE"/>
        </w:rPr>
        <w:t xml:space="preserve">prescripteur </w:t>
      </w:r>
      <w:r w:rsidRPr="005C6230">
        <w:rPr>
          <w:sz w:val="22"/>
          <w:szCs w:val="22"/>
          <w:lang w:val="fr-BE"/>
        </w:rPr>
        <w:t xml:space="preserve">détermine le profil du patient, en considérant sa situation spécifique et ses besoins. </w:t>
      </w:r>
      <w:r w:rsidR="008E16F5" w:rsidRPr="005C6230">
        <w:rPr>
          <w:sz w:val="22"/>
          <w:szCs w:val="22"/>
          <w:lang w:val="fr-BE"/>
        </w:rPr>
        <w:t xml:space="preserve">Le budget peut donc varier d’un patient à l’autre. </w:t>
      </w:r>
      <w:r w:rsidRPr="005C6230">
        <w:rPr>
          <w:sz w:val="22"/>
          <w:szCs w:val="22"/>
          <w:lang w:val="fr-BE"/>
        </w:rPr>
        <w:t xml:space="preserve">Le portefeuille se rapproche ainsi le plus possible de </w:t>
      </w:r>
      <w:r w:rsidR="008E16F5" w:rsidRPr="005C6230">
        <w:rPr>
          <w:sz w:val="22"/>
          <w:szCs w:val="22"/>
          <w:lang w:val="fr-BE"/>
        </w:rPr>
        <w:t>leur</w:t>
      </w:r>
      <w:r w:rsidR="00FD21EB" w:rsidRPr="005C6230">
        <w:rPr>
          <w:sz w:val="22"/>
          <w:szCs w:val="22"/>
          <w:lang w:val="fr-BE"/>
        </w:rPr>
        <w:t xml:space="preserve"> réalité.</w:t>
      </w:r>
    </w:p>
    <w:p w14:paraId="1518E846" w14:textId="77777777" w:rsidR="001A22AD" w:rsidRPr="005C6230" w:rsidRDefault="001A22AD" w:rsidP="00994162">
      <w:pPr>
        <w:jc w:val="both"/>
        <w:rPr>
          <w:lang w:val="fr-BE"/>
        </w:rPr>
      </w:pPr>
    </w:p>
    <w:p w14:paraId="67398A32" w14:textId="25777B94" w:rsidR="001A22AD" w:rsidRPr="005C6230" w:rsidRDefault="001A22AD" w:rsidP="00994162">
      <w:pPr>
        <w:jc w:val="both"/>
        <w:rPr>
          <w:lang w:val="fr-BE"/>
        </w:rPr>
      </w:pPr>
      <w:r w:rsidRPr="005C6230">
        <w:rPr>
          <w:noProof/>
          <w:lang w:val="en-GB" w:eastAsia="en-GB"/>
        </w:rPr>
        <w:drawing>
          <wp:inline distT="0" distB="0" distL="0" distR="0" wp14:anchorId="73CCA751" wp14:editId="452EF4BF">
            <wp:extent cx="5943600" cy="389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5090"/>
                    </a:xfrm>
                    <a:prstGeom prst="rect">
                      <a:avLst/>
                    </a:prstGeom>
                    <a:noFill/>
                    <a:ln>
                      <a:noFill/>
                    </a:ln>
                  </pic:spPr>
                </pic:pic>
              </a:graphicData>
            </a:graphic>
          </wp:inline>
        </w:drawing>
      </w:r>
    </w:p>
    <w:bookmarkEnd w:id="0"/>
    <w:p w14:paraId="60FF235B" w14:textId="77777777" w:rsidR="00A4289A" w:rsidRPr="005C6230" w:rsidRDefault="00A4289A" w:rsidP="00994162">
      <w:pPr>
        <w:jc w:val="both"/>
        <w:rPr>
          <w:sz w:val="22"/>
          <w:szCs w:val="22"/>
          <w:lang w:val="fr-BE"/>
        </w:rPr>
      </w:pPr>
    </w:p>
    <w:p w14:paraId="36FC407D" w14:textId="77777777" w:rsidR="00A4289A" w:rsidRPr="005C6230" w:rsidRDefault="00A4289A" w:rsidP="00994162">
      <w:pPr>
        <w:jc w:val="both"/>
        <w:rPr>
          <w:sz w:val="22"/>
          <w:szCs w:val="22"/>
          <w:lang w:val="fr-BE"/>
        </w:rPr>
      </w:pPr>
      <w:r w:rsidRPr="005C6230">
        <w:rPr>
          <w:sz w:val="22"/>
          <w:szCs w:val="22"/>
          <w:lang w:val="fr-BE"/>
        </w:rPr>
        <w:t xml:space="preserve">Pour le portefeuille, on distingue : </w:t>
      </w:r>
    </w:p>
    <w:p w14:paraId="0642BA81" w14:textId="7CB2F8B5" w:rsidR="00A4289A" w:rsidRPr="005C6230" w:rsidRDefault="00A4289A" w:rsidP="00994162">
      <w:pPr>
        <w:pStyle w:val="ListParagraph"/>
        <w:numPr>
          <w:ilvl w:val="0"/>
          <w:numId w:val="5"/>
        </w:numPr>
        <w:jc w:val="both"/>
        <w:rPr>
          <w:sz w:val="22"/>
          <w:szCs w:val="22"/>
          <w:lang w:val="fr-BE"/>
        </w:rPr>
      </w:pPr>
      <w:r w:rsidRPr="005C6230">
        <w:rPr>
          <w:sz w:val="22"/>
          <w:szCs w:val="22"/>
          <w:lang w:val="fr-BE"/>
        </w:rPr>
        <w:t>la phase d’apprentissage : les trois premiers mois à partir de la 1</w:t>
      </w:r>
      <w:r w:rsidRPr="005C6230">
        <w:rPr>
          <w:sz w:val="22"/>
          <w:szCs w:val="22"/>
          <w:vertAlign w:val="superscript"/>
          <w:lang w:val="fr-BE"/>
        </w:rPr>
        <w:t>ère</w:t>
      </w:r>
      <w:r w:rsidR="0016240F" w:rsidRPr="005C6230">
        <w:rPr>
          <w:sz w:val="22"/>
          <w:szCs w:val="22"/>
          <w:lang w:val="fr-BE"/>
        </w:rPr>
        <w:t xml:space="preserve"> </w:t>
      </w:r>
      <w:r w:rsidRPr="005C6230">
        <w:rPr>
          <w:sz w:val="22"/>
          <w:szCs w:val="22"/>
          <w:lang w:val="fr-BE"/>
        </w:rPr>
        <w:t xml:space="preserve">délivrance </w:t>
      </w:r>
      <w:r w:rsidR="00FD21EB" w:rsidRPr="005C6230">
        <w:rPr>
          <w:sz w:val="22"/>
          <w:szCs w:val="22"/>
          <w:lang w:val="fr-BE"/>
        </w:rPr>
        <w:t>en ambulatoire</w:t>
      </w:r>
      <w:r w:rsidRPr="005C6230">
        <w:rPr>
          <w:sz w:val="22"/>
          <w:szCs w:val="22"/>
          <w:lang w:val="fr-BE"/>
        </w:rPr>
        <w:t xml:space="preserve"> après chaque intervention chirurgicale sur une stomie et/ou une fistule. Pendant cette période, le budget est légèrement plus élevé. Le patient peut ainsi découvrir ce qu’il préfère utiliser et on tient compte des petits accidents qui peuvent survenir lors de l’apprentissage de l’utilisation.</w:t>
      </w:r>
    </w:p>
    <w:p w14:paraId="48F99817" w14:textId="3B8D82AC" w:rsidR="00A4289A" w:rsidRPr="005C6230" w:rsidRDefault="00A4289A" w:rsidP="00994162">
      <w:pPr>
        <w:pStyle w:val="ListParagraph"/>
        <w:numPr>
          <w:ilvl w:val="0"/>
          <w:numId w:val="5"/>
        </w:numPr>
        <w:jc w:val="both"/>
        <w:rPr>
          <w:sz w:val="22"/>
          <w:szCs w:val="22"/>
          <w:lang w:val="fr-BE"/>
        </w:rPr>
      </w:pPr>
      <w:r w:rsidRPr="005C6230">
        <w:rPr>
          <w:sz w:val="22"/>
          <w:szCs w:val="22"/>
          <w:lang w:val="fr-BE"/>
        </w:rPr>
        <w:t>la phase de suivi : la période stable à partir du 4</w:t>
      </w:r>
      <w:r w:rsidR="0016240F" w:rsidRPr="005C6230">
        <w:rPr>
          <w:sz w:val="22"/>
          <w:szCs w:val="22"/>
          <w:vertAlign w:val="superscript"/>
          <w:lang w:val="fr-BE"/>
        </w:rPr>
        <w:t xml:space="preserve">ème </w:t>
      </w:r>
      <w:r w:rsidRPr="005C6230">
        <w:rPr>
          <w:sz w:val="22"/>
          <w:szCs w:val="22"/>
          <w:lang w:val="fr-BE"/>
        </w:rPr>
        <w:t xml:space="preserve">mois. </w:t>
      </w:r>
      <w:r w:rsidR="00220964" w:rsidRPr="005C6230">
        <w:rPr>
          <w:sz w:val="22"/>
          <w:szCs w:val="22"/>
          <w:lang w:val="fr-BE"/>
        </w:rPr>
        <w:t>Les patients ayant reçu du matériel de stomie avant le 1</w:t>
      </w:r>
      <w:r w:rsidR="00220964" w:rsidRPr="005C6230">
        <w:rPr>
          <w:sz w:val="22"/>
          <w:szCs w:val="22"/>
          <w:vertAlign w:val="superscript"/>
          <w:lang w:val="fr-BE"/>
        </w:rPr>
        <w:t xml:space="preserve">er </w:t>
      </w:r>
      <w:r w:rsidR="00220964" w:rsidRPr="005C6230">
        <w:rPr>
          <w:sz w:val="22"/>
          <w:szCs w:val="22"/>
          <w:lang w:val="fr-BE"/>
        </w:rPr>
        <w:t xml:space="preserve">avril 2021 sont directement en phase de suivi. </w:t>
      </w:r>
    </w:p>
    <w:p w14:paraId="2A4C9129" w14:textId="5F661D09" w:rsidR="00A4289A" w:rsidRPr="005C6230" w:rsidRDefault="00A4289A" w:rsidP="00994162">
      <w:pPr>
        <w:jc w:val="both"/>
        <w:rPr>
          <w:sz w:val="22"/>
          <w:szCs w:val="22"/>
          <w:lang w:val="fr-BE"/>
        </w:rPr>
      </w:pPr>
    </w:p>
    <w:p w14:paraId="56698D76" w14:textId="77777777" w:rsidR="00A4289A" w:rsidRPr="005C6230" w:rsidRDefault="00A4289A" w:rsidP="00994162">
      <w:pPr>
        <w:jc w:val="both"/>
        <w:rPr>
          <w:sz w:val="22"/>
          <w:szCs w:val="22"/>
          <w:lang w:val="fr-BE"/>
        </w:rPr>
      </w:pPr>
      <w:r w:rsidRPr="005C6230">
        <w:rPr>
          <w:sz w:val="22"/>
          <w:szCs w:val="22"/>
          <w:lang w:val="fr-BE"/>
        </w:rPr>
        <w:t xml:space="preserve">Le portefeuille peut, si nécessaire, être adapté grâce à une prescription médicale si : </w:t>
      </w:r>
    </w:p>
    <w:p w14:paraId="2A64D138" w14:textId="77777777" w:rsidR="00A4289A" w:rsidRPr="005C6230" w:rsidRDefault="00A4289A" w:rsidP="00994162">
      <w:pPr>
        <w:numPr>
          <w:ilvl w:val="0"/>
          <w:numId w:val="2"/>
        </w:numPr>
        <w:contextualSpacing/>
        <w:jc w:val="both"/>
        <w:rPr>
          <w:rFonts w:cs="Arial"/>
          <w:sz w:val="22"/>
          <w:szCs w:val="22"/>
          <w:lang w:val="fr-BE" w:eastAsia="nl-BE"/>
        </w:rPr>
      </w:pPr>
      <w:r w:rsidRPr="005C6230">
        <w:rPr>
          <w:rFonts w:cs="Arial"/>
          <w:sz w:val="22"/>
          <w:szCs w:val="22"/>
          <w:lang w:val="fr-BE" w:eastAsia="fr"/>
        </w:rPr>
        <w:t>le patient a besoin de systèmes convexes ou concaves.</w:t>
      </w:r>
    </w:p>
    <w:p w14:paraId="78BB13A7" w14:textId="099E289B" w:rsidR="00A4289A" w:rsidRPr="005C6230" w:rsidRDefault="00A4289A" w:rsidP="00994162">
      <w:pPr>
        <w:numPr>
          <w:ilvl w:val="0"/>
          <w:numId w:val="2"/>
        </w:numPr>
        <w:contextualSpacing/>
        <w:jc w:val="both"/>
        <w:rPr>
          <w:rFonts w:cs="Arial"/>
          <w:sz w:val="22"/>
          <w:szCs w:val="22"/>
          <w:lang w:val="fr-BE" w:eastAsia="nl-BE"/>
        </w:rPr>
      </w:pPr>
      <w:r w:rsidRPr="005C6230">
        <w:rPr>
          <w:rFonts w:cs="Arial"/>
          <w:sz w:val="22"/>
          <w:szCs w:val="22"/>
          <w:lang w:val="fr-BE" w:eastAsia="fr"/>
        </w:rPr>
        <w:t>des situations exceptionnelles se produisent (comme par exemple une augmentation du volume de l’excrétion).</w:t>
      </w:r>
    </w:p>
    <w:p w14:paraId="138867DA" w14:textId="7304C9BE" w:rsidR="00B51A2B" w:rsidRPr="005C6230" w:rsidRDefault="00B51A2B" w:rsidP="00994162">
      <w:pPr>
        <w:contextualSpacing/>
        <w:jc w:val="both"/>
        <w:rPr>
          <w:rFonts w:cs="Arial"/>
          <w:sz w:val="22"/>
          <w:szCs w:val="22"/>
          <w:lang w:val="fr-BE" w:eastAsia="fr"/>
        </w:rPr>
      </w:pPr>
    </w:p>
    <w:p w14:paraId="3BEDE45B" w14:textId="288AB3AB" w:rsidR="00A4289A" w:rsidRPr="005C6230" w:rsidRDefault="00B51A2B" w:rsidP="00994162">
      <w:pPr>
        <w:contextualSpacing/>
        <w:jc w:val="both"/>
        <w:rPr>
          <w:rFonts w:cs="Arial"/>
          <w:sz w:val="22"/>
          <w:szCs w:val="22"/>
          <w:lang w:val="fr-BE" w:eastAsia="nl-BE"/>
        </w:rPr>
      </w:pPr>
      <w:r w:rsidRPr="005C6230">
        <w:rPr>
          <w:rFonts w:cs="Arial"/>
          <w:sz w:val="22"/>
          <w:szCs w:val="22"/>
          <w:lang w:val="fr-BE" w:eastAsia="fr"/>
        </w:rPr>
        <w:t>Des interventions spécifiques sont prévu</w:t>
      </w:r>
      <w:r w:rsidR="00B6650E" w:rsidRPr="005C6230">
        <w:rPr>
          <w:rFonts w:cs="Arial"/>
          <w:sz w:val="22"/>
          <w:szCs w:val="22"/>
          <w:lang w:val="fr-BE" w:eastAsia="fr"/>
        </w:rPr>
        <w:t>e</w:t>
      </w:r>
      <w:r w:rsidRPr="005C6230">
        <w:rPr>
          <w:rFonts w:cs="Arial"/>
          <w:sz w:val="22"/>
          <w:szCs w:val="22"/>
          <w:lang w:val="fr-BE" w:eastAsia="fr"/>
        </w:rPr>
        <w:t>s pour le matériel d’irrigation.</w:t>
      </w:r>
    </w:p>
    <w:p w14:paraId="6B18430E" w14:textId="4C31A8AF" w:rsidR="00301336" w:rsidRPr="005C6230" w:rsidRDefault="00301336" w:rsidP="007C7C52">
      <w:pPr>
        <w:jc w:val="both"/>
        <w:rPr>
          <w:sz w:val="22"/>
          <w:szCs w:val="22"/>
          <w:lang w:val="fr-BE"/>
        </w:rPr>
      </w:pPr>
    </w:p>
    <w:p w14:paraId="02296C08" w14:textId="450443E2" w:rsidR="001A22AD" w:rsidRPr="005C6230" w:rsidRDefault="001A22AD" w:rsidP="00994162">
      <w:pPr>
        <w:jc w:val="both"/>
        <w:rPr>
          <w:b/>
          <w:sz w:val="22"/>
          <w:szCs w:val="22"/>
          <w:lang w:val="fr-BE"/>
        </w:rPr>
      </w:pPr>
      <w:r w:rsidRPr="005C6230">
        <w:rPr>
          <w:b/>
          <w:sz w:val="22"/>
          <w:szCs w:val="22"/>
          <w:lang w:val="fr-BE"/>
        </w:rPr>
        <w:t xml:space="preserve">Conditions </w:t>
      </w:r>
      <w:r w:rsidR="001B775F" w:rsidRPr="005C6230">
        <w:rPr>
          <w:b/>
          <w:sz w:val="22"/>
          <w:szCs w:val="22"/>
          <w:lang w:val="fr-BE"/>
        </w:rPr>
        <w:t xml:space="preserve">générales </w:t>
      </w:r>
      <w:r w:rsidRPr="005C6230">
        <w:rPr>
          <w:b/>
          <w:sz w:val="22"/>
          <w:szCs w:val="22"/>
          <w:lang w:val="fr-BE"/>
        </w:rPr>
        <w:t>de remboursement</w:t>
      </w:r>
    </w:p>
    <w:p w14:paraId="637C42B0" w14:textId="77777777" w:rsidR="001A22AD" w:rsidRPr="005C6230" w:rsidRDefault="001A22AD" w:rsidP="00994162">
      <w:pPr>
        <w:jc w:val="both"/>
        <w:rPr>
          <w:szCs w:val="22"/>
          <w:lang w:val="fr-BE"/>
        </w:rPr>
      </w:pPr>
    </w:p>
    <w:p w14:paraId="2BB46BDA" w14:textId="01505668" w:rsidR="00BB7A78" w:rsidRPr="005C6230" w:rsidRDefault="00B51A2B" w:rsidP="00994162">
      <w:pPr>
        <w:jc w:val="both"/>
        <w:rPr>
          <w:sz w:val="22"/>
          <w:szCs w:val="20"/>
          <w:lang w:val="fr-BE"/>
        </w:rPr>
      </w:pPr>
      <w:r w:rsidRPr="005C6230">
        <w:rPr>
          <w:sz w:val="22"/>
          <w:szCs w:val="20"/>
          <w:lang w:val="fr-BE"/>
        </w:rPr>
        <w:t xml:space="preserve">Le </w:t>
      </w:r>
      <w:r w:rsidR="00D242E7" w:rsidRPr="005C6230">
        <w:rPr>
          <w:sz w:val="22"/>
          <w:szCs w:val="20"/>
          <w:lang w:val="fr-BE"/>
        </w:rPr>
        <w:t>patient</w:t>
      </w:r>
      <w:r w:rsidRPr="005C6230">
        <w:rPr>
          <w:sz w:val="22"/>
          <w:szCs w:val="20"/>
          <w:lang w:val="fr-BE"/>
        </w:rPr>
        <w:t xml:space="preserve"> a droit à une intervention maximale de l’assurance par période, par stomie ou fistule</w:t>
      </w:r>
      <w:r w:rsidR="001A22AD" w:rsidRPr="005C6230">
        <w:rPr>
          <w:sz w:val="22"/>
          <w:szCs w:val="20"/>
          <w:lang w:val="fr-BE"/>
        </w:rPr>
        <w:t xml:space="preserve"> du système digestif ou des voies urinaires</w:t>
      </w:r>
      <w:r w:rsidR="001B775F" w:rsidRPr="005C6230">
        <w:rPr>
          <w:sz w:val="22"/>
          <w:szCs w:val="20"/>
          <w:lang w:val="fr-BE"/>
        </w:rPr>
        <w:t xml:space="preserve">, </w:t>
      </w:r>
      <w:r w:rsidR="001B775F" w:rsidRPr="005C6230">
        <w:rPr>
          <w:noProof/>
          <w:sz w:val="22"/>
          <w:szCs w:val="20"/>
          <w:lang w:val="fr-BE" w:eastAsia="en-GB"/>
        </w:rPr>
        <w:t>nécessitant un appareillage distinct.</w:t>
      </w:r>
    </w:p>
    <w:p w14:paraId="39C8DD0B" w14:textId="77777777" w:rsidR="00B51A2B" w:rsidRPr="005C6230" w:rsidRDefault="00B51A2B" w:rsidP="00994162">
      <w:pPr>
        <w:jc w:val="both"/>
        <w:rPr>
          <w:sz w:val="22"/>
          <w:szCs w:val="20"/>
          <w:lang w:val="fr-BE"/>
        </w:rPr>
      </w:pPr>
    </w:p>
    <w:p w14:paraId="21CA8ED5" w14:textId="7307462B" w:rsidR="00B51A2B" w:rsidRPr="005C6230" w:rsidRDefault="00B51A2B" w:rsidP="00994162">
      <w:pPr>
        <w:jc w:val="both"/>
        <w:rPr>
          <w:sz w:val="22"/>
          <w:szCs w:val="20"/>
          <w:lang w:val="fr-BE"/>
        </w:rPr>
      </w:pPr>
      <w:r w:rsidRPr="005C6230">
        <w:rPr>
          <w:sz w:val="22"/>
          <w:szCs w:val="20"/>
          <w:lang w:val="fr-BE"/>
        </w:rPr>
        <w:t>Seuls les dispositifs de stomie qui sont repris sur la liste des produits admis au remboursement entrent en ligne de compte pour une intervention de l’assurance. Tous les dispositifs de stomie figurant sur cette liste peuvent être combinés entre eux.</w:t>
      </w:r>
    </w:p>
    <w:p w14:paraId="439A4F34" w14:textId="17A26813" w:rsidR="00A4289A" w:rsidRPr="005C6230" w:rsidRDefault="00A4289A" w:rsidP="00994162">
      <w:pPr>
        <w:jc w:val="both"/>
        <w:rPr>
          <w:noProof/>
          <w:sz w:val="22"/>
          <w:szCs w:val="20"/>
          <w:lang w:val="fr-BE" w:eastAsia="en-GB"/>
        </w:rPr>
      </w:pPr>
    </w:p>
    <w:p w14:paraId="4BAF8097" w14:textId="42547733" w:rsidR="00301336" w:rsidRPr="005C6230" w:rsidRDefault="00301336" w:rsidP="00994162">
      <w:pPr>
        <w:jc w:val="both"/>
        <w:rPr>
          <w:noProof/>
          <w:sz w:val="22"/>
          <w:lang w:val="fr-BE" w:eastAsia="en-GB"/>
        </w:rPr>
      </w:pPr>
      <w:r w:rsidRPr="005C6230">
        <w:rPr>
          <w:noProof/>
          <w:sz w:val="22"/>
          <w:lang w:val="fr-BE" w:eastAsia="en-GB"/>
        </w:rPr>
        <w:t xml:space="preserve">Seul le matériel de stomie délivré personnellement par le bandagiste agréé au </w:t>
      </w:r>
      <w:r w:rsidR="00D242E7" w:rsidRPr="005C6230">
        <w:rPr>
          <w:noProof/>
          <w:sz w:val="22"/>
          <w:lang w:val="fr-BE" w:eastAsia="en-GB"/>
        </w:rPr>
        <w:t>patient</w:t>
      </w:r>
      <w:r w:rsidRPr="005C6230">
        <w:rPr>
          <w:noProof/>
          <w:sz w:val="22"/>
          <w:lang w:val="fr-BE" w:eastAsia="en-GB"/>
        </w:rPr>
        <w:t xml:space="preserve"> entre en ligne de compte pour une intervention de l’assurance.</w:t>
      </w:r>
    </w:p>
    <w:p w14:paraId="4C7F5367" w14:textId="77777777" w:rsidR="00301336" w:rsidRPr="005C6230" w:rsidRDefault="00301336" w:rsidP="00994162">
      <w:pPr>
        <w:jc w:val="both"/>
        <w:rPr>
          <w:noProof/>
          <w:sz w:val="22"/>
          <w:szCs w:val="20"/>
          <w:lang w:val="fr-BE" w:eastAsia="en-GB"/>
        </w:rPr>
      </w:pPr>
    </w:p>
    <w:p w14:paraId="2236FB17" w14:textId="342629E7" w:rsidR="009D5C16" w:rsidRPr="005C6230" w:rsidRDefault="009D5C16" w:rsidP="00994162">
      <w:pPr>
        <w:jc w:val="both"/>
        <w:rPr>
          <w:noProof/>
          <w:sz w:val="22"/>
          <w:szCs w:val="20"/>
          <w:lang w:val="fr-BE" w:eastAsia="en-GB"/>
        </w:rPr>
      </w:pPr>
      <w:r w:rsidRPr="005C6230">
        <w:rPr>
          <w:noProof/>
          <w:sz w:val="22"/>
          <w:szCs w:val="20"/>
          <w:lang w:val="fr-BE" w:eastAsia="en-GB"/>
        </w:rPr>
        <w:t>Le bandagiste agréé ne peut délivrer des dispositifs de stomie que pour une période de 3 mois maximum. Pendant le premier trimestre, il doit y avoir au minimum 2 contacts en face-à-face (présence physique) entre le patient et le bandagiste agréé.</w:t>
      </w:r>
    </w:p>
    <w:p w14:paraId="4AF4F141" w14:textId="77777777" w:rsidR="00017510" w:rsidRPr="005C6230" w:rsidRDefault="00017510" w:rsidP="00994162">
      <w:pPr>
        <w:jc w:val="both"/>
        <w:rPr>
          <w:noProof/>
          <w:sz w:val="22"/>
          <w:szCs w:val="20"/>
          <w:lang w:val="fr-BE" w:eastAsia="en-GB"/>
        </w:rPr>
      </w:pPr>
    </w:p>
    <w:p w14:paraId="5024236B" w14:textId="7B49ED68" w:rsidR="001B775F" w:rsidRPr="005C6230" w:rsidRDefault="001B775F" w:rsidP="00994162">
      <w:pPr>
        <w:jc w:val="both"/>
        <w:rPr>
          <w:b/>
          <w:noProof/>
          <w:sz w:val="22"/>
          <w:szCs w:val="20"/>
          <w:lang w:val="fr-BE" w:eastAsia="en-GB"/>
        </w:rPr>
      </w:pPr>
      <w:r w:rsidRPr="005C6230">
        <w:rPr>
          <w:b/>
          <w:noProof/>
          <w:sz w:val="22"/>
          <w:szCs w:val="20"/>
          <w:lang w:val="fr-BE" w:eastAsia="en-GB"/>
        </w:rPr>
        <w:t>Utilisation de systèmes convexes/concaves</w:t>
      </w:r>
    </w:p>
    <w:p w14:paraId="5E25BC05" w14:textId="19C5F6C2" w:rsidR="001B775F" w:rsidRPr="005C6230" w:rsidRDefault="001B775F" w:rsidP="00994162">
      <w:pPr>
        <w:jc w:val="both"/>
        <w:rPr>
          <w:noProof/>
          <w:sz w:val="22"/>
          <w:szCs w:val="20"/>
          <w:lang w:val="fr-BE" w:eastAsia="en-GB"/>
        </w:rPr>
      </w:pPr>
    </w:p>
    <w:p w14:paraId="5A983D5A" w14:textId="4C1D2432" w:rsidR="001B775F" w:rsidRPr="005C6230" w:rsidRDefault="0033709C" w:rsidP="00994162">
      <w:pPr>
        <w:jc w:val="both"/>
        <w:rPr>
          <w:noProof/>
          <w:sz w:val="22"/>
          <w:szCs w:val="20"/>
          <w:lang w:val="fr-BE" w:eastAsia="en-GB"/>
        </w:rPr>
      </w:pPr>
      <w:r w:rsidRPr="005C6230">
        <w:rPr>
          <w:noProof/>
          <w:sz w:val="22"/>
          <w:szCs w:val="20"/>
          <w:lang w:val="fr-BE" w:eastAsia="en-GB"/>
        </w:rPr>
        <w:t xml:space="preserve">Des interventions plus élévées sont prévues </w:t>
      </w:r>
      <w:r w:rsidR="0016240F" w:rsidRPr="005C6230">
        <w:rPr>
          <w:noProof/>
          <w:sz w:val="22"/>
          <w:szCs w:val="20"/>
          <w:lang w:val="fr-BE" w:eastAsia="en-GB"/>
        </w:rPr>
        <w:t xml:space="preserve">pour les patients qui ont besoin de systèmes cutanés convexes/concaves </w:t>
      </w:r>
      <w:r w:rsidR="001B775F" w:rsidRPr="005C6230">
        <w:rPr>
          <w:noProof/>
          <w:sz w:val="22"/>
          <w:szCs w:val="20"/>
          <w:lang w:val="fr-BE" w:eastAsia="en-GB"/>
        </w:rPr>
        <w:t>Ces interventions nécessitent une prescription médicale sur laquelle le médecin-prescripteur indique la nécessité de ce type de matérie</w:t>
      </w:r>
      <w:r w:rsidR="0016240F" w:rsidRPr="005C6230">
        <w:rPr>
          <w:noProof/>
          <w:sz w:val="22"/>
          <w:szCs w:val="20"/>
          <w:lang w:val="fr-BE" w:eastAsia="en-GB"/>
        </w:rPr>
        <w:t>l.</w:t>
      </w:r>
    </w:p>
    <w:p w14:paraId="150267BC" w14:textId="18525B69" w:rsidR="0016240F" w:rsidRPr="005C6230" w:rsidRDefault="0016240F" w:rsidP="00994162">
      <w:pPr>
        <w:jc w:val="both"/>
        <w:rPr>
          <w:noProof/>
          <w:sz w:val="22"/>
          <w:szCs w:val="20"/>
          <w:lang w:val="fr-BE" w:eastAsia="en-GB"/>
        </w:rPr>
      </w:pPr>
    </w:p>
    <w:p w14:paraId="2A8982E5" w14:textId="61255212" w:rsidR="0016240F" w:rsidRPr="005C6230" w:rsidRDefault="0016240F" w:rsidP="00994162">
      <w:pPr>
        <w:pStyle w:val="ListParagraph"/>
        <w:numPr>
          <w:ilvl w:val="0"/>
          <w:numId w:val="2"/>
        </w:numPr>
        <w:jc w:val="both"/>
        <w:rPr>
          <w:noProof/>
          <w:sz w:val="22"/>
          <w:szCs w:val="20"/>
          <w:lang w:val="fr-BE" w:eastAsia="en-GB"/>
        </w:rPr>
      </w:pPr>
      <w:r w:rsidRPr="005C6230">
        <w:rPr>
          <w:noProof/>
          <w:sz w:val="22"/>
          <w:szCs w:val="20"/>
          <w:lang w:val="fr-BE" w:eastAsia="en-GB"/>
        </w:rPr>
        <w:t>Les systèmes collecteurs convexes sont constitués d’une plaque cutanée incorporant une coquille convexe suffisamment solide pour maintenir la convexité sur la peau. Ils sont indiqués pour les stomies à fleur de peau ou pour les stomies rétractées ou pour les stomies situées dans les replis de la peau. La plaque convexe permet de maintenir la stomie au-dessus de la peau en compressant la peau pour un meilleur ajustement et pour réduire les risques de fuites.</w:t>
      </w:r>
    </w:p>
    <w:p w14:paraId="7D2B3972" w14:textId="7E47CEA9" w:rsidR="0016240F" w:rsidRPr="005C6230" w:rsidRDefault="0016240F" w:rsidP="00994162">
      <w:pPr>
        <w:jc w:val="both"/>
        <w:rPr>
          <w:noProof/>
          <w:sz w:val="22"/>
          <w:szCs w:val="20"/>
          <w:lang w:val="fr-BE" w:eastAsia="en-GB"/>
        </w:rPr>
      </w:pPr>
    </w:p>
    <w:p w14:paraId="23D01A2A" w14:textId="6000B5CB" w:rsidR="0016240F" w:rsidRPr="005C6230" w:rsidRDefault="0016240F" w:rsidP="00994162">
      <w:pPr>
        <w:pStyle w:val="ListParagraph"/>
        <w:numPr>
          <w:ilvl w:val="0"/>
          <w:numId w:val="2"/>
        </w:numPr>
        <w:jc w:val="both"/>
        <w:rPr>
          <w:noProof/>
          <w:sz w:val="22"/>
          <w:szCs w:val="20"/>
          <w:lang w:val="fr-BE" w:eastAsia="en-GB"/>
        </w:rPr>
      </w:pPr>
      <w:r w:rsidRPr="005C6230">
        <w:rPr>
          <w:noProof/>
          <w:sz w:val="22"/>
          <w:szCs w:val="20"/>
          <w:lang w:val="fr-BE" w:eastAsia="en-GB"/>
        </w:rPr>
        <w:t>Les systèmes collecteurs concaves sont constitués d’une plaque cutanée à courbure concave et sont indiqués pour les protubérances de la peau autour de la stomie dues à une hernie ou une éventration ou à l’obésité. Les systèmes cutanés concaves permettent un meilleur ajustement et réduisent les risques de fuites.</w:t>
      </w:r>
    </w:p>
    <w:p w14:paraId="490ED59D" w14:textId="1FB75D3C" w:rsidR="0016240F" w:rsidRPr="005C6230" w:rsidRDefault="0016240F" w:rsidP="00994162">
      <w:pPr>
        <w:jc w:val="both"/>
        <w:rPr>
          <w:noProof/>
          <w:sz w:val="22"/>
          <w:szCs w:val="20"/>
          <w:lang w:val="fr-BE" w:eastAsia="en-GB"/>
        </w:rPr>
      </w:pPr>
    </w:p>
    <w:p w14:paraId="4E629662" w14:textId="635A55CD" w:rsidR="00482A77" w:rsidRPr="005C6230" w:rsidRDefault="00594BC3" w:rsidP="00994162">
      <w:pPr>
        <w:jc w:val="both"/>
        <w:rPr>
          <w:noProof/>
          <w:sz w:val="22"/>
          <w:szCs w:val="20"/>
          <w:lang w:val="fr-BE" w:eastAsia="en-GB"/>
        </w:rPr>
      </w:pPr>
      <w:r w:rsidRPr="005C6230">
        <w:rPr>
          <w:noProof/>
          <w:sz w:val="22"/>
          <w:szCs w:val="20"/>
          <w:lang w:val="fr-BE" w:eastAsia="en-GB"/>
        </w:rPr>
        <w:t xml:space="preserve">Le médecin </w:t>
      </w:r>
      <w:r w:rsidR="00994162" w:rsidRPr="005C6230">
        <w:rPr>
          <w:noProof/>
          <w:sz w:val="22"/>
          <w:szCs w:val="20"/>
          <w:lang w:val="fr-BE" w:eastAsia="en-GB"/>
        </w:rPr>
        <w:t>prescripteur motive la nécessité et détermine la période pour laquelle l’utilisation de systèmes cutanés convexes/concaves est nécessaire. Cette période figure sur la prescription médicale et ne peut excéder un an.</w:t>
      </w:r>
    </w:p>
    <w:p w14:paraId="4E6101C1" w14:textId="77777777" w:rsidR="003734B8" w:rsidRPr="005C6230" w:rsidRDefault="003734B8" w:rsidP="00994162">
      <w:pPr>
        <w:jc w:val="both"/>
        <w:rPr>
          <w:noProof/>
          <w:sz w:val="22"/>
          <w:szCs w:val="20"/>
          <w:lang w:val="fr-BE" w:eastAsia="en-GB"/>
        </w:rPr>
      </w:pPr>
    </w:p>
    <w:p w14:paraId="1A434C43" w14:textId="1D014D1C" w:rsidR="0016240F" w:rsidRPr="005C6230" w:rsidRDefault="0016240F" w:rsidP="00994162">
      <w:pPr>
        <w:jc w:val="both"/>
        <w:rPr>
          <w:b/>
          <w:noProof/>
          <w:sz w:val="22"/>
          <w:szCs w:val="20"/>
          <w:lang w:val="fr-BE" w:eastAsia="en-GB"/>
        </w:rPr>
      </w:pPr>
      <w:r w:rsidRPr="005C6230">
        <w:rPr>
          <w:b/>
          <w:noProof/>
          <w:sz w:val="22"/>
          <w:szCs w:val="20"/>
          <w:lang w:val="fr-BE" w:eastAsia="en-GB"/>
        </w:rPr>
        <w:t>Situations exceptionnelles</w:t>
      </w:r>
    </w:p>
    <w:p w14:paraId="55F7ED08" w14:textId="77777777" w:rsidR="0016240F" w:rsidRPr="005C6230" w:rsidRDefault="0016240F" w:rsidP="00994162">
      <w:pPr>
        <w:jc w:val="both"/>
        <w:rPr>
          <w:noProof/>
          <w:sz w:val="22"/>
          <w:szCs w:val="20"/>
          <w:lang w:val="fr-BE" w:eastAsia="en-GB"/>
        </w:rPr>
      </w:pPr>
    </w:p>
    <w:p w14:paraId="6D1C3327" w14:textId="04162A9F" w:rsidR="001B775F" w:rsidRPr="005C6230" w:rsidRDefault="0016240F" w:rsidP="00994162">
      <w:pPr>
        <w:jc w:val="both"/>
        <w:rPr>
          <w:noProof/>
          <w:sz w:val="22"/>
          <w:szCs w:val="20"/>
          <w:lang w:val="fr-BE" w:eastAsia="en-GB"/>
        </w:rPr>
      </w:pPr>
      <w:r w:rsidRPr="005C6230">
        <w:rPr>
          <w:noProof/>
          <w:sz w:val="22"/>
          <w:szCs w:val="20"/>
          <w:lang w:val="fr-BE" w:eastAsia="en-GB"/>
        </w:rPr>
        <w:t xml:space="preserve">Des interventions plus élévées sont prévues pour les patients présentant l’une des situations suivantes : </w:t>
      </w:r>
    </w:p>
    <w:p w14:paraId="3A3FF750" w14:textId="2F904CE8" w:rsidR="0016240F" w:rsidRPr="005C6230" w:rsidRDefault="0016240F" w:rsidP="00994162">
      <w:pPr>
        <w:pStyle w:val="ListParagraph"/>
        <w:numPr>
          <w:ilvl w:val="0"/>
          <w:numId w:val="3"/>
        </w:numPr>
        <w:jc w:val="both"/>
        <w:rPr>
          <w:noProof/>
          <w:sz w:val="22"/>
          <w:szCs w:val="20"/>
          <w:lang w:val="fr-BE" w:eastAsia="en-GB"/>
        </w:rPr>
      </w:pPr>
      <w:r w:rsidRPr="005C6230">
        <w:rPr>
          <w:noProof/>
          <w:sz w:val="22"/>
          <w:szCs w:val="20"/>
          <w:lang w:val="fr-BE" w:eastAsia="en-GB"/>
        </w:rPr>
        <w:t>des problèmes exceptionnels sur le plan clinique et/ou relatifs aux caractéristiques de la stomie ou de la fistule comme le type, la forme et la localisation;</w:t>
      </w:r>
    </w:p>
    <w:p w14:paraId="4C4C88A4" w14:textId="698587EA" w:rsidR="0016240F" w:rsidRPr="005C6230" w:rsidRDefault="0016240F" w:rsidP="00994162">
      <w:pPr>
        <w:pStyle w:val="ListParagraph"/>
        <w:numPr>
          <w:ilvl w:val="0"/>
          <w:numId w:val="3"/>
        </w:numPr>
        <w:jc w:val="both"/>
        <w:rPr>
          <w:noProof/>
          <w:sz w:val="22"/>
          <w:szCs w:val="20"/>
          <w:lang w:val="fr-BE" w:eastAsia="en-GB"/>
        </w:rPr>
      </w:pPr>
      <w:r w:rsidRPr="005C6230">
        <w:rPr>
          <w:noProof/>
          <w:sz w:val="22"/>
          <w:szCs w:val="20"/>
          <w:lang w:val="fr-BE" w:eastAsia="en-GB"/>
        </w:rPr>
        <w:t>une augmentation anormale des excrétions suite à une modification de consistance, fréquence ou de volume de celles-ci;</w:t>
      </w:r>
    </w:p>
    <w:p w14:paraId="62898AD4" w14:textId="77E06189" w:rsidR="0016240F" w:rsidRPr="005C6230" w:rsidRDefault="0016240F" w:rsidP="00994162">
      <w:pPr>
        <w:pStyle w:val="ListParagraph"/>
        <w:numPr>
          <w:ilvl w:val="0"/>
          <w:numId w:val="3"/>
        </w:numPr>
        <w:jc w:val="both"/>
        <w:rPr>
          <w:noProof/>
          <w:sz w:val="22"/>
          <w:szCs w:val="20"/>
          <w:lang w:val="fr-BE" w:eastAsia="en-GB"/>
        </w:rPr>
      </w:pPr>
      <w:r w:rsidRPr="005C6230">
        <w:rPr>
          <w:noProof/>
          <w:sz w:val="22"/>
          <w:szCs w:val="20"/>
          <w:lang w:val="fr-BE" w:eastAsia="en-GB"/>
        </w:rPr>
        <w:t>des problèmes exceptionnels au niveau des caractéristiques physiques ou des caractéristiques cutanées de la stomie ou de la fistule, comme la sensibilité, la prédisposition allergique et l’humidité de la peau.</w:t>
      </w:r>
    </w:p>
    <w:p w14:paraId="6B6703A9" w14:textId="6A045E88" w:rsidR="0016240F" w:rsidRPr="005C6230" w:rsidRDefault="0016240F" w:rsidP="00994162">
      <w:pPr>
        <w:jc w:val="both"/>
        <w:rPr>
          <w:noProof/>
          <w:sz w:val="22"/>
          <w:szCs w:val="20"/>
          <w:lang w:val="fr-BE" w:eastAsia="en-GB"/>
        </w:rPr>
      </w:pPr>
    </w:p>
    <w:p w14:paraId="44AB763A" w14:textId="6F4F2368" w:rsidR="0016240F" w:rsidRPr="005C6230" w:rsidRDefault="0016240F" w:rsidP="00994162">
      <w:pPr>
        <w:jc w:val="both"/>
        <w:rPr>
          <w:noProof/>
          <w:sz w:val="22"/>
          <w:szCs w:val="20"/>
          <w:lang w:val="fr-BE" w:eastAsia="en-GB"/>
        </w:rPr>
      </w:pPr>
      <w:r w:rsidRPr="005C6230">
        <w:rPr>
          <w:noProof/>
          <w:sz w:val="22"/>
          <w:szCs w:val="20"/>
          <w:lang w:val="fr-BE" w:eastAsia="en-GB"/>
        </w:rPr>
        <w:lastRenderedPageBreak/>
        <w:t>Ces interventions nécessitent une prescription médicale motivée du médecin-prescripteur et ne peuvent être octroyées qu’à partir du 4</w:t>
      </w:r>
      <w:r w:rsidRPr="005C6230">
        <w:rPr>
          <w:noProof/>
          <w:sz w:val="22"/>
          <w:szCs w:val="20"/>
          <w:vertAlign w:val="superscript"/>
          <w:lang w:val="fr-BE" w:eastAsia="en-GB"/>
        </w:rPr>
        <w:t>ème</w:t>
      </w:r>
      <w:r w:rsidRPr="005C6230">
        <w:rPr>
          <w:noProof/>
          <w:sz w:val="22"/>
          <w:szCs w:val="20"/>
          <w:lang w:val="fr-BE" w:eastAsia="en-GB"/>
        </w:rPr>
        <w:t xml:space="preserve"> mois à compter de la date de la première délivrance ambulatoire.</w:t>
      </w:r>
    </w:p>
    <w:p w14:paraId="11BC78F3" w14:textId="37300E69" w:rsidR="0016240F" w:rsidRPr="005C6230" w:rsidRDefault="0016240F" w:rsidP="00994162">
      <w:pPr>
        <w:jc w:val="both"/>
        <w:rPr>
          <w:noProof/>
          <w:sz w:val="22"/>
          <w:szCs w:val="20"/>
          <w:lang w:val="fr-BE" w:eastAsia="en-GB"/>
        </w:rPr>
      </w:pPr>
    </w:p>
    <w:p w14:paraId="1AB7FBB9" w14:textId="58A175C2" w:rsidR="00482A77" w:rsidRPr="005C6230" w:rsidRDefault="00594BC3" w:rsidP="00994162">
      <w:pPr>
        <w:jc w:val="both"/>
        <w:rPr>
          <w:noProof/>
          <w:sz w:val="22"/>
          <w:szCs w:val="20"/>
          <w:lang w:val="fr-BE" w:eastAsia="en-GB"/>
        </w:rPr>
      </w:pPr>
      <w:r w:rsidRPr="005C6230">
        <w:rPr>
          <w:noProof/>
          <w:sz w:val="22"/>
          <w:szCs w:val="20"/>
          <w:lang w:val="fr-BE" w:eastAsia="en-GB"/>
        </w:rPr>
        <w:t xml:space="preserve">Le médecin </w:t>
      </w:r>
      <w:r w:rsidR="00994162" w:rsidRPr="005C6230">
        <w:rPr>
          <w:noProof/>
          <w:sz w:val="22"/>
          <w:szCs w:val="20"/>
          <w:lang w:val="fr-BE" w:eastAsia="en-GB"/>
        </w:rPr>
        <w:t>prescripteur décrit la situation exceptionnelle et détermine la période pour laquelle l’utilisation de dispositifs de stomie est nécessaire. Cette période figure sur la prescription médicale et ne peut excéder 6 mois pour une première demande ou 2 ans en cas de renouvellement.</w:t>
      </w:r>
    </w:p>
    <w:p w14:paraId="72C1A563" w14:textId="77777777" w:rsidR="003734B8" w:rsidRPr="005C6230" w:rsidRDefault="003734B8" w:rsidP="00994162">
      <w:pPr>
        <w:jc w:val="both"/>
        <w:rPr>
          <w:noProof/>
          <w:sz w:val="22"/>
          <w:szCs w:val="20"/>
          <w:lang w:val="fr-BE" w:eastAsia="en-GB"/>
        </w:rPr>
      </w:pPr>
    </w:p>
    <w:p w14:paraId="0E1DDFC8" w14:textId="49F436D6" w:rsidR="00301336" w:rsidRPr="005C6230" w:rsidRDefault="00FD21EB" w:rsidP="00994162">
      <w:pPr>
        <w:jc w:val="both"/>
        <w:rPr>
          <w:b/>
          <w:noProof/>
          <w:sz w:val="22"/>
          <w:lang w:val="fr-BE" w:eastAsia="en-GB"/>
        </w:rPr>
      </w:pPr>
      <w:r w:rsidRPr="005C6230">
        <w:rPr>
          <w:b/>
          <w:noProof/>
          <w:sz w:val="22"/>
          <w:lang w:val="fr-BE" w:eastAsia="en-GB"/>
        </w:rPr>
        <w:t>Prescription médicale</w:t>
      </w:r>
    </w:p>
    <w:p w14:paraId="38E88CCE" w14:textId="4C6E853D" w:rsidR="00FD21EB" w:rsidRPr="005C6230" w:rsidRDefault="00FD21EB" w:rsidP="00994162">
      <w:pPr>
        <w:jc w:val="both"/>
        <w:rPr>
          <w:noProof/>
          <w:sz w:val="22"/>
          <w:lang w:val="fr-BE" w:eastAsia="en-GB"/>
        </w:rPr>
      </w:pPr>
    </w:p>
    <w:p w14:paraId="46FA5D29" w14:textId="5DEF34B1" w:rsidR="00FD21EB" w:rsidRPr="005C6230" w:rsidRDefault="00FD21EB" w:rsidP="00994162">
      <w:pPr>
        <w:jc w:val="both"/>
        <w:rPr>
          <w:noProof/>
          <w:sz w:val="22"/>
          <w:lang w:val="fr-BE" w:eastAsia="en-GB"/>
        </w:rPr>
      </w:pPr>
      <w:r w:rsidRPr="005C6230">
        <w:rPr>
          <w:noProof/>
          <w:sz w:val="22"/>
          <w:lang w:val="fr-BE" w:eastAsia="en-GB"/>
        </w:rPr>
        <w:t>La prescription médicale (annexe 93) est rédigée par un médecin (généraliste ou spécialiste).</w:t>
      </w:r>
      <w:r w:rsidR="00962DA5" w:rsidRPr="005C6230">
        <w:rPr>
          <w:noProof/>
          <w:sz w:val="22"/>
          <w:lang w:val="fr-BE" w:eastAsia="en-GB"/>
        </w:rPr>
        <w:t xml:space="preserve"> Elle ouvre le droit au portefeuille virtuel sur base du profil du patient.</w:t>
      </w:r>
    </w:p>
    <w:p w14:paraId="78480173" w14:textId="163ED47E" w:rsidR="00301336" w:rsidRPr="005C6230" w:rsidRDefault="00301336" w:rsidP="00994162">
      <w:pPr>
        <w:jc w:val="both"/>
        <w:rPr>
          <w:noProof/>
          <w:sz w:val="22"/>
          <w:lang w:val="fr-BE" w:eastAsia="en-GB"/>
        </w:rPr>
      </w:pPr>
    </w:p>
    <w:p w14:paraId="2C9D57F5" w14:textId="58AB301E" w:rsidR="00FD21EB" w:rsidRPr="005C6230" w:rsidRDefault="00962DA5" w:rsidP="00994162">
      <w:pPr>
        <w:jc w:val="both"/>
        <w:rPr>
          <w:noProof/>
          <w:sz w:val="22"/>
          <w:lang w:val="fr-BE" w:eastAsia="en-GB"/>
        </w:rPr>
      </w:pPr>
      <w:r w:rsidRPr="005C6230">
        <w:rPr>
          <w:noProof/>
          <w:sz w:val="22"/>
          <w:lang w:val="en-GB" w:eastAsia="en-GB"/>
        </w:rPr>
        <w:drawing>
          <wp:inline distT="0" distB="0" distL="0" distR="0" wp14:anchorId="3A61D926" wp14:editId="00F96BB4">
            <wp:extent cx="5943600" cy="343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8C38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B582114" w14:textId="23BA2E83" w:rsidR="00962DA5" w:rsidRPr="005C6230" w:rsidRDefault="00962DA5" w:rsidP="00994162">
      <w:pPr>
        <w:jc w:val="both"/>
        <w:rPr>
          <w:noProof/>
          <w:sz w:val="22"/>
          <w:lang w:val="fr-BE" w:eastAsia="en-GB"/>
        </w:rPr>
      </w:pPr>
    </w:p>
    <w:p w14:paraId="7B0F4E07" w14:textId="524D43FB" w:rsidR="00482A77" w:rsidRPr="005C6230" w:rsidRDefault="00482A77" w:rsidP="00994162">
      <w:pPr>
        <w:jc w:val="both"/>
        <w:rPr>
          <w:noProof/>
          <w:sz w:val="22"/>
          <w:lang w:val="fr-BE" w:eastAsia="en-GB"/>
        </w:rPr>
      </w:pPr>
      <w:r w:rsidRPr="005C6230">
        <w:rPr>
          <w:noProof/>
          <w:sz w:val="22"/>
          <w:lang w:val="fr-BE" w:eastAsia="en-GB"/>
        </w:rPr>
        <w:t xml:space="preserve">Une prescription médicale est nécessaire, par stomie ou fistule, </w:t>
      </w:r>
      <w:r w:rsidR="00F50EFA" w:rsidRPr="005C6230">
        <w:rPr>
          <w:noProof/>
          <w:sz w:val="22"/>
          <w:lang w:val="fr-BE" w:eastAsia="en-GB"/>
        </w:rPr>
        <w:t>en cas de</w:t>
      </w:r>
      <w:r w:rsidRPr="005C6230">
        <w:rPr>
          <w:noProof/>
          <w:sz w:val="22"/>
          <w:lang w:val="fr-BE" w:eastAsia="en-GB"/>
        </w:rPr>
        <w:t> :</w:t>
      </w:r>
    </w:p>
    <w:p w14:paraId="50EAECA7" w14:textId="7935D8E2" w:rsidR="00482A77" w:rsidRPr="005C6230" w:rsidRDefault="00482A77" w:rsidP="00994162">
      <w:pPr>
        <w:pStyle w:val="ListParagraph"/>
        <w:numPr>
          <w:ilvl w:val="0"/>
          <w:numId w:val="1"/>
        </w:numPr>
        <w:jc w:val="both"/>
        <w:rPr>
          <w:sz w:val="22"/>
          <w:lang w:val="fr-BE"/>
        </w:rPr>
      </w:pPr>
      <w:r w:rsidRPr="005C6230">
        <w:rPr>
          <w:sz w:val="22"/>
          <w:lang w:val="fr-BE"/>
        </w:rPr>
        <w:t>une nouvelle stomie</w:t>
      </w:r>
    </w:p>
    <w:p w14:paraId="5F85AFB0" w14:textId="5B3D6BD1" w:rsidR="00482A77" w:rsidRPr="005C6230" w:rsidRDefault="00482A77" w:rsidP="00994162">
      <w:pPr>
        <w:pStyle w:val="ListParagraph"/>
        <w:numPr>
          <w:ilvl w:val="0"/>
          <w:numId w:val="1"/>
        </w:numPr>
        <w:jc w:val="both"/>
        <w:rPr>
          <w:sz w:val="22"/>
          <w:lang w:val="fr-BE"/>
        </w:rPr>
      </w:pPr>
      <w:r w:rsidRPr="005C6230">
        <w:rPr>
          <w:sz w:val="22"/>
          <w:lang w:val="fr-BE"/>
        </w:rPr>
        <w:t>l’opération d’une stomie existante</w:t>
      </w:r>
    </w:p>
    <w:p w14:paraId="26B1D7CB" w14:textId="0489B7CF" w:rsidR="00482A77" w:rsidRPr="005C6230" w:rsidRDefault="00482A77" w:rsidP="00994162">
      <w:pPr>
        <w:pStyle w:val="ListParagraph"/>
        <w:numPr>
          <w:ilvl w:val="0"/>
          <w:numId w:val="1"/>
        </w:numPr>
        <w:jc w:val="both"/>
        <w:rPr>
          <w:sz w:val="22"/>
          <w:lang w:val="fr-BE"/>
        </w:rPr>
      </w:pPr>
      <w:r w:rsidRPr="005C6230">
        <w:rPr>
          <w:sz w:val="22"/>
          <w:lang w:val="fr-BE"/>
        </w:rPr>
        <w:t>un changement de situation (ajout de système</w:t>
      </w:r>
      <w:r w:rsidR="00994162" w:rsidRPr="005C6230">
        <w:rPr>
          <w:sz w:val="22"/>
          <w:lang w:val="fr-BE"/>
        </w:rPr>
        <w:t>s</w:t>
      </w:r>
      <w:r w:rsidRPr="005C6230">
        <w:rPr>
          <w:sz w:val="22"/>
          <w:lang w:val="fr-BE"/>
        </w:rPr>
        <w:t xml:space="preserve"> convexe</w:t>
      </w:r>
      <w:r w:rsidR="00994162" w:rsidRPr="005C6230">
        <w:rPr>
          <w:sz w:val="22"/>
          <w:lang w:val="fr-BE"/>
        </w:rPr>
        <w:t>s</w:t>
      </w:r>
      <w:r w:rsidRPr="005C6230">
        <w:rPr>
          <w:sz w:val="22"/>
          <w:lang w:val="fr-BE"/>
        </w:rPr>
        <w:t>/concave</w:t>
      </w:r>
      <w:r w:rsidR="00994162" w:rsidRPr="005C6230">
        <w:rPr>
          <w:sz w:val="22"/>
          <w:lang w:val="fr-BE"/>
        </w:rPr>
        <w:t>s</w:t>
      </w:r>
      <w:r w:rsidRPr="005C6230">
        <w:rPr>
          <w:sz w:val="22"/>
          <w:lang w:val="fr-BE"/>
        </w:rPr>
        <w:t xml:space="preserve"> et/ou situation exceptionnelle)</w:t>
      </w:r>
    </w:p>
    <w:p w14:paraId="0FB04CF5" w14:textId="2AC44E33" w:rsidR="00482A77" w:rsidRPr="005C6230" w:rsidRDefault="00482A77" w:rsidP="00994162">
      <w:pPr>
        <w:pStyle w:val="ListParagraph"/>
        <w:numPr>
          <w:ilvl w:val="0"/>
          <w:numId w:val="1"/>
        </w:numPr>
        <w:jc w:val="both"/>
        <w:rPr>
          <w:sz w:val="22"/>
          <w:lang w:val="fr-BE"/>
        </w:rPr>
      </w:pPr>
      <w:r w:rsidRPr="005C6230">
        <w:rPr>
          <w:sz w:val="22"/>
          <w:lang w:val="fr-BE"/>
        </w:rPr>
        <w:t>renouvellement pour système</w:t>
      </w:r>
      <w:r w:rsidR="00994162" w:rsidRPr="005C6230">
        <w:rPr>
          <w:sz w:val="22"/>
          <w:lang w:val="fr-BE"/>
        </w:rPr>
        <w:t>s</w:t>
      </w:r>
      <w:r w:rsidRPr="005C6230">
        <w:rPr>
          <w:sz w:val="22"/>
          <w:lang w:val="fr-BE"/>
        </w:rPr>
        <w:t xml:space="preserve"> convexe</w:t>
      </w:r>
      <w:r w:rsidR="00994162" w:rsidRPr="005C6230">
        <w:rPr>
          <w:sz w:val="22"/>
          <w:lang w:val="fr-BE"/>
        </w:rPr>
        <w:t>s</w:t>
      </w:r>
      <w:r w:rsidRPr="005C6230">
        <w:rPr>
          <w:sz w:val="22"/>
          <w:lang w:val="fr-BE"/>
        </w:rPr>
        <w:t>/concave</w:t>
      </w:r>
      <w:r w:rsidR="00994162" w:rsidRPr="005C6230">
        <w:rPr>
          <w:sz w:val="22"/>
          <w:lang w:val="fr-BE"/>
        </w:rPr>
        <w:t>s</w:t>
      </w:r>
      <w:r w:rsidRPr="005C6230">
        <w:rPr>
          <w:sz w:val="22"/>
          <w:lang w:val="fr-BE"/>
        </w:rPr>
        <w:t xml:space="preserve"> et/ou situation exceptionnelle après expiration de la prescription précédente</w:t>
      </w:r>
    </w:p>
    <w:p w14:paraId="0B55F85B" w14:textId="0732C7B3" w:rsidR="00482A77" w:rsidRPr="005C6230" w:rsidRDefault="00482A77" w:rsidP="00994162">
      <w:pPr>
        <w:pStyle w:val="ListParagraph"/>
        <w:numPr>
          <w:ilvl w:val="0"/>
          <w:numId w:val="1"/>
        </w:numPr>
        <w:jc w:val="both"/>
        <w:rPr>
          <w:sz w:val="22"/>
          <w:lang w:val="fr-BE"/>
        </w:rPr>
      </w:pPr>
      <w:r w:rsidRPr="005C6230">
        <w:rPr>
          <w:sz w:val="22"/>
          <w:lang w:val="fr-BE"/>
        </w:rPr>
        <w:t>première délivrance de matériel d’irrigation</w:t>
      </w:r>
    </w:p>
    <w:p w14:paraId="13738C8D" w14:textId="7432EAF9" w:rsidR="00482A77" w:rsidRPr="005C6230" w:rsidRDefault="00482A77" w:rsidP="00994162">
      <w:pPr>
        <w:jc w:val="both"/>
        <w:rPr>
          <w:noProof/>
          <w:sz w:val="22"/>
          <w:lang w:val="fr-BE" w:eastAsia="en-GB"/>
        </w:rPr>
      </w:pPr>
    </w:p>
    <w:p w14:paraId="5D81A9B5" w14:textId="77777777" w:rsidR="005A6CA4" w:rsidRPr="005C6230" w:rsidRDefault="005A6CA4" w:rsidP="005A6CA4">
      <w:pPr>
        <w:jc w:val="both"/>
        <w:rPr>
          <w:noProof/>
          <w:sz w:val="22"/>
          <w:lang w:val="fr-BE" w:eastAsia="en-GB"/>
        </w:rPr>
      </w:pPr>
      <w:r w:rsidRPr="005C6230">
        <w:rPr>
          <w:noProof/>
          <w:sz w:val="22"/>
          <w:szCs w:val="22"/>
          <w:lang w:val="fr-BE" w:eastAsia="en-GB"/>
        </w:rPr>
        <w:t>La prescription reste valable, à partir de la date de la prescription, pendant 2 mois s'il s'agit d'une première</w:t>
      </w:r>
      <w:r w:rsidRPr="005C6230">
        <w:rPr>
          <w:noProof/>
          <w:sz w:val="22"/>
          <w:lang w:val="fr-BE" w:eastAsia="en-GB"/>
        </w:rPr>
        <w:t xml:space="preserve"> prescription et 6 mois s'il s'agit d’un renouvellement d’une prescription pour des systèmes convexes/concaves et/ou d’une situation exceptionnelle.</w:t>
      </w:r>
    </w:p>
    <w:p w14:paraId="79A6AD28" w14:textId="3FFBC4DB" w:rsidR="005A6CA4" w:rsidRDefault="005A6CA4" w:rsidP="005A6CA4">
      <w:pPr>
        <w:jc w:val="both"/>
        <w:rPr>
          <w:sz w:val="22"/>
          <w:szCs w:val="22"/>
          <w:lang w:val="fr-BE"/>
        </w:rPr>
      </w:pPr>
    </w:p>
    <w:p w14:paraId="38BBEC49" w14:textId="77777777" w:rsidR="007C7C52" w:rsidRPr="005C6230" w:rsidRDefault="007C7C52" w:rsidP="005A6CA4">
      <w:pPr>
        <w:jc w:val="both"/>
        <w:rPr>
          <w:sz w:val="22"/>
          <w:szCs w:val="22"/>
          <w:lang w:val="fr-BE"/>
        </w:rPr>
      </w:pPr>
    </w:p>
    <w:p w14:paraId="404B76DF" w14:textId="2B5F2A69" w:rsidR="00994162" w:rsidRPr="005C6230" w:rsidRDefault="00994162" w:rsidP="00994162">
      <w:pPr>
        <w:jc w:val="both"/>
        <w:rPr>
          <w:b/>
          <w:noProof/>
          <w:sz w:val="22"/>
          <w:lang w:val="fr-BE" w:eastAsia="en-GB"/>
        </w:rPr>
      </w:pPr>
      <w:r w:rsidRPr="005C6230">
        <w:rPr>
          <w:b/>
          <w:noProof/>
          <w:sz w:val="22"/>
          <w:lang w:val="fr-BE" w:eastAsia="en-GB"/>
        </w:rPr>
        <w:lastRenderedPageBreak/>
        <w:t>Attestation de délivrance</w:t>
      </w:r>
    </w:p>
    <w:p w14:paraId="7CEAD5BB" w14:textId="77777777" w:rsidR="00994162" w:rsidRPr="005C6230" w:rsidRDefault="00994162" w:rsidP="00994162">
      <w:pPr>
        <w:jc w:val="both"/>
        <w:rPr>
          <w:noProof/>
          <w:sz w:val="22"/>
          <w:lang w:val="fr-BE" w:eastAsia="en-GB"/>
        </w:rPr>
      </w:pPr>
    </w:p>
    <w:p w14:paraId="5A4E3D9A" w14:textId="505F2387" w:rsidR="00994162" w:rsidRPr="005C6230" w:rsidRDefault="00994162" w:rsidP="00994162">
      <w:pPr>
        <w:jc w:val="both"/>
        <w:rPr>
          <w:noProof/>
          <w:sz w:val="22"/>
          <w:lang w:val="fr-BE" w:eastAsia="en-GB"/>
        </w:rPr>
      </w:pPr>
      <w:r w:rsidRPr="005C6230">
        <w:rPr>
          <w:noProof/>
          <w:sz w:val="22"/>
          <w:lang w:val="fr-BE" w:eastAsia="en-GB"/>
        </w:rPr>
        <w:t>L’attestation de délivrance (annexe 13ter) est rédigée, par stomie ou fistule, en double exemplaire</w:t>
      </w:r>
      <w:r w:rsidR="001A0B32" w:rsidRPr="005C6230">
        <w:rPr>
          <w:noProof/>
          <w:sz w:val="22"/>
          <w:lang w:val="fr-BE" w:eastAsia="en-GB"/>
        </w:rPr>
        <w:t xml:space="preserve"> par le bandagiste agréé</w:t>
      </w:r>
      <w:r w:rsidRPr="005C6230">
        <w:rPr>
          <w:noProof/>
          <w:sz w:val="22"/>
          <w:lang w:val="fr-BE" w:eastAsia="en-GB"/>
        </w:rPr>
        <w:t xml:space="preserve"> : un exemplaire pour l’organisme assureur et un pour le </w:t>
      </w:r>
      <w:r w:rsidR="00D242E7" w:rsidRPr="005C6230">
        <w:rPr>
          <w:noProof/>
          <w:sz w:val="22"/>
          <w:lang w:val="fr-BE" w:eastAsia="en-GB"/>
        </w:rPr>
        <w:t>patient</w:t>
      </w:r>
      <w:r w:rsidRPr="005C6230">
        <w:rPr>
          <w:noProof/>
          <w:sz w:val="22"/>
          <w:lang w:val="fr-BE" w:eastAsia="en-GB"/>
        </w:rPr>
        <w:t>.</w:t>
      </w:r>
    </w:p>
    <w:p w14:paraId="14FE5F51" w14:textId="7D9B5A7F" w:rsidR="00994162" w:rsidRPr="005C6230" w:rsidRDefault="00994162" w:rsidP="00994162">
      <w:pPr>
        <w:jc w:val="both"/>
        <w:rPr>
          <w:noProof/>
          <w:sz w:val="22"/>
          <w:lang w:val="fr-BE" w:eastAsia="en-GB"/>
        </w:rPr>
      </w:pPr>
    </w:p>
    <w:p w14:paraId="4BEBC38E" w14:textId="20F71B4D" w:rsidR="00994162" w:rsidRPr="005C6230" w:rsidRDefault="00994162" w:rsidP="00994162">
      <w:pPr>
        <w:jc w:val="both"/>
        <w:rPr>
          <w:noProof/>
          <w:sz w:val="22"/>
          <w:lang w:val="fr-BE" w:eastAsia="en-GB"/>
        </w:rPr>
      </w:pPr>
      <w:r w:rsidRPr="005C6230">
        <w:rPr>
          <w:noProof/>
          <w:sz w:val="22"/>
          <w:lang w:val="fr-BE" w:eastAsia="en-GB"/>
        </w:rPr>
        <w:t xml:space="preserve">Le </w:t>
      </w:r>
      <w:r w:rsidR="00D242E7" w:rsidRPr="005C6230">
        <w:rPr>
          <w:noProof/>
          <w:sz w:val="22"/>
          <w:lang w:val="fr-BE" w:eastAsia="en-GB"/>
        </w:rPr>
        <w:t>patient</w:t>
      </w:r>
      <w:r w:rsidRPr="005C6230">
        <w:rPr>
          <w:noProof/>
          <w:sz w:val="22"/>
          <w:lang w:val="fr-BE" w:eastAsia="en-GB"/>
        </w:rPr>
        <w:t xml:space="preserve"> ou son représentant légal, et le bandagiste agréé signent l’original de l’attestation de délivrance, qui est transmis à l’organisme assureur.</w:t>
      </w:r>
    </w:p>
    <w:p w14:paraId="3E0A929A" w14:textId="34F70BDE" w:rsidR="00994162" w:rsidRPr="005C6230" w:rsidRDefault="00994162" w:rsidP="00994162">
      <w:pPr>
        <w:jc w:val="both"/>
        <w:rPr>
          <w:noProof/>
          <w:sz w:val="22"/>
          <w:lang w:val="fr-BE" w:eastAsia="en-GB"/>
        </w:rPr>
      </w:pPr>
    </w:p>
    <w:p w14:paraId="73F7FBA3" w14:textId="04DFFD8D" w:rsidR="00994162" w:rsidRPr="005C6230" w:rsidRDefault="00994162" w:rsidP="00994162">
      <w:pPr>
        <w:jc w:val="both"/>
        <w:rPr>
          <w:b/>
          <w:noProof/>
          <w:sz w:val="22"/>
          <w:lang w:val="fr-BE" w:eastAsia="en-GB"/>
        </w:rPr>
      </w:pPr>
      <w:r w:rsidRPr="005C6230">
        <w:rPr>
          <w:b/>
          <w:noProof/>
          <w:sz w:val="22"/>
          <w:lang w:val="fr-BE" w:eastAsia="en-GB"/>
        </w:rPr>
        <w:t>Notification</w:t>
      </w:r>
    </w:p>
    <w:p w14:paraId="200ECEA2" w14:textId="7319F078" w:rsidR="00994162" w:rsidRPr="005C6230" w:rsidRDefault="00994162" w:rsidP="00994162">
      <w:pPr>
        <w:jc w:val="both"/>
        <w:rPr>
          <w:noProof/>
          <w:sz w:val="22"/>
          <w:lang w:val="fr-BE" w:eastAsia="en-GB"/>
        </w:rPr>
      </w:pPr>
    </w:p>
    <w:p w14:paraId="452B20B5" w14:textId="49E89A12" w:rsidR="00994162" w:rsidRPr="005C6230" w:rsidRDefault="00994162" w:rsidP="00994162">
      <w:pPr>
        <w:jc w:val="both"/>
        <w:rPr>
          <w:noProof/>
          <w:sz w:val="22"/>
          <w:lang w:val="fr-BE" w:eastAsia="en-GB"/>
        </w:rPr>
      </w:pPr>
      <w:r w:rsidRPr="005C6230">
        <w:rPr>
          <w:noProof/>
          <w:sz w:val="22"/>
          <w:lang w:val="fr-BE" w:eastAsia="en-GB"/>
        </w:rPr>
        <w:t>Avant la première intervention de l’assurance, une notification composée de la prescription médicale (annexe 93) ainsi que de l’attestation de délivrance (annexe 13ter) doit être adressée au médecin-conseil par le bandagiste agréé le plus vite possible avec un délai maximal de 40 jours à partir de la date de délivrance.</w:t>
      </w:r>
    </w:p>
    <w:p w14:paraId="186886DC" w14:textId="7D0A6130" w:rsidR="00994162" w:rsidRPr="005C6230" w:rsidRDefault="00994162" w:rsidP="00994162">
      <w:pPr>
        <w:jc w:val="both"/>
        <w:rPr>
          <w:noProof/>
          <w:sz w:val="22"/>
          <w:lang w:val="fr-BE" w:eastAsia="en-GB"/>
        </w:rPr>
      </w:pPr>
    </w:p>
    <w:p w14:paraId="123F6248" w14:textId="494EF39F" w:rsidR="00994162" w:rsidRPr="005C6230" w:rsidRDefault="00994162" w:rsidP="00994162">
      <w:pPr>
        <w:jc w:val="both"/>
        <w:rPr>
          <w:noProof/>
          <w:sz w:val="22"/>
          <w:lang w:val="fr-BE" w:eastAsia="en-GB"/>
        </w:rPr>
      </w:pPr>
      <w:r w:rsidRPr="005C6230">
        <w:rPr>
          <w:noProof/>
          <w:sz w:val="22"/>
          <w:lang w:val="fr-BE" w:eastAsia="en-GB"/>
        </w:rPr>
        <w:t>Pour chaque situation où une nouvelle prescription médicale est requise, une notification doit être adressée au médecin-conseil par le bandagiste agréé dans les 40 jours à partir de la date de délivrance.</w:t>
      </w:r>
    </w:p>
    <w:p w14:paraId="74E4FB7E" w14:textId="0F90FDB9" w:rsidR="00994162" w:rsidRPr="005C6230" w:rsidRDefault="00994162" w:rsidP="00994162">
      <w:pPr>
        <w:jc w:val="both"/>
        <w:rPr>
          <w:noProof/>
          <w:sz w:val="22"/>
          <w:lang w:val="fr-BE" w:eastAsia="en-GB"/>
        </w:rPr>
      </w:pPr>
    </w:p>
    <w:p w14:paraId="093A1A45" w14:textId="2B2C08C6" w:rsidR="002E0499" w:rsidRPr="00007A3B" w:rsidRDefault="002E0499" w:rsidP="002E0499">
      <w:pPr>
        <w:rPr>
          <w:noProof/>
          <w:sz w:val="22"/>
          <w:szCs w:val="20"/>
          <w:highlight w:val="yellow"/>
          <w:lang w:val="fr-BE" w:eastAsia="en-GB"/>
        </w:rPr>
      </w:pPr>
      <w:r w:rsidRPr="00007A3B">
        <w:rPr>
          <w:noProof/>
          <w:sz w:val="22"/>
          <w:szCs w:val="20"/>
          <w:highlight w:val="yellow"/>
          <w:lang w:val="fr-BE" w:eastAsia="en-GB"/>
        </w:rPr>
        <w:t>Il y a donc 2 circuits de communication avec la mutuelle :</w:t>
      </w:r>
    </w:p>
    <w:p w14:paraId="150E87A2" w14:textId="29C49A8A" w:rsidR="002E0499" w:rsidRPr="00007A3B" w:rsidRDefault="002E0499" w:rsidP="002E0499">
      <w:pPr>
        <w:pStyle w:val="ListParagraph"/>
        <w:numPr>
          <w:ilvl w:val="0"/>
          <w:numId w:val="7"/>
        </w:numPr>
        <w:contextualSpacing w:val="0"/>
        <w:jc w:val="both"/>
        <w:rPr>
          <w:noProof/>
          <w:sz w:val="22"/>
          <w:szCs w:val="20"/>
          <w:highlight w:val="yellow"/>
          <w:lang w:val="fr-BE" w:eastAsia="en-GB"/>
        </w:rPr>
      </w:pPr>
      <w:r w:rsidRPr="00007A3B">
        <w:rPr>
          <w:noProof/>
          <w:sz w:val="22"/>
          <w:szCs w:val="20"/>
          <w:highlight w:val="yellow"/>
          <w:lang w:val="fr-BE" w:eastAsia="en-GB"/>
        </w:rPr>
        <w:t>1</w:t>
      </w:r>
      <w:r w:rsidRPr="00007A3B">
        <w:rPr>
          <w:noProof/>
          <w:sz w:val="22"/>
          <w:szCs w:val="20"/>
          <w:highlight w:val="yellow"/>
          <w:vertAlign w:val="superscript"/>
          <w:lang w:val="fr-BE" w:eastAsia="en-GB"/>
        </w:rPr>
        <w:t>er</w:t>
      </w:r>
      <w:r w:rsidRPr="00007A3B">
        <w:rPr>
          <w:noProof/>
          <w:sz w:val="22"/>
          <w:szCs w:val="20"/>
          <w:highlight w:val="yellow"/>
          <w:lang w:val="fr-BE" w:eastAsia="en-GB"/>
        </w:rPr>
        <w:t xml:space="preserve"> envoi : il s’agit de la notification qui comprend la prescription médicale et la 1</w:t>
      </w:r>
      <w:r w:rsidRPr="00007A3B">
        <w:rPr>
          <w:noProof/>
          <w:sz w:val="22"/>
          <w:szCs w:val="20"/>
          <w:highlight w:val="yellow"/>
          <w:vertAlign w:val="superscript"/>
          <w:lang w:val="fr-BE" w:eastAsia="en-GB"/>
        </w:rPr>
        <w:t>ère</w:t>
      </w:r>
      <w:r w:rsidR="00215DD9" w:rsidRPr="00007A3B">
        <w:rPr>
          <w:noProof/>
          <w:sz w:val="22"/>
          <w:szCs w:val="20"/>
          <w:highlight w:val="yellow"/>
          <w:vertAlign w:val="superscript"/>
          <w:lang w:val="fr-BE" w:eastAsia="en-GB"/>
        </w:rPr>
        <w:t> </w:t>
      </w:r>
      <w:r w:rsidRPr="00007A3B">
        <w:rPr>
          <w:noProof/>
          <w:sz w:val="22"/>
          <w:szCs w:val="20"/>
          <w:highlight w:val="yellow"/>
          <w:lang w:val="fr-BE" w:eastAsia="en-GB"/>
        </w:rPr>
        <w:t xml:space="preserve">attestation de délivrance </w:t>
      </w:r>
      <w:r w:rsidR="0066310A" w:rsidRPr="00007A3B">
        <w:rPr>
          <w:noProof/>
          <w:sz w:val="22"/>
          <w:szCs w:val="20"/>
          <w:highlight w:val="yellow"/>
          <w:lang w:val="fr-BE" w:eastAsia="en-GB"/>
        </w:rPr>
        <w:t>accompagnée de l’état récapitulatif</w:t>
      </w:r>
      <w:r w:rsidRPr="00007A3B">
        <w:rPr>
          <w:noProof/>
          <w:sz w:val="22"/>
          <w:szCs w:val="20"/>
          <w:highlight w:val="yellow"/>
          <w:lang w:val="fr-BE" w:eastAsia="en-GB"/>
        </w:rPr>
        <w:sym w:font="Symbol" w:char="F0AE"/>
      </w:r>
      <w:r w:rsidRPr="00007A3B">
        <w:rPr>
          <w:noProof/>
          <w:sz w:val="22"/>
          <w:szCs w:val="20"/>
          <w:highlight w:val="yellow"/>
          <w:lang w:val="fr-BE" w:eastAsia="en-GB"/>
        </w:rPr>
        <w:t xml:space="preserve"> doit être envoyée le plus rapidement possible (max. 40 jours après la délivrance) au </w:t>
      </w:r>
      <w:r w:rsidR="0066310A" w:rsidRPr="00007A3B">
        <w:rPr>
          <w:noProof/>
          <w:sz w:val="22"/>
          <w:szCs w:val="20"/>
          <w:highlight w:val="yellow"/>
          <w:lang w:val="fr-BE" w:eastAsia="en-GB"/>
        </w:rPr>
        <w:t xml:space="preserve">service du </w:t>
      </w:r>
      <w:r w:rsidRPr="00007A3B">
        <w:rPr>
          <w:noProof/>
          <w:sz w:val="22"/>
          <w:szCs w:val="20"/>
          <w:highlight w:val="yellow"/>
          <w:lang w:val="fr-BE" w:eastAsia="en-GB"/>
        </w:rPr>
        <w:t xml:space="preserve">médecin-conseil de la mutuelle pour ouvrir les droits du patient (portefeuille virtuel). </w:t>
      </w:r>
      <w:r w:rsidR="0066310A" w:rsidRPr="00007A3B">
        <w:rPr>
          <w:noProof/>
          <w:sz w:val="22"/>
          <w:szCs w:val="20"/>
          <w:highlight w:val="yellow"/>
          <w:lang w:val="fr-BE" w:eastAsia="en-GB"/>
        </w:rPr>
        <w:t>Le service du médecin-conseil assurera le suivi vers le service du tiers-payant.</w:t>
      </w:r>
    </w:p>
    <w:p w14:paraId="69761F07" w14:textId="77777777" w:rsidR="002E0499" w:rsidRPr="00007A3B" w:rsidRDefault="002E0499" w:rsidP="002E0499">
      <w:pPr>
        <w:pStyle w:val="ListParagraph"/>
        <w:rPr>
          <w:noProof/>
          <w:sz w:val="22"/>
          <w:szCs w:val="20"/>
          <w:highlight w:val="yellow"/>
          <w:lang w:val="fr-BE" w:eastAsia="en-GB"/>
        </w:rPr>
      </w:pPr>
      <w:r w:rsidRPr="00007A3B">
        <w:rPr>
          <w:noProof/>
          <w:sz w:val="22"/>
          <w:szCs w:val="20"/>
          <w:highlight w:val="yellow"/>
          <w:lang w:val="fr-BE" w:eastAsia="en-GB"/>
        </w:rPr>
        <w:t>NB : ceci est d’application à chaque fois que le patient reçoit une nouvelle prescription.</w:t>
      </w:r>
    </w:p>
    <w:p w14:paraId="73912CD3" w14:textId="77777777" w:rsidR="002E0499" w:rsidRPr="00007A3B" w:rsidRDefault="002E0499" w:rsidP="002E0499">
      <w:pPr>
        <w:pStyle w:val="ListParagraph"/>
        <w:rPr>
          <w:noProof/>
          <w:sz w:val="22"/>
          <w:szCs w:val="20"/>
          <w:highlight w:val="yellow"/>
          <w:lang w:val="fr-BE" w:eastAsia="en-GB"/>
        </w:rPr>
      </w:pPr>
    </w:p>
    <w:p w14:paraId="2371A054" w14:textId="3B57F01C" w:rsidR="002E0499" w:rsidRPr="00007A3B" w:rsidRDefault="002E0499" w:rsidP="002E0499">
      <w:pPr>
        <w:pStyle w:val="ListParagraph"/>
        <w:numPr>
          <w:ilvl w:val="0"/>
          <w:numId w:val="7"/>
        </w:numPr>
        <w:contextualSpacing w:val="0"/>
        <w:jc w:val="both"/>
        <w:rPr>
          <w:noProof/>
          <w:sz w:val="22"/>
          <w:szCs w:val="20"/>
          <w:highlight w:val="yellow"/>
          <w:lang w:val="fr-BE" w:eastAsia="en-GB"/>
        </w:rPr>
      </w:pPr>
      <w:r w:rsidRPr="00007A3B">
        <w:rPr>
          <w:noProof/>
          <w:sz w:val="22"/>
          <w:szCs w:val="20"/>
          <w:highlight w:val="yellow"/>
          <w:lang w:val="fr-BE" w:eastAsia="en-GB"/>
        </w:rPr>
        <w:t>2</w:t>
      </w:r>
      <w:r w:rsidRPr="00007A3B">
        <w:rPr>
          <w:noProof/>
          <w:sz w:val="22"/>
          <w:szCs w:val="20"/>
          <w:highlight w:val="yellow"/>
          <w:vertAlign w:val="superscript"/>
          <w:lang w:val="fr-BE" w:eastAsia="en-GB"/>
        </w:rPr>
        <w:t>ème</w:t>
      </w:r>
      <w:r w:rsidRPr="00007A3B">
        <w:rPr>
          <w:noProof/>
          <w:sz w:val="22"/>
          <w:szCs w:val="20"/>
          <w:highlight w:val="yellow"/>
          <w:lang w:val="fr-BE" w:eastAsia="en-GB"/>
        </w:rPr>
        <w:t xml:space="preserve"> envoi et suivants : il s’agit des attestations de délivrance rassemblées en état récapitulatif (le tiers-payant est obligatoirement d’application) </w:t>
      </w:r>
      <w:r w:rsidRPr="00007A3B">
        <w:rPr>
          <w:noProof/>
          <w:sz w:val="22"/>
          <w:szCs w:val="20"/>
          <w:highlight w:val="yellow"/>
          <w:lang w:val="fr-BE" w:eastAsia="en-GB"/>
        </w:rPr>
        <w:sym w:font="Symbol" w:char="F0AE"/>
      </w:r>
      <w:r w:rsidRPr="00007A3B">
        <w:rPr>
          <w:noProof/>
          <w:sz w:val="22"/>
          <w:szCs w:val="20"/>
          <w:highlight w:val="yellow"/>
          <w:lang w:val="fr-BE" w:eastAsia="en-GB"/>
        </w:rPr>
        <w:t xml:space="preserve"> doivent être envoyées au service </w:t>
      </w:r>
      <w:r w:rsidR="0066310A" w:rsidRPr="00007A3B">
        <w:rPr>
          <w:noProof/>
          <w:sz w:val="22"/>
          <w:szCs w:val="20"/>
          <w:highlight w:val="yellow"/>
          <w:lang w:val="fr-BE" w:eastAsia="en-GB"/>
        </w:rPr>
        <w:t>du tiers-payant</w:t>
      </w:r>
      <w:r w:rsidRPr="00007A3B">
        <w:rPr>
          <w:noProof/>
          <w:sz w:val="22"/>
          <w:szCs w:val="20"/>
          <w:highlight w:val="yellow"/>
          <w:lang w:val="fr-BE" w:eastAsia="en-GB"/>
        </w:rPr>
        <w:t xml:space="preserve"> de la mutuelle.</w:t>
      </w:r>
    </w:p>
    <w:p w14:paraId="59206BCA" w14:textId="77777777" w:rsidR="002E0499" w:rsidRPr="00007A3B" w:rsidRDefault="002E0499" w:rsidP="002E0499">
      <w:pPr>
        <w:jc w:val="both"/>
        <w:rPr>
          <w:noProof/>
          <w:sz w:val="22"/>
          <w:highlight w:val="yellow"/>
          <w:lang w:val="fr-BE" w:eastAsia="en-GB"/>
        </w:rPr>
      </w:pPr>
    </w:p>
    <w:p w14:paraId="486259E1" w14:textId="09B2AE40" w:rsidR="00994162" w:rsidRPr="00007A3B" w:rsidRDefault="0066310A" w:rsidP="00994162">
      <w:pPr>
        <w:jc w:val="both"/>
        <w:rPr>
          <w:noProof/>
          <w:sz w:val="22"/>
          <w:highlight w:val="yellow"/>
          <w:lang w:val="fr-BE" w:eastAsia="en-GB"/>
        </w:rPr>
      </w:pPr>
      <w:r w:rsidRPr="00007A3B">
        <w:rPr>
          <w:noProof/>
          <w:sz w:val="22"/>
          <w:highlight w:val="yellow"/>
          <w:lang w:val="fr-BE" w:eastAsia="en-GB"/>
        </w:rPr>
        <w:t>En annexe, vous trouverez, un tableau reprenant les adresses des organismes assureurs.</w:t>
      </w:r>
    </w:p>
    <w:p w14:paraId="26D39329" w14:textId="666D8C10" w:rsidR="0066310A" w:rsidRDefault="0066310A" w:rsidP="00994162">
      <w:pPr>
        <w:jc w:val="both"/>
        <w:rPr>
          <w:noProof/>
          <w:sz w:val="22"/>
          <w:lang w:val="fr-BE" w:eastAsia="en-GB"/>
        </w:rPr>
      </w:pPr>
      <w:r w:rsidRPr="00007A3B">
        <w:rPr>
          <w:noProof/>
          <w:sz w:val="22"/>
          <w:highlight w:val="yellow"/>
          <w:lang w:val="fr-BE" w:eastAsia="en-GB"/>
        </w:rPr>
        <w:t>NB : les OA 500 et 900 centralisent au niveau de leur service tiers-payant national qui assure le suivi vers le service du médecin-conseil.</w:t>
      </w:r>
    </w:p>
    <w:p w14:paraId="02F3B3E9" w14:textId="77777777" w:rsidR="0066310A" w:rsidRPr="005C6230" w:rsidRDefault="0066310A" w:rsidP="00994162">
      <w:pPr>
        <w:jc w:val="both"/>
        <w:rPr>
          <w:noProof/>
          <w:sz w:val="22"/>
          <w:lang w:val="fr-BE" w:eastAsia="en-GB"/>
        </w:rPr>
      </w:pPr>
    </w:p>
    <w:p w14:paraId="35F74E8A" w14:textId="77B917A0" w:rsidR="00994162" w:rsidRPr="005C6230" w:rsidRDefault="00994162" w:rsidP="00994162">
      <w:pPr>
        <w:jc w:val="both"/>
        <w:rPr>
          <w:b/>
          <w:noProof/>
          <w:sz w:val="22"/>
          <w:lang w:val="fr-BE" w:eastAsia="en-GB"/>
        </w:rPr>
      </w:pPr>
      <w:r w:rsidRPr="005C6230">
        <w:rPr>
          <w:b/>
          <w:noProof/>
          <w:sz w:val="22"/>
          <w:lang w:val="fr-BE" w:eastAsia="en-GB"/>
        </w:rPr>
        <w:t>Carnet du patient</w:t>
      </w:r>
    </w:p>
    <w:p w14:paraId="12CC5C39" w14:textId="71D8B3E1" w:rsidR="00994162" w:rsidRPr="005C6230" w:rsidRDefault="00994162" w:rsidP="00994162">
      <w:pPr>
        <w:jc w:val="both"/>
        <w:rPr>
          <w:noProof/>
          <w:sz w:val="22"/>
          <w:lang w:val="fr-BE" w:eastAsia="en-GB"/>
        </w:rPr>
      </w:pPr>
    </w:p>
    <w:p w14:paraId="365D3C00" w14:textId="191562F7" w:rsidR="009E44AC" w:rsidRPr="005C6230" w:rsidRDefault="0076347E" w:rsidP="00994162">
      <w:pPr>
        <w:jc w:val="both"/>
        <w:rPr>
          <w:noProof/>
          <w:sz w:val="22"/>
          <w:lang w:val="fr-BE" w:eastAsia="en-GB"/>
        </w:rPr>
      </w:pPr>
      <w:r w:rsidRPr="005C6230">
        <w:rPr>
          <w:noProof/>
          <w:sz w:val="22"/>
          <w:lang w:val="fr-BE" w:eastAsia="en-GB"/>
        </w:rPr>
        <w:t xml:space="preserve">Le patient reçoit un carnet du patient. Ce carnet a pour but d’aider le patient à gérer </w:t>
      </w:r>
      <w:r w:rsidR="009E44AC" w:rsidRPr="005C6230">
        <w:rPr>
          <w:noProof/>
          <w:sz w:val="22"/>
          <w:lang w:val="fr-BE" w:eastAsia="en-GB"/>
        </w:rPr>
        <w:t xml:space="preserve">la consommation de </w:t>
      </w:r>
      <w:r w:rsidRPr="005C6230">
        <w:rPr>
          <w:noProof/>
          <w:sz w:val="22"/>
          <w:lang w:val="fr-BE" w:eastAsia="en-GB"/>
        </w:rPr>
        <w:t xml:space="preserve">son matériel de stomie et constitue un moyen de communication essentiel entre les différents prestataires de soins impliqués dans le soin de la stomie et la gestion du matériel de stomie. </w:t>
      </w:r>
      <w:r w:rsidR="009E44AC" w:rsidRPr="005C6230">
        <w:rPr>
          <w:noProof/>
          <w:sz w:val="22"/>
          <w:lang w:val="fr-BE" w:eastAsia="en-GB"/>
        </w:rPr>
        <w:t>Ce carnet doit être établi pour chaque stomie/fistule.</w:t>
      </w:r>
    </w:p>
    <w:p w14:paraId="1FF855FF" w14:textId="77777777" w:rsidR="009E44AC" w:rsidRPr="005C6230" w:rsidRDefault="009E44AC" w:rsidP="00994162">
      <w:pPr>
        <w:jc w:val="both"/>
        <w:rPr>
          <w:noProof/>
          <w:sz w:val="22"/>
          <w:lang w:val="fr-BE" w:eastAsia="en-GB"/>
        </w:rPr>
      </w:pPr>
    </w:p>
    <w:p w14:paraId="2F981482" w14:textId="3510A573" w:rsidR="009E44AC" w:rsidRPr="005C6230" w:rsidRDefault="009E44AC" w:rsidP="00994162">
      <w:pPr>
        <w:jc w:val="both"/>
        <w:rPr>
          <w:noProof/>
          <w:sz w:val="22"/>
          <w:lang w:val="fr-BE" w:eastAsia="en-GB"/>
        </w:rPr>
      </w:pPr>
      <w:r w:rsidRPr="005C6230">
        <w:rPr>
          <w:noProof/>
          <w:sz w:val="22"/>
          <w:lang w:val="fr-BE" w:eastAsia="en-GB"/>
        </w:rPr>
        <w:t>La réglementation prévoit que l</w:t>
      </w:r>
      <w:r w:rsidR="00994162" w:rsidRPr="005C6230">
        <w:rPr>
          <w:noProof/>
          <w:sz w:val="22"/>
          <w:lang w:val="fr-BE" w:eastAsia="en-GB"/>
        </w:rPr>
        <w:t xml:space="preserve">e carnet du patient doit être fourni au patient lors de la première délivrance par le bandagiste agréé qui le complète. </w:t>
      </w:r>
      <w:r w:rsidRPr="005C6230">
        <w:rPr>
          <w:noProof/>
          <w:sz w:val="22"/>
          <w:lang w:val="fr-BE" w:eastAsia="en-GB"/>
        </w:rPr>
        <w:t>Néanmoins, lors de la sortie après la (première) opération de stomie, il est important de déjà fournir les informations nécessaires au patient et au bandagiste. Les premières pages du carnet du patient devraient idéalement être (en partie) remplies à l'hôpital et données au patient.</w:t>
      </w:r>
    </w:p>
    <w:p w14:paraId="4FA14080" w14:textId="13A330A2" w:rsidR="009E44AC" w:rsidRDefault="009E44AC" w:rsidP="00994162">
      <w:pPr>
        <w:jc w:val="both"/>
        <w:rPr>
          <w:noProof/>
          <w:sz w:val="22"/>
          <w:lang w:val="fr-BE" w:eastAsia="en-GB"/>
        </w:rPr>
      </w:pPr>
    </w:p>
    <w:p w14:paraId="768D8320" w14:textId="77777777" w:rsidR="0066310A" w:rsidRPr="005C6230" w:rsidRDefault="0066310A" w:rsidP="00994162">
      <w:pPr>
        <w:jc w:val="both"/>
        <w:rPr>
          <w:noProof/>
          <w:sz w:val="22"/>
          <w:lang w:val="fr-BE" w:eastAsia="en-GB"/>
        </w:rPr>
      </w:pPr>
    </w:p>
    <w:p w14:paraId="0FB4F15D" w14:textId="64825B05" w:rsidR="00994162" w:rsidRPr="005C6230" w:rsidRDefault="009E44AC" w:rsidP="00994162">
      <w:pPr>
        <w:jc w:val="both"/>
        <w:rPr>
          <w:noProof/>
          <w:sz w:val="22"/>
          <w:lang w:val="fr-BE" w:eastAsia="en-GB"/>
        </w:rPr>
      </w:pPr>
      <w:r w:rsidRPr="005C6230">
        <w:rPr>
          <w:noProof/>
          <w:sz w:val="22"/>
          <w:lang w:val="fr-BE" w:eastAsia="en-GB"/>
        </w:rPr>
        <w:lastRenderedPageBreak/>
        <w:t xml:space="preserve">Le carnet sera ensuite </w:t>
      </w:r>
      <w:r w:rsidR="00994162" w:rsidRPr="005C6230">
        <w:rPr>
          <w:noProof/>
          <w:sz w:val="22"/>
          <w:lang w:val="fr-BE" w:eastAsia="en-GB"/>
        </w:rPr>
        <w:t>complété au fur et à mesure</w:t>
      </w:r>
      <w:r w:rsidRPr="005C6230">
        <w:rPr>
          <w:noProof/>
          <w:sz w:val="22"/>
          <w:lang w:val="fr-BE" w:eastAsia="en-GB"/>
        </w:rPr>
        <w:t xml:space="preserve"> par le bandagiste</w:t>
      </w:r>
      <w:r w:rsidR="00994162" w:rsidRPr="005C6230">
        <w:rPr>
          <w:noProof/>
          <w:sz w:val="22"/>
          <w:lang w:val="fr-BE" w:eastAsia="en-GB"/>
        </w:rPr>
        <w:t>, notamment en y annexant une copie de chaque attestation de délivrance ainsi qu’une copie de chaque prescription médicale.</w:t>
      </w:r>
      <w:r w:rsidRPr="005C6230">
        <w:rPr>
          <w:noProof/>
          <w:sz w:val="22"/>
          <w:lang w:val="fr-BE" w:eastAsia="en-GB"/>
        </w:rPr>
        <w:t xml:space="preserve"> </w:t>
      </w:r>
      <w:r w:rsidR="00994162" w:rsidRPr="005C6230">
        <w:rPr>
          <w:noProof/>
          <w:sz w:val="22"/>
          <w:lang w:val="fr-BE" w:eastAsia="en-GB"/>
        </w:rPr>
        <w:t>D’autres dispensateurs de soins peuvent également transmettre des informations dans le document.</w:t>
      </w:r>
    </w:p>
    <w:p w14:paraId="1CDAC6AE" w14:textId="77777777" w:rsidR="009E44AC" w:rsidRPr="005C6230" w:rsidRDefault="009E44AC" w:rsidP="00B6650E">
      <w:pPr>
        <w:jc w:val="both"/>
        <w:rPr>
          <w:noProof/>
          <w:sz w:val="22"/>
          <w:lang w:val="fr-BE" w:eastAsia="en-GB"/>
        </w:rPr>
      </w:pPr>
    </w:p>
    <w:p w14:paraId="5FBD3692" w14:textId="1004B2AB" w:rsidR="00B6650E" w:rsidRPr="005C6230" w:rsidRDefault="00B6650E" w:rsidP="00B6650E">
      <w:pPr>
        <w:jc w:val="both"/>
        <w:rPr>
          <w:b/>
          <w:noProof/>
          <w:sz w:val="22"/>
          <w:lang w:val="fr-BE" w:eastAsia="en-GB"/>
        </w:rPr>
      </w:pPr>
      <w:r w:rsidRPr="005C6230">
        <w:rPr>
          <w:b/>
          <w:noProof/>
          <w:sz w:val="22"/>
          <w:lang w:val="fr-BE" w:eastAsia="en-GB"/>
        </w:rPr>
        <w:t>Irrigation manuelle ou mécanique</w:t>
      </w:r>
    </w:p>
    <w:p w14:paraId="78E36982" w14:textId="77777777" w:rsidR="00B6650E" w:rsidRPr="005C6230" w:rsidRDefault="00B6650E" w:rsidP="00B6650E">
      <w:pPr>
        <w:jc w:val="both"/>
        <w:rPr>
          <w:noProof/>
          <w:sz w:val="22"/>
          <w:lang w:val="fr-BE" w:eastAsia="en-GB"/>
        </w:rPr>
      </w:pPr>
    </w:p>
    <w:p w14:paraId="4753A4B3" w14:textId="77777777" w:rsidR="00B6650E" w:rsidRPr="005C6230" w:rsidRDefault="00B6650E" w:rsidP="00B6650E">
      <w:pPr>
        <w:contextualSpacing/>
        <w:jc w:val="both"/>
        <w:rPr>
          <w:rFonts w:cs="Arial"/>
          <w:sz w:val="22"/>
          <w:szCs w:val="22"/>
          <w:lang w:val="fr-BE" w:eastAsia="fr"/>
        </w:rPr>
      </w:pPr>
      <w:r w:rsidRPr="005C6230">
        <w:rPr>
          <w:rFonts w:cs="Arial"/>
          <w:sz w:val="22"/>
          <w:szCs w:val="22"/>
          <w:lang w:val="fr-BE" w:eastAsia="fr"/>
        </w:rPr>
        <w:t>Des interventions spécifiques sont prévus pour le matériel d’irrigation :</w:t>
      </w:r>
    </w:p>
    <w:p w14:paraId="6EE24642" w14:textId="77777777" w:rsidR="00B6650E" w:rsidRPr="005C6230" w:rsidRDefault="00B6650E" w:rsidP="00B6650E">
      <w:pPr>
        <w:pStyle w:val="ListParagraph"/>
        <w:numPr>
          <w:ilvl w:val="0"/>
          <w:numId w:val="2"/>
        </w:numPr>
        <w:jc w:val="both"/>
        <w:rPr>
          <w:rFonts w:cs="Arial"/>
          <w:sz w:val="22"/>
          <w:szCs w:val="22"/>
          <w:lang w:val="fr-BE" w:eastAsia="nl-BE"/>
        </w:rPr>
      </w:pPr>
      <w:r w:rsidRPr="005C6230">
        <w:rPr>
          <w:rFonts w:cs="Arial"/>
          <w:sz w:val="22"/>
          <w:szCs w:val="22"/>
          <w:lang w:val="fr-BE" w:eastAsia="fr"/>
        </w:rPr>
        <w:t>pour le set d’irrigation manuelle, l’intervention de l’assurance est octroyée maximum une fois par période de 6 mois.</w:t>
      </w:r>
    </w:p>
    <w:p w14:paraId="79AE4D01" w14:textId="3C161EF0" w:rsidR="00B6650E" w:rsidRPr="005C6230" w:rsidRDefault="00B6650E" w:rsidP="00B6650E">
      <w:pPr>
        <w:pStyle w:val="ListParagraph"/>
        <w:numPr>
          <w:ilvl w:val="0"/>
          <w:numId w:val="2"/>
        </w:numPr>
        <w:jc w:val="both"/>
        <w:rPr>
          <w:rFonts w:cs="Arial"/>
          <w:sz w:val="22"/>
          <w:szCs w:val="22"/>
          <w:lang w:val="fr-BE" w:eastAsia="nl-BE"/>
        </w:rPr>
      </w:pPr>
      <w:r w:rsidRPr="005C6230">
        <w:rPr>
          <w:rFonts w:cs="Arial"/>
          <w:sz w:val="22"/>
          <w:szCs w:val="22"/>
          <w:lang w:val="fr-BE" w:eastAsia="fr"/>
        </w:rPr>
        <w:t>pour la pompe d’irrigation,</w:t>
      </w:r>
      <w:r w:rsidRPr="005C6230">
        <w:rPr>
          <w:lang w:val="fr-BE"/>
        </w:rPr>
        <w:t xml:space="preserve"> </w:t>
      </w:r>
      <w:r w:rsidRPr="005C6230">
        <w:rPr>
          <w:rFonts w:cs="Arial"/>
          <w:sz w:val="22"/>
          <w:szCs w:val="22"/>
          <w:lang w:val="fr-BE" w:eastAsia="fr"/>
        </w:rPr>
        <w:t xml:space="preserve">l’intervention de l’assurance est octroyée pour une période de 36 mois et uniquement lorsque le </w:t>
      </w:r>
      <w:r w:rsidR="00D242E7" w:rsidRPr="005C6230">
        <w:rPr>
          <w:rFonts w:cs="Arial"/>
          <w:sz w:val="22"/>
          <w:szCs w:val="22"/>
          <w:lang w:val="fr-BE" w:eastAsia="fr"/>
        </w:rPr>
        <w:t>patient</w:t>
      </w:r>
      <w:r w:rsidRPr="005C6230">
        <w:rPr>
          <w:rFonts w:cs="Arial"/>
          <w:sz w:val="22"/>
          <w:szCs w:val="22"/>
          <w:lang w:val="fr-BE" w:eastAsia="fr"/>
        </w:rPr>
        <w:t xml:space="preserve"> s’est d’abord irrigué manuellement pendant au moins 6 mois.</w:t>
      </w:r>
    </w:p>
    <w:p w14:paraId="2ECD2975" w14:textId="77777777" w:rsidR="00B6650E" w:rsidRPr="005C6230" w:rsidRDefault="00B6650E" w:rsidP="00B6650E">
      <w:pPr>
        <w:jc w:val="both"/>
        <w:rPr>
          <w:noProof/>
          <w:sz w:val="22"/>
          <w:lang w:val="fr-BE" w:eastAsia="en-GB"/>
        </w:rPr>
      </w:pPr>
    </w:p>
    <w:p w14:paraId="0FBC3E5B" w14:textId="77777777" w:rsidR="00B6650E" w:rsidRPr="005C6230" w:rsidRDefault="00B6650E" w:rsidP="00B6650E">
      <w:pPr>
        <w:jc w:val="both"/>
        <w:rPr>
          <w:noProof/>
          <w:sz w:val="22"/>
          <w:lang w:val="fr-BE" w:eastAsia="en-GB"/>
        </w:rPr>
      </w:pPr>
      <w:r w:rsidRPr="005C6230">
        <w:rPr>
          <w:noProof/>
          <w:sz w:val="22"/>
          <w:lang w:val="fr-BE" w:eastAsia="en-GB"/>
        </w:rPr>
        <w:t>Ce type de matériel doit être prescrit (uniquement la première délivrance) via l’annexe 93 mais la facturation s’effectue via l’annexe 13 (attestation de fournitures destinée aux bandagistes et orthopédistes).</w:t>
      </w:r>
    </w:p>
    <w:p w14:paraId="43B0DC29" w14:textId="57970DD6" w:rsidR="00B6650E" w:rsidRPr="005C6230" w:rsidRDefault="00B6650E" w:rsidP="00B6650E">
      <w:pPr>
        <w:jc w:val="both"/>
        <w:rPr>
          <w:noProof/>
          <w:sz w:val="22"/>
          <w:lang w:val="fr-BE" w:eastAsia="en-GB"/>
        </w:rPr>
      </w:pPr>
    </w:p>
    <w:p w14:paraId="72FAE616" w14:textId="4479A632" w:rsidR="00B6650E" w:rsidRPr="005C6230" w:rsidRDefault="00220964" w:rsidP="00B6650E">
      <w:pPr>
        <w:jc w:val="both"/>
        <w:rPr>
          <w:noProof/>
          <w:sz w:val="22"/>
          <w:lang w:val="fr-BE" w:eastAsia="en-GB"/>
        </w:rPr>
      </w:pPr>
      <w:r w:rsidRPr="005C6230">
        <w:rPr>
          <w:noProof/>
          <w:sz w:val="22"/>
          <w:lang w:val="fr-BE" w:eastAsia="en-GB"/>
        </w:rPr>
        <w:t>L</w:t>
      </w:r>
      <w:r w:rsidR="002E0499" w:rsidRPr="005C6230">
        <w:rPr>
          <w:noProof/>
          <w:sz w:val="22"/>
          <w:lang w:val="fr-BE" w:eastAsia="en-GB"/>
        </w:rPr>
        <w:t xml:space="preserve">es patients ayant reçu le set d’irrigation dans l’ancienne nomenclature </w:t>
      </w:r>
      <w:r w:rsidRPr="005C6230">
        <w:rPr>
          <w:noProof/>
          <w:sz w:val="22"/>
          <w:lang w:val="fr-BE" w:eastAsia="en-GB"/>
        </w:rPr>
        <w:t>(prestation 640695</w:t>
      </w:r>
      <w:r w:rsidR="000B2858" w:rsidRPr="005C6230">
        <w:rPr>
          <w:noProof/>
          <w:sz w:val="22"/>
          <w:lang w:val="fr-BE" w:eastAsia="en-GB"/>
        </w:rPr>
        <w:t>)</w:t>
      </w:r>
      <w:r w:rsidRPr="005C6230">
        <w:rPr>
          <w:noProof/>
          <w:sz w:val="22"/>
          <w:lang w:val="fr-BE" w:eastAsia="en-GB"/>
        </w:rPr>
        <w:t xml:space="preserve"> </w:t>
      </w:r>
      <w:r w:rsidR="002E0499" w:rsidRPr="005C6230">
        <w:rPr>
          <w:noProof/>
          <w:sz w:val="22"/>
          <w:lang w:val="fr-BE" w:eastAsia="en-GB"/>
        </w:rPr>
        <w:t>peuvent directement passer à la pompe</w:t>
      </w:r>
      <w:r w:rsidRPr="005C6230">
        <w:rPr>
          <w:noProof/>
          <w:sz w:val="22"/>
          <w:lang w:val="fr-BE" w:eastAsia="en-GB"/>
        </w:rPr>
        <w:t xml:space="preserve"> d’irrigation.</w:t>
      </w:r>
    </w:p>
    <w:p w14:paraId="2D3BF4B2" w14:textId="2CC73460" w:rsidR="002E0499" w:rsidRPr="005C6230" w:rsidRDefault="002E0499" w:rsidP="00B6650E">
      <w:pPr>
        <w:jc w:val="both"/>
        <w:rPr>
          <w:noProof/>
          <w:sz w:val="22"/>
          <w:lang w:val="fr-BE" w:eastAsia="en-GB"/>
        </w:rPr>
      </w:pPr>
    </w:p>
    <w:p w14:paraId="1E59C7FD" w14:textId="77777777" w:rsidR="00B6650E" w:rsidRPr="005C6230" w:rsidRDefault="00B6650E" w:rsidP="00B6650E">
      <w:pPr>
        <w:jc w:val="both"/>
        <w:rPr>
          <w:b/>
          <w:noProof/>
          <w:sz w:val="22"/>
          <w:lang w:val="fr-BE" w:eastAsia="en-GB"/>
        </w:rPr>
      </w:pPr>
      <w:r w:rsidRPr="005C6230">
        <w:rPr>
          <w:b/>
          <w:noProof/>
          <w:sz w:val="22"/>
          <w:lang w:val="fr-BE" w:eastAsia="en-GB"/>
        </w:rPr>
        <w:t>Interventions forfaitaires pour patients hospitalisés</w:t>
      </w:r>
    </w:p>
    <w:p w14:paraId="755A0142" w14:textId="77777777" w:rsidR="00B6650E" w:rsidRPr="005C6230" w:rsidRDefault="00B6650E" w:rsidP="00B6650E">
      <w:pPr>
        <w:jc w:val="both"/>
        <w:rPr>
          <w:noProof/>
          <w:sz w:val="22"/>
          <w:lang w:val="fr-BE" w:eastAsia="en-GB"/>
        </w:rPr>
      </w:pPr>
    </w:p>
    <w:p w14:paraId="18EF44B4" w14:textId="5EB3B658" w:rsidR="00B6650E" w:rsidRPr="005C6230" w:rsidRDefault="00B6650E" w:rsidP="00B6650E">
      <w:pPr>
        <w:jc w:val="both"/>
        <w:rPr>
          <w:noProof/>
          <w:sz w:val="22"/>
          <w:lang w:val="fr-BE" w:eastAsia="en-GB"/>
        </w:rPr>
      </w:pPr>
      <w:r w:rsidRPr="005C6230">
        <w:rPr>
          <w:noProof/>
          <w:sz w:val="22"/>
          <w:lang w:val="fr-BE" w:eastAsia="en-GB"/>
        </w:rPr>
        <w:t xml:space="preserve">Pour un </w:t>
      </w:r>
      <w:r w:rsidR="00D242E7" w:rsidRPr="005C6230">
        <w:rPr>
          <w:noProof/>
          <w:sz w:val="22"/>
          <w:lang w:val="fr-BE" w:eastAsia="en-GB"/>
        </w:rPr>
        <w:t>patient</w:t>
      </w:r>
      <w:r w:rsidRPr="005C6230">
        <w:rPr>
          <w:noProof/>
          <w:sz w:val="22"/>
          <w:lang w:val="fr-BE" w:eastAsia="en-GB"/>
        </w:rPr>
        <w:t xml:space="preserve"> qui est admis dans un hôpital et pour lequel des dispositifs de stomie sont délivrés par l’hôpital pendant l’hospitalisation, l’hôpital peut porter en compte une intervention forfaitaire de l’assurance pour chaque journée d’hospitalisation pouvant être portée en compte.</w:t>
      </w:r>
    </w:p>
    <w:p w14:paraId="2E2B6D75" w14:textId="77777777" w:rsidR="00B6650E" w:rsidRPr="005C6230" w:rsidRDefault="00B6650E" w:rsidP="00B6650E">
      <w:pPr>
        <w:jc w:val="both"/>
        <w:rPr>
          <w:sz w:val="22"/>
          <w:lang w:val="fr-BE"/>
        </w:rPr>
      </w:pPr>
    </w:p>
    <w:p w14:paraId="5312E098" w14:textId="77777777" w:rsidR="00B6650E" w:rsidRPr="005C6230" w:rsidRDefault="00B6650E" w:rsidP="00B6650E">
      <w:pPr>
        <w:jc w:val="both"/>
        <w:rPr>
          <w:sz w:val="22"/>
          <w:lang w:val="fr-BE"/>
        </w:rPr>
      </w:pPr>
      <w:r w:rsidRPr="005C6230">
        <w:rPr>
          <w:sz w:val="22"/>
          <w:lang w:val="fr-BE"/>
        </w:rPr>
        <w:t>La fin de la période de validité des autres interventions de l’assurance n’est pas modifiée suite à l’hospitalisation.</w:t>
      </w:r>
    </w:p>
    <w:p w14:paraId="163EFED0" w14:textId="77777777" w:rsidR="00B6650E" w:rsidRPr="005C6230" w:rsidRDefault="00B6650E" w:rsidP="00B6650E">
      <w:pPr>
        <w:jc w:val="both"/>
        <w:rPr>
          <w:sz w:val="22"/>
          <w:lang w:val="fr-BE"/>
        </w:rPr>
      </w:pPr>
    </w:p>
    <w:p w14:paraId="09C23201" w14:textId="21C05991" w:rsidR="00B6650E" w:rsidRPr="005C6230" w:rsidRDefault="00B6650E" w:rsidP="00B6650E">
      <w:pPr>
        <w:jc w:val="both"/>
        <w:rPr>
          <w:noProof/>
          <w:sz w:val="22"/>
          <w:lang w:val="fr-BE" w:eastAsia="en-GB"/>
        </w:rPr>
      </w:pPr>
      <w:r w:rsidRPr="00007A3B">
        <w:rPr>
          <w:sz w:val="22"/>
          <w:highlight w:val="yellow"/>
          <w:lang w:val="fr-BE"/>
        </w:rPr>
        <w:t xml:space="preserve">Pour ces interventions forfaitaires, le prescripteur ne doit pas utiliser l’annexe 93 et la facturation s’effectue via </w:t>
      </w:r>
      <w:r w:rsidR="0066310A" w:rsidRPr="00007A3B">
        <w:rPr>
          <w:sz w:val="22"/>
          <w:highlight w:val="yellow"/>
          <w:lang w:val="fr-BE"/>
        </w:rPr>
        <w:t xml:space="preserve">la facturation </w:t>
      </w:r>
      <w:r w:rsidR="00004EDA" w:rsidRPr="00007A3B">
        <w:rPr>
          <w:sz w:val="22"/>
          <w:highlight w:val="yellow"/>
          <w:lang w:val="fr-BE"/>
        </w:rPr>
        <w:t>électronique (perception centrale)</w:t>
      </w:r>
      <w:r w:rsidRPr="00007A3B">
        <w:rPr>
          <w:noProof/>
          <w:sz w:val="22"/>
          <w:highlight w:val="yellow"/>
          <w:lang w:val="fr-BE" w:eastAsia="en-GB"/>
        </w:rPr>
        <w:t>.</w:t>
      </w:r>
      <w:bookmarkStart w:id="1" w:name="_GoBack"/>
      <w:bookmarkEnd w:id="1"/>
    </w:p>
    <w:p w14:paraId="7A050BEE" w14:textId="45B2DC71" w:rsidR="00B6650E" w:rsidRPr="005C6230" w:rsidRDefault="00B6650E" w:rsidP="00B6650E">
      <w:pPr>
        <w:jc w:val="both"/>
        <w:rPr>
          <w:noProof/>
          <w:sz w:val="22"/>
          <w:lang w:val="fr-BE" w:eastAsia="en-GB"/>
        </w:rPr>
      </w:pPr>
    </w:p>
    <w:p w14:paraId="17BAD08F" w14:textId="0ECF5774" w:rsidR="00994162" w:rsidRPr="005C6230" w:rsidRDefault="008E16F5" w:rsidP="00994162">
      <w:pPr>
        <w:jc w:val="both"/>
        <w:rPr>
          <w:b/>
          <w:noProof/>
          <w:sz w:val="22"/>
          <w:lang w:val="fr-BE" w:eastAsia="en-GB"/>
        </w:rPr>
      </w:pPr>
      <w:r w:rsidRPr="005C6230">
        <w:rPr>
          <w:b/>
          <w:noProof/>
          <w:sz w:val="22"/>
          <w:lang w:val="fr-BE" w:eastAsia="en-GB"/>
        </w:rPr>
        <w:t>Règles de facturation</w:t>
      </w:r>
    </w:p>
    <w:p w14:paraId="6D4078AA" w14:textId="435AB929" w:rsidR="008E16F5" w:rsidRPr="005C6230" w:rsidRDefault="008E16F5" w:rsidP="00994162">
      <w:pPr>
        <w:jc w:val="both"/>
        <w:rPr>
          <w:noProof/>
          <w:sz w:val="22"/>
          <w:szCs w:val="20"/>
          <w:lang w:val="fr-BE" w:eastAsia="en-GB"/>
        </w:rPr>
      </w:pPr>
    </w:p>
    <w:p w14:paraId="08814EF4" w14:textId="71001057" w:rsidR="00B6650E" w:rsidRPr="005C6230" w:rsidRDefault="00B6650E" w:rsidP="00994162">
      <w:pPr>
        <w:jc w:val="both"/>
        <w:rPr>
          <w:noProof/>
          <w:sz w:val="22"/>
          <w:szCs w:val="20"/>
          <w:lang w:val="fr-BE" w:eastAsia="en-GB"/>
        </w:rPr>
      </w:pPr>
      <w:r w:rsidRPr="005C6230">
        <w:rPr>
          <w:noProof/>
          <w:sz w:val="22"/>
          <w:szCs w:val="20"/>
          <w:lang w:val="fr-BE" w:eastAsia="en-GB"/>
        </w:rPr>
        <w:t>L’application du régime du tiers payant est obligatoire pour le paiement de l'intervention de l'assurance dans le coût des prestations de santé relative au matériel de stomie.</w:t>
      </w:r>
    </w:p>
    <w:p w14:paraId="34895960" w14:textId="44993584" w:rsidR="00B6650E" w:rsidRPr="005C6230" w:rsidRDefault="00B6650E" w:rsidP="00994162">
      <w:pPr>
        <w:jc w:val="both"/>
        <w:rPr>
          <w:noProof/>
          <w:sz w:val="22"/>
          <w:szCs w:val="20"/>
          <w:lang w:val="fr-BE" w:eastAsia="en-GB"/>
        </w:rPr>
      </w:pPr>
    </w:p>
    <w:p w14:paraId="513D7895" w14:textId="77777777" w:rsidR="00D242E7" w:rsidRPr="005C6230" w:rsidRDefault="00D242E7" w:rsidP="00D242E7">
      <w:pPr>
        <w:jc w:val="both"/>
        <w:rPr>
          <w:rStyle w:val="hps"/>
          <w:rFonts w:cs="Arial"/>
          <w:sz w:val="22"/>
          <w:szCs w:val="22"/>
          <w:lang w:val="fr-BE"/>
        </w:rPr>
      </w:pPr>
      <w:r w:rsidRPr="005C6230">
        <w:rPr>
          <w:rStyle w:val="hps"/>
          <w:rFonts w:cs="Arial"/>
          <w:sz w:val="22"/>
          <w:szCs w:val="22"/>
          <w:lang w:val="fr-BE"/>
        </w:rPr>
        <w:t>Il n’est pour l’instant pas possible de reporter le budget non utilisé à la période suivante (budget glissant).</w:t>
      </w:r>
    </w:p>
    <w:p w14:paraId="44A6E21E" w14:textId="2D928204" w:rsidR="00D242E7" w:rsidRPr="005C6230" w:rsidRDefault="00D242E7" w:rsidP="00994162">
      <w:pPr>
        <w:jc w:val="both"/>
        <w:rPr>
          <w:noProof/>
          <w:sz w:val="22"/>
          <w:szCs w:val="20"/>
          <w:lang w:val="fr-BE" w:eastAsia="en-GB"/>
        </w:rPr>
      </w:pPr>
    </w:p>
    <w:p w14:paraId="1520D010" w14:textId="3916EBE5" w:rsidR="008E16F5" w:rsidRPr="005C6230" w:rsidRDefault="008E16F5" w:rsidP="008E16F5">
      <w:pPr>
        <w:jc w:val="both"/>
        <w:rPr>
          <w:noProof/>
          <w:sz w:val="22"/>
          <w:szCs w:val="20"/>
          <w:lang w:val="fr-BE" w:eastAsia="en-GB"/>
        </w:rPr>
      </w:pPr>
      <w:r w:rsidRPr="005C6230">
        <w:rPr>
          <w:noProof/>
          <w:sz w:val="22"/>
          <w:szCs w:val="20"/>
          <w:lang w:val="fr-BE" w:eastAsia="en-GB"/>
        </w:rPr>
        <w:t>Le premier trimestre débute le premier jour du mois au cours duquel la première délivrance en ambulatoire a lieu.</w:t>
      </w:r>
    </w:p>
    <w:p w14:paraId="26DABFB2" w14:textId="77777777" w:rsidR="008E16F5" w:rsidRPr="005C6230" w:rsidRDefault="008E16F5" w:rsidP="008E16F5">
      <w:pPr>
        <w:jc w:val="both"/>
        <w:rPr>
          <w:noProof/>
          <w:sz w:val="22"/>
          <w:szCs w:val="20"/>
          <w:lang w:val="fr-BE" w:eastAsia="en-GB"/>
        </w:rPr>
      </w:pPr>
    </w:p>
    <w:p w14:paraId="1D428B7D" w14:textId="77777777" w:rsidR="008E16F5" w:rsidRPr="005C6230" w:rsidRDefault="008E16F5" w:rsidP="008E16F5">
      <w:pPr>
        <w:jc w:val="both"/>
        <w:rPr>
          <w:noProof/>
          <w:sz w:val="22"/>
          <w:szCs w:val="20"/>
          <w:lang w:val="fr-BE" w:eastAsia="en-GB"/>
        </w:rPr>
      </w:pPr>
      <w:r w:rsidRPr="005C6230">
        <w:rPr>
          <w:noProof/>
          <w:sz w:val="22"/>
          <w:szCs w:val="20"/>
          <w:lang w:val="fr-BE" w:eastAsia="en-GB"/>
        </w:rPr>
        <w:t>La première délivrance qui suit chaque nouvelle intervention chirurgicale de la même stomie ou de la même fistule est considérée comme une nouvelle première délivrance.</w:t>
      </w:r>
    </w:p>
    <w:p w14:paraId="131C015D" w14:textId="77777777" w:rsidR="008E16F5" w:rsidRPr="005C6230" w:rsidRDefault="008E16F5" w:rsidP="00994162">
      <w:pPr>
        <w:jc w:val="both"/>
        <w:rPr>
          <w:noProof/>
          <w:sz w:val="22"/>
          <w:lang w:val="fr-BE" w:eastAsia="en-GB"/>
        </w:rPr>
      </w:pPr>
    </w:p>
    <w:p w14:paraId="039FC0D8" w14:textId="240FFAA1" w:rsidR="008E16F5" w:rsidRPr="005C6230" w:rsidRDefault="008E16F5" w:rsidP="008E16F5">
      <w:pPr>
        <w:jc w:val="both"/>
        <w:rPr>
          <w:noProof/>
          <w:sz w:val="22"/>
          <w:szCs w:val="20"/>
          <w:lang w:val="fr-BE" w:eastAsia="en-GB"/>
        </w:rPr>
      </w:pPr>
      <w:r w:rsidRPr="005C6230">
        <w:rPr>
          <w:noProof/>
          <w:sz w:val="22"/>
          <w:szCs w:val="20"/>
          <w:lang w:val="fr-BE" w:eastAsia="en-GB"/>
        </w:rPr>
        <w:t xml:space="preserve">En cas de fermeture de la stomie ou de la fistule, le </w:t>
      </w:r>
      <w:r w:rsidR="00D242E7" w:rsidRPr="005C6230">
        <w:rPr>
          <w:noProof/>
          <w:sz w:val="22"/>
          <w:szCs w:val="20"/>
          <w:lang w:val="fr-BE" w:eastAsia="en-GB"/>
        </w:rPr>
        <w:t>patient</w:t>
      </w:r>
      <w:r w:rsidRPr="005C6230">
        <w:rPr>
          <w:noProof/>
          <w:sz w:val="22"/>
          <w:szCs w:val="20"/>
          <w:lang w:val="fr-BE" w:eastAsia="en-GB"/>
        </w:rPr>
        <w:t xml:space="preserve"> a droit à l’intervention de l’assurance pour le trimestre en cours. Après la fermeture de la stomie ou de la fistule, il ne peut plus être délivré de dispositifs de stomie.</w:t>
      </w:r>
    </w:p>
    <w:p w14:paraId="22B5C429" w14:textId="77777777" w:rsidR="008E16F5" w:rsidRPr="005C6230" w:rsidRDefault="008E16F5" w:rsidP="008E16F5">
      <w:pPr>
        <w:jc w:val="both"/>
        <w:rPr>
          <w:noProof/>
          <w:sz w:val="22"/>
          <w:szCs w:val="20"/>
          <w:lang w:val="fr-BE" w:eastAsia="en-GB"/>
        </w:rPr>
      </w:pPr>
    </w:p>
    <w:p w14:paraId="46E83A46" w14:textId="42F88266" w:rsidR="00994162" w:rsidRPr="005C6230" w:rsidRDefault="008E16F5" w:rsidP="00994162">
      <w:pPr>
        <w:jc w:val="both"/>
        <w:rPr>
          <w:noProof/>
          <w:sz w:val="22"/>
          <w:szCs w:val="20"/>
          <w:lang w:val="fr-BE" w:eastAsia="en-GB"/>
        </w:rPr>
      </w:pPr>
      <w:r w:rsidRPr="005C6230">
        <w:rPr>
          <w:noProof/>
          <w:sz w:val="22"/>
          <w:szCs w:val="20"/>
          <w:lang w:val="fr-BE" w:eastAsia="en-GB"/>
        </w:rPr>
        <w:lastRenderedPageBreak/>
        <w:t>La date de fin de validité de la prescription (systèmes convexes/concaves et/ou situation exceptionnelle) sera, le cas échéant, prolongée jusqu’au dernier jour du trimestre en cours.</w:t>
      </w:r>
    </w:p>
    <w:p w14:paraId="302C89CE" w14:textId="77777777" w:rsidR="00B6650E" w:rsidRPr="005C6230" w:rsidRDefault="00B6650E" w:rsidP="00994162">
      <w:pPr>
        <w:jc w:val="both"/>
        <w:rPr>
          <w:noProof/>
          <w:sz w:val="22"/>
          <w:szCs w:val="20"/>
          <w:lang w:val="fr-BE" w:eastAsia="en-GB"/>
        </w:rPr>
      </w:pPr>
    </w:p>
    <w:p w14:paraId="19DE3547" w14:textId="2ADAF5F0" w:rsidR="00822A8D" w:rsidRPr="005C6230" w:rsidRDefault="00822A8D" w:rsidP="003734B8">
      <w:pPr>
        <w:jc w:val="both"/>
        <w:rPr>
          <w:b/>
          <w:sz w:val="22"/>
          <w:lang w:val="fr-BE"/>
        </w:rPr>
      </w:pPr>
      <w:r w:rsidRPr="005C6230">
        <w:rPr>
          <w:b/>
          <w:sz w:val="22"/>
          <w:lang w:val="fr-BE"/>
        </w:rPr>
        <w:t>Cas particuliers :</w:t>
      </w:r>
    </w:p>
    <w:p w14:paraId="7AD54CCE" w14:textId="77777777" w:rsidR="00822A8D" w:rsidRPr="005C6230" w:rsidRDefault="00822A8D" w:rsidP="003734B8">
      <w:pPr>
        <w:jc w:val="both"/>
        <w:rPr>
          <w:b/>
          <w:i/>
          <w:sz w:val="22"/>
          <w:lang w:val="fr-BE"/>
        </w:rPr>
      </w:pPr>
    </w:p>
    <w:p w14:paraId="33566442" w14:textId="5DAA05EC" w:rsidR="00822A8D" w:rsidRPr="005C6230" w:rsidRDefault="00822A8D" w:rsidP="003734B8">
      <w:pPr>
        <w:jc w:val="both"/>
        <w:rPr>
          <w:b/>
          <w:i/>
          <w:sz w:val="22"/>
          <w:lang w:val="fr-BE"/>
        </w:rPr>
      </w:pPr>
      <w:r w:rsidRPr="005C6230">
        <w:rPr>
          <w:b/>
          <w:i/>
          <w:sz w:val="22"/>
          <w:lang w:val="fr-BE"/>
        </w:rPr>
        <w:t xml:space="preserve">Cas 1 - Changement dans l’intervention maximale </w:t>
      </w:r>
      <w:r w:rsidR="004B7C88" w:rsidRPr="005C6230">
        <w:rPr>
          <w:b/>
          <w:i/>
          <w:sz w:val="22"/>
          <w:lang w:val="fr-BE"/>
        </w:rPr>
        <w:t>en cours de trimestre</w:t>
      </w:r>
    </w:p>
    <w:p w14:paraId="1CCF39BA" w14:textId="2B513554" w:rsidR="00F269CA" w:rsidRPr="005C6230" w:rsidRDefault="00F269CA" w:rsidP="003734B8">
      <w:pPr>
        <w:jc w:val="both"/>
        <w:rPr>
          <w:sz w:val="22"/>
          <w:lang w:val="fr-BE"/>
        </w:rPr>
      </w:pPr>
    </w:p>
    <w:p w14:paraId="6E62336B" w14:textId="3B53B07A" w:rsidR="00822A8D" w:rsidRPr="005C6230" w:rsidRDefault="00822A8D" w:rsidP="003734B8">
      <w:pPr>
        <w:jc w:val="both"/>
        <w:rPr>
          <w:sz w:val="22"/>
          <w:lang w:val="fr-BE"/>
        </w:rPr>
      </w:pPr>
      <w:r w:rsidRPr="005C6230">
        <w:rPr>
          <w:sz w:val="22"/>
          <w:lang w:val="fr-BE"/>
        </w:rPr>
        <w:t>Si durant un trimestre, une nouvelle prescription donne droit à une intervention plus élevée (</w:t>
      </w:r>
      <w:r w:rsidR="00567394" w:rsidRPr="005C6230">
        <w:rPr>
          <w:sz w:val="22"/>
          <w:lang w:val="fr-BE"/>
        </w:rPr>
        <w:t>systèmes</w:t>
      </w:r>
      <w:r w:rsidRPr="005C6230">
        <w:rPr>
          <w:sz w:val="22"/>
          <w:lang w:val="fr-BE"/>
        </w:rPr>
        <w:t xml:space="preserve"> convexes/concaves et/ou situation exceptio</w:t>
      </w:r>
      <w:r w:rsidR="00C37C28" w:rsidRPr="005C6230">
        <w:rPr>
          <w:sz w:val="22"/>
          <w:lang w:val="fr-BE"/>
        </w:rPr>
        <w:t>nnelle), les dates du trimestre</w:t>
      </w:r>
      <w:r w:rsidRPr="005C6230">
        <w:rPr>
          <w:sz w:val="22"/>
          <w:lang w:val="fr-BE"/>
        </w:rPr>
        <w:t xml:space="preserve"> sont conservées et le montant de l’intervention est adapté à la hausse pour la période. Si un supplément a déjà été facturé au patient durant le trimestre en cours, il reste à charge de celui-ci.</w:t>
      </w:r>
    </w:p>
    <w:p w14:paraId="25B15E9E" w14:textId="2087A991" w:rsidR="00822A8D" w:rsidRPr="005C6230" w:rsidRDefault="00822A8D" w:rsidP="003734B8">
      <w:pPr>
        <w:jc w:val="both"/>
        <w:rPr>
          <w:sz w:val="22"/>
          <w:lang w:val="fr-BE"/>
        </w:rPr>
      </w:pPr>
    </w:p>
    <w:p w14:paraId="0F80F52C" w14:textId="591D4F4C" w:rsidR="00822A8D" w:rsidRPr="005C6230" w:rsidRDefault="00822A8D" w:rsidP="003734B8">
      <w:pPr>
        <w:jc w:val="both"/>
        <w:rPr>
          <w:sz w:val="22"/>
          <w:lang w:val="fr-BE"/>
        </w:rPr>
      </w:pPr>
      <w:r w:rsidRPr="005C6230">
        <w:rPr>
          <w:sz w:val="22"/>
          <w:lang w:val="fr-BE"/>
        </w:rPr>
        <w:t xml:space="preserve">Si durant un trimestre, la validité d’une prescription pour </w:t>
      </w:r>
      <w:r w:rsidR="00567394" w:rsidRPr="005C6230">
        <w:rPr>
          <w:sz w:val="22"/>
          <w:lang w:val="fr-BE"/>
        </w:rPr>
        <w:t>systèmes</w:t>
      </w:r>
      <w:r w:rsidRPr="005C6230">
        <w:rPr>
          <w:sz w:val="22"/>
          <w:lang w:val="fr-BE"/>
        </w:rPr>
        <w:t xml:space="preserve"> convexes/concaves et/ou situation exceptionnelle arrive à échéance, la validité de cette prescription est prolongée jusqu’à la fin du trimestre e</w:t>
      </w:r>
      <w:r w:rsidR="004B7C88" w:rsidRPr="005C6230">
        <w:rPr>
          <w:sz w:val="22"/>
          <w:lang w:val="fr-BE"/>
        </w:rPr>
        <w:t>n cours. Au trimestre suivant, le patient retombe à une intervention moins élevée</w:t>
      </w:r>
      <w:r w:rsidR="00C37C28" w:rsidRPr="005C6230">
        <w:rPr>
          <w:sz w:val="22"/>
          <w:lang w:val="fr-BE"/>
        </w:rPr>
        <w:t xml:space="preserve"> sauf s’il se procure une nouvelle prescription</w:t>
      </w:r>
      <w:r w:rsidR="004B7C88" w:rsidRPr="005C6230">
        <w:rPr>
          <w:sz w:val="22"/>
          <w:lang w:val="fr-BE"/>
        </w:rPr>
        <w:t>.</w:t>
      </w:r>
    </w:p>
    <w:p w14:paraId="579CB889" w14:textId="326040E1" w:rsidR="004B7C88" w:rsidRPr="005C6230" w:rsidRDefault="004B7C88" w:rsidP="003734B8">
      <w:pPr>
        <w:jc w:val="both"/>
        <w:rPr>
          <w:sz w:val="22"/>
          <w:lang w:val="fr-BE"/>
        </w:rPr>
      </w:pPr>
    </w:p>
    <w:p w14:paraId="31A5BACD" w14:textId="5E054822" w:rsidR="004B7C88" w:rsidRPr="005C6230" w:rsidRDefault="004B7C88" w:rsidP="003734B8">
      <w:pPr>
        <w:jc w:val="both"/>
        <w:rPr>
          <w:b/>
          <w:i/>
          <w:sz w:val="22"/>
          <w:lang w:val="fr-BE"/>
        </w:rPr>
      </w:pPr>
      <w:r w:rsidRPr="005C6230">
        <w:rPr>
          <w:b/>
          <w:i/>
          <w:sz w:val="22"/>
          <w:lang w:val="fr-BE"/>
        </w:rPr>
        <w:t>Cas 2 – Réopération d’une stomie </w:t>
      </w:r>
    </w:p>
    <w:p w14:paraId="0BAD256F" w14:textId="0C81C814" w:rsidR="004B7C88" w:rsidRPr="005C6230" w:rsidRDefault="004B7C88" w:rsidP="003734B8">
      <w:pPr>
        <w:jc w:val="both"/>
        <w:rPr>
          <w:sz w:val="22"/>
          <w:lang w:val="fr-BE"/>
        </w:rPr>
      </w:pPr>
    </w:p>
    <w:p w14:paraId="2392E746" w14:textId="6A6BD5C6" w:rsidR="004B7C88" w:rsidRPr="005C6230" w:rsidRDefault="004B7C88" w:rsidP="004B7C88">
      <w:pPr>
        <w:jc w:val="both"/>
        <w:rPr>
          <w:sz w:val="22"/>
          <w:lang w:val="fr-BE"/>
        </w:rPr>
      </w:pPr>
      <w:r w:rsidRPr="005C6230">
        <w:rPr>
          <w:sz w:val="22"/>
          <w:lang w:val="fr-BE"/>
        </w:rPr>
        <w:t>Si une stomie est réopérée, on considère que la stomie</w:t>
      </w:r>
      <w:r w:rsidR="00953181" w:rsidRPr="005C6230">
        <w:rPr>
          <w:sz w:val="22"/>
          <w:lang w:val="fr-BE"/>
        </w:rPr>
        <w:t xml:space="preserve"> existante</w:t>
      </w:r>
      <w:r w:rsidRPr="005C6230">
        <w:rPr>
          <w:sz w:val="22"/>
          <w:lang w:val="fr-BE"/>
        </w:rPr>
        <w:t xml:space="preserve"> est refermée et qu’une nouvelle stomie </w:t>
      </w:r>
      <w:r w:rsidR="00953181" w:rsidRPr="005C6230">
        <w:rPr>
          <w:sz w:val="22"/>
          <w:lang w:val="fr-BE"/>
        </w:rPr>
        <w:t>commence</w:t>
      </w:r>
      <w:r w:rsidRPr="005C6230">
        <w:rPr>
          <w:sz w:val="22"/>
          <w:lang w:val="fr-BE"/>
        </w:rPr>
        <w:t xml:space="preserve">. </w:t>
      </w:r>
    </w:p>
    <w:p w14:paraId="35F89698" w14:textId="1A7FF4B9" w:rsidR="004B7C88" w:rsidRPr="005C6230" w:rsidRDefault="004B7C88" w:rsidP="004B7C88">
      <w:pPr>
        <w:jc w:val="both"/>
        <w:rPr>
          <w:sz w:val="22"/>
          <w:lang w:val="fr-BE"/>
        </w:rPr>
      </w:pPr>
      <w:r w:rsidRPr="005C6230">
        <w:rPr>
          <w:sz w:val="22"/>
          <w:lang w:val="fr-BE"/>
        </w:rPr>
        <w:t>L’intervention pour la stomie refermée est valable jusqu’au dernier jour du trimestre concerné.</w:t>
      </w:r>
    </w:p>
    <w:p w14:paraId="289A2A9D" w14:textId="343DDF3E" w:rsidR="004B7C88" w:rsidRPr="005C6230" w:rsidRDefault="004B7C88" w:rsidP="004B7C88">
      <w:pPr>
        <w:jc w:val="both"/>
        <w:rPr>
          <w:sz w:val="22"/>
          <w:lang w:val="fr-BE"/>
        </w:rPr>
      </w:pPr>
      <w:r w:rsidRPr="005C6230">
        <w:rPr>
          <w:sz w:val="22"/>
          <w:lang w:val="fr-BE"/>
        </w:rPr>
        <w:t>Le 1</w:t>
      </w:r>
      <w:r w:rsidRPr="005C6230">
        <w:rPr>
          <w:sz w:val="22"/>
          <w:vertAlign w:val="superscript"/>
          <w:lang w:val="fr-BE"/>
        </w:rPr>
        <w:t>er</w:t>
      </w:r>
      <w:r w:rsidRPr="005C6230">
        <w:rPr>
          <w:sz w:val="22"/>
          <w:lang w:val="fr-BE"/>
        </w:rPr>
        <w:t xml:space="preserve"> trimestre de la nouvelle stomie débute le 1</w:t>
      </w:r>
      <w:r w:rsidRPr="005C6230">
        <w:rPr>
          <w:sz w:val="22"/>
          <w:vertAlign w:val="superscript"/>
          <w:lang w:val="fr-BE"/>
        </w:rPr>
        <w:t>er</w:t>
      </w:r>
      <w:r w:rsidRPr="005C6230">
        <w:rPr>
          <w:sz w:val="22"/>
          <w:lang w:val="fr-BE"/>
        </w:rPr>
        <w:t xml:space="preserve"> jour du mois durant lequel une délivrance à lieu après l’opération. Le patient a droit aux interventions majorées pour le premier trimestre de cette stomie et un nouveau carnet de patient doit lui être délivré.</w:t>
      </w:r>
    </w:p>
    <w:p w14:paraId="743FDABE" w14:textId="50B7A36F" w:rsidR="004B7C88" w:rsidRPr="005C6230" w:rsidRDefault="004B7C88" w:rsidP="003734B8">
      <w:pPr>
        <w:jc w:val="both"/>
        <w:rPr>
          <w:sz w:val="22"/>
          <w:lang w:val="fr-BE"/>
        </w:rPr>
      </w:pPr>
    </w:p>
    <w:p w14:paraId="3005AF45" w14:textId="7EE29170" w:rsidR="004B7C88" w:rsidRPr="005C6230" w:rsidRDefault="004B7C88" w:rsidP="003734B8">
      <w:pPr>
        <w:jc w:val="both"/>
        <w:rPr>
          <w:b/>
          <w:i/>
          <w:sz w:val="22"/>
          <w:lang w:val="fr-BE"/>
        </w:rPr>
      </w:pPr>
      <w:r w:rsidRPr="005C6230">
        <w:rPr>
          <w:b/>
          <w:i/>
          <w:sz w:val="22"/>
          <w:lang w:val="fr-BE"/>
        </w:rPr>
        <w:t>Cas 3 – Ouverture d’une stomie supplémentaire</w:t>
      </w:r>
    </w:p>
    <w:p w14:paraId="54F27FA1" w14:textId="76172CC2" w:rsidR="004B7C88" w:rsidRPr="005C6230" w:rsidRDefault="004B7C88" w:rsidP="003734B8">
      <w:pPr>
        <w:jc w:val="both"/>
        <w:rPr>
          <w:sz w:val="22"/>
          <w:lang w:val="fr-BE"/>
        </w:rPr>
      </w:pPr>
    </w:p>
    <w:p w14:paraId="721D168B" w14:textId="47BCC3F0" w:rsidR="004B7C88" w:rsidRPr="005C6230" w:rsidRDefault="004B7C88" w:rsidP="003734B8">
      <w:pPr>
        <w:jc w:val="both"/>
        <w:rPr>
          <w:sz w:val="22"/>
          <w:lang w:val="fr-BE"/>
        </w:rPr>
      </w:pPr>
      <w:r w:rsidRPr="005C6230">
        <w:rPr>
          <w:sz w:val="22"/>
          <w:lang w:val="fr-BE"/>
        </w:rPr>
        <w:t xml:space="preserve">Il est possible de cumuler plusieurs stomies et donc plusieurs interventions si ces stomies nécessitent </w:t>
      </w:r>
      <w:r w:rsidR="00953181" w:rsidRPr="005C6230">
        <w:rPr>
          <w:sz w:val="22"/>
          <w:lang w:val="fr-BE"/>
        </w:rPr>
        <w:t>un appareillage</w:t>
      </w:r>
      <w:r w:rsidRPr="005C6230">
        <w:rPr>
          <w:sz w:val="22"/>
          <w:lang w:val="fr-BE"/>
        </w:rPr>
        <w:t xml:space="preserve"> distinct. </w:t>
      </w:r>
    </w:p>
    <w:p w14:paraId="55F13DD8" w14:textId="3D363F5B" w:rsidR="004B7C88" w:rsidRPr="005C6230" w:rsidRDefault="004B7C88" w:rsidP="004B7C88">
      <w:pPr>
        <w:jc w:val="both"/>
        <w:rPr>
          <w:sz w:val="22"/>
          <w:lang w:val="fr-BE"/>
        </w:rPr>
      </w:pPr>
      <w:r w:rsidRPr="005C6230">
        <w:rPr>
          <w:sz w:val="22"/>
          <w:lang w:val="fr-BE"/>
        </w:rPr>
        <w:t>Chaque stomie suit son propre calendrier et son propre décompte</w:t>
      </w:r>
      <w:r w:rsidR="00953181" w:rsidRPr="005C6230">
        <w:rPr>
          <w:sz w:val="22"/>
          <w:lang w:val="fr-BE"/>
        </w:rPr>
        <w:t xml:space="preserve"> (dans des carnets distincts)</w:t>
      </w:r>
      <w:r w:rsidRPr="005C6230">
        <w:rPr>
          <w:sz w:val="22"/>
          <w:lang w:val="fr-BE"/>
        </w:rPr>
        <w:t>. Le bandagiste doit attribuer chaque matériel délivré à une des stomies.</w:t>
      </w:r>
    </w:p>
    <w:p w14:paraId="4CF323F7" w14:textId="26B7A176" w:rsidR="004B7C88" w:rsidRPr="005C6230" w:rsidRDefault="004B7C88" w:rsidP="003734B8">
      <w:pPr>
        <w:jc w:val="both"/>
        <w:rPr>
          <w:sz w:val="22"/>
          <w:lang w:val="fr-BE"/>
        </w:rPr>
      </w:pPr>
    </w:p>
    <w:p w14:paraId="6DB9E077" w14:textId="22DE6CC6" w:rsidR="004B7C88" w:rsidRPr="005C6230" w:rsidRDefault="004B7C88" w:rsidP="003734B8">
      <w:pPr>
        <w:jc w:val="both"/>
        <w:rPr>
          <w:sz w:val="22"/>
          <w:lang w:val="fr-BE"/>
        </w:rPr>
      </w:pPr>
      <w:r w:rsidRPr="005C6230">
        <w:rPr>
          <w:sz w:val="22"/>
          <w:lang w:val="fr-BE"/>
        </w:rPr>
        <w:t>Le calendrier de la stomie existante se poursuit normalement. Le premier trimestre de la nouvelle stomie débute le 1</w:t>
      </w:r>
      <w:r w:rsidRPr="005C6230">
        <w:rPr>
          <w:sz w:val="22"/>
          <w:vertAlign w:val="superscript"/>
          <w:lang w:val="fr-BE"/>
        </w:rPr>
        <w:t>er</w:t>
      </w:r>
      <w:r w:rsidRPr="005C6230">
        <w:rPr>
          <w:sz w:val="22"/>
          <w:lang w:val="fr-BE"/>
        </w:rPr>
        <w:t xml:space="preserve"> jour du mois durant lequel une délivrance a lieu pour cette stomie. Les calendriers des deux stomies peuvent donc être décalés.</w:t>
      </w:r>
    </w:p>
    <w:p w14:paraId="49FFB195" w14:textId="39131720" w:rsidR="004B7C88" w:rsidRPr="005C6230" w:rsidRDefault="004B7C88" w:rsidP="003734B8">
      <w:pPr>
        <w:jc w:val="both"/>
        <w:rPr>
          <w:sz w:val="22"/>
          <w:lang w:val="fr-BE"/>
        </w:rPr>
      </w:pPr>
      <w:r w:rsidRPr="005C6230">
        <w:rPr>
          <w:sz w:val="22"/>
          <w:lang w:val="fr-BE"/>
        </w:rPr>
        <w:t>Chaque nouvelle stomie bénéficie de l’intervention majorée durant les 3 premiers mois.</w:t>
      </w:r>
    </w:p>
    <w:p w14:paraId="7F0FBE69" w14:textId="77777777" w:rsidR="004B7C88" w:rsidRPr="005C6230" w:rsidRDefault="004B7C88" w:rsidP="003734B8">
      <w:pPr>
        <w:jc w:val="both"/>
        <w:rPr>
          <w:sz w:val="22"/>
          <w:lang w:val="fr-BE"/>
        </w:rPr>
      </w:pPr>
    </w:p>
    <w:p w14:paraId="633BBB31" w14:textId="77777777" w:rsidR="00822A8D" w:rsidRPr="005C6230" w:rsidRDefault="00822A8D" w:rsidP="003734B8">
      <w:pPr>
        <w:jc w:val="both"/>
        <w:rPr>
          <w:sz w:val="22"/>
          <w:lang w:val="fr-BE"/>
        </w:rPr>
      </w:pPr>
    </w:p>
    <w:sectPr w:rsidR="00822A8D" w:rsidRPr="005C623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0B9D7" w14:textId="77777777" w:rsidR="00007A3B" w:rsidRDefault="00007A3B" w:rsidP="00007A3B">
      <w:r>
        <w:separator/>
      </w:r>
    </w:p>
  </w:endnote>
  <w:endnote w:type="continuationSeparator" w:id="0">
    <w:p w14:paraId="229ADA7A" w14:textId="77777777" w:rsidR="00007A3B" w:rsidRDefault="00007A3B" w:rsidP="0000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8C858" w14:textId="77777777" w:rsidR="00007A3B" w:rsidRDefault="00007A3B" w:rsidP="00007A3B">
      <w:r>
        <w:separator/>
      </w:r>
    </w:p>
  </w:footnote>
  <w:footnote w:type="continuationSeparator" w:id="0">
    <w:p w14:paraId="7E7C5590" w14:textId="77777777" w:rsidR="00007A3B" w:rsidRDefault="00007A3B" w:rsidP="00007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B3AA" w14:textId="353C2B02" w:rsidR="00007A3B" w:rsidRPr="00007A3B" w:rsidRDefault="00007A3B" w:rsidP="00007A3B">
    <w:pPr>
      <w:pStyle w:val="Header"/>
      <w:jc w:val="right"/>
      <w:rPr>
        <w:sz w:val="18"/>
        <w:lang w:val="en-GB"/>
      </w:rPr>
    </w:pPr>
    <w:r>
      <w:rPr>
        <w:sz w:val="18"/>
        <w:highlight w:val="yellow"/>
        <w:lang w:val="en-GB"/>
      </w:rPr>
      <w:t>Version adaptée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81D"/>
    <w:multiLevelType w:val="hybridMultilevel"/>
    <w:tmpl w:val="F0744D88"/>
    <w:lvl w:ilvl="0" w:tplc="B38C87B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24AC7"/>
    <w:multiLevelType w:val="hybridMultilevel"/>
    <w:tmpl w:val="EA7AD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245A4750"/>
    <w:multiLevelType w:val="hybridMultilevel"/>
    <w:tmpl w:val="E5B62B8C"/>
    <w:lvl w:ilvl="0" w:tplc="4FD04F1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0D49"/>
    <w:multiLevelType w:val="hybridMultilevel"/>
    <w:tmpl w:val="6D14F4EA"/>
    <w:lvl w:ilvl="0" w:tplc="6A547A68">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35B2CBC"/>
    <w:multiLevelType w:val="hybridMultilevel"/>
    <w:tmpl w:val="B10830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21DD2"/>
    <w:multiLevelType w:val="hybridMultilevel"/>
    <w:tmpl w:val="3D9016EA"/>
    <w:lvl w:ilvl="0" w:tplc="0C740CE0">
      <w:start w:val="1"/>
      <w:numFmt w:val="lowerLetter"/>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354299"/>
    <w:multiLevelType w:val="multilevel"/>
    <w:tmpl w:val="58C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F08AB"/>
    <w:multiLevelType w:val="multilevel"/>
    <w:tmpl w:val="7F8CA0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869"/>
    <w:multiLevelType w:val="hybridMultilevel"/>
    <w:tmpl w:val="3C0E36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5"/>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9A"/>
    <w:rsid w:val="00004EDA"/>
    <w:rsid w:val="00007A3B"/>
    <w:rsid w:val="00017510"/>
    <w:rsid w:val="000B2858"/>
    <w:rsid w:val="000B430B"/>
    <w:rsid w:val="0016240F"/>
    <w:rsid w:val="001A0B32"/>
    <w:rsid w:val="001A22AD"/>
    <w:rsid w:val="001B775F"/>
    <w:rsid w:val="001B7A9A"/>
    <w:rsid w:val="001D16B8"/>
    <w:rsid w:val="001E0C7E"/>
    <w:rsid w:val="00215DD9"/>
    <w:rsid w:val="00220964"/>
    <w:rsid w:val="002A5E0C"/>
    <w:rsid w:val="002E0499"/>
    <w:rsid w:val="00301336"/>
    <w:rsid w:val="00323201"/>
    <w:rsid w:val="0033709C"/>
    <w:rsid w:val="003734B8"/>
    <w:rsid w:val="003E191A"/>
    <w:rsid w:val="00482A77"/>
    <w:rsid w:val="004B7C88"/>
    <w:rsid w:val="005007F0"/>
    <w:rsid w:val="00567394"/>
    <w:rsid w:val="00594BC3"/>
    <w:rsid w:val="005A6CA4"/>
    <w:rsid w:val="005B0055"/>
    <w:rsid w:val="005C6230"/>
    <w:rsid w:val="006405B2"/>
    <w:rsid w:val="0066310A"/>
    <w:rsid w:val="006B0960"/>
    <w:rsid w:val="0076347E"/>
    <w:rsid w:val="007A7D45"/>
    <w:rsid w:val="007C7C52"/>
    <w:rsid w:val="007F12D3"/>
    <w:rsid w:val="00816D85"/>
    <w:rsid w:val="00822A8D"/>
    <w:rsid w:val="0086258E"/>
    <w:rsid w:val="00863ED3"/>
    <w:rsid w:val="00887C3F"/>
    <w:rsid w:val="008E16F5"/>
    <w:rsid w:val="00953181"/>
    <w:rsid w:val="00962DA5"/>
    <w:rsid w:val="00994162"/>
    <w:rsid w:val="009D5C16"/>
    <w:rsid w:val="009E43C9"/>
    <w:rsid w:val="009E44AC"/>
    <w:rsid w:val="00A4289A"/>
    <w:rsid w:val="00A5364B"/>
    <w:rsid w:val="00AA4835"/>
    <w:rsid w:val="00B0140E"/>
    <w:rsid w:val="00B51A2B"/>
    <w:rsid w:val="00B6650E"/>
    <w:rsid w:val="00C37C28"/>
    <w:rsid w:val="00D242E7"/>
    <w:rsid w:val="00D37D7A"/>
    <w:rsid w:val="00E31269"/>
    <w:rsid w:val="00F269CA"/>
    <w:rsid w:val="00F50EFA"/>
    <w:rsid w:val="00FD21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C08A"/>
  <w15:chartTrackingRefBased/>
  <w15:docId w15:val="{0D0207AF-CEA4-4C39-AF83-E4983B40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89A"/>
    <w:pPr>
      <w:spacing w:after="0" w:line="240" w:lineRule="auto"/>
    </w:pPr>
    <w:rPr>
      <w:rFonts w:ascii="Arial" w:eastAsia="Times New Roman" w:hAnsi="Arial" w:cs="Times New Roman"/>
      <w:sz w:val="24"/>
      <w:szCs w:val="24"/>
      <w:lang w:val="en-US"/>
    </w:rPr>
  </w:style>
  <w:style w:type="paragraph" w:styleId="Heading2">
    <w:name w:val="heading 2"/>
    <w:basedOn w:val="Normal"/>
    <w:next w:val="Normal"/>
    <w:link w:val="Heading2Char"/>
    <w:unhideWhenUsed/>
    <w:qFormat/>
    <w:rsid w:val="00A4289A"/>
    <w:pPr>
      <w:jc w:val="both"/>
      <w:outlineLvl w:val="1"/>
    </w:pPr>
    <w:rPr>
      <w:b/>
      <w:sz w:val="28"/>
      <w:lang w:val="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289A"/>
    <w:rPr>
      <w:rFonts w:ascii="Arial" w:eastAsia="Times New Roman" w:hAnsi="Arial" w:cs="Times New Roman"/>
      <w:b/>
      <w:sz w:val="28"/>
      <w:szCs w:val="24"/>
      <w:lang w:val="fr"/>
    </w:rPr>
  </w:style>
  <w:style w:type="paragraph" w:styleId="ListParagraph">
    <w:name w:val="List Paragraph"/>
    <w:basedOn w:val="Normal"/>
    <w:uiPriority w:val="34"/>
    <w:qFormat/>
    <w:rsid w:val="00A4289A"/>
    <w:pPr>
      <w:ind w:left="720"/>
      <w:contextualSpacing/>
    </w:pPr>
  </w:style>
  <w:style w:type="character" w:styleId="CommentReference">
    <w:name w:val="annotation reference"/>
    <w:basedOn w:val="DefaultParagraphFont"/>
    <w:uiPriority w:val="99"/>
    <w:semiHidden/>
    <w:unhideWhenUsed/>
    <w:rsid w:val="00A4289A"/>
    <w:rPr>
      <w:sz w:val="16"/>
      <w:szCs w:val="16"/>
    </w:rPr>
  </w:style>
  <w:style w:type="paragraph" w:styleId="CommentText">
    <w:name w:val="annotation text"/>
    <w:basedOn w:val="Normal"/>
    <w:link w:val="CommentTextChar"/>
    <w:uiPriority w:val="99"/>
    <w:semiHidden/>
    <w:unhideWhenUsed/>
    <w:rsid w:val="00A4289A"/>
    <w:rPr>
      <w:sz w:val="20"/>
      <w:szCs w:val="20"/>
    </w:rPr>
  </w:style>
  <w:style w:type="character" w:customStyle="1" w:styleId="CommentTextChar">
    <w:name w:val="Comment Text Char"/>
    <w:basedOn w:val="DefaultParagraphFont"/>
    <w:link w:val="CommentText"/>
    <w:uiPriority w:val="99"/>
    <w:semiHidden/>
    <w:rsid w:val="00A4289A"/>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4289A"/>
    <w:rPr>
      <w:b/>
      <w:bCs/>
    </w:rPr>
  </w:style>
  <w:style w:type="character" w:customStyle="1" w:styleId="CommentSubjectChar">
    <w:name w:val="Comment Subject Char"/>
    <w:basedOn w:val="CommentTextChar"/>
    <w:link w:val="CommentSubject"/>
    <w:uiPriority w:val="99"/>
    <w:semiHidden/>
    <w:rsid w:val="00A4289A"/>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42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89A"/>
    <w:rPr>
      <w:rFonts w:ascii="Segoe UI" w:eastAsia="Times New Roman" w:hAnsi="Segoe UI" w:cs="Segoe UI"/>
      <w:sz w:val="18"/>
      <w:szCs w:val="18"/>
      <w:lang w:val="en-US"/>
    </w:rPr>
  </w:style>
  <w:style w:type="table" w:styleId="TableGrid">
    <w:name w:val="Table Grid"/>
    <w:basedOn w:val="TableNormal"/>
    <w:uiPriority w:val="59"/>
    <w:rsid w:val="00962D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6650E"/>
  </w:style>
  <w:style w:type="paragraph" w:styleId="Header">
    <w:name w:val="header"/>
    <w:basedOn w:val="Normal"/>
    <w:link w:val="HeaderChar"/>
    <w:uiPriority w:val="99"/>
    <w:unhideWhenUsed/>
    <w:rsid w:val="00007A3B"/>
    <w:pPr>
      <w:tabs>
        <w:tab w:val="center" w:pos="4513"/>
        <w:tab w:val="right" w:pos="9026"/>
      </w:tabs>
    </w:pPr>
  </w:style>
  <w:style w:type="character" w:customStyle="1" w:styleId="HeaderChar">
    <w:name w:val="Header Char"/>
    <w:basedOn w:val="DefaultParagraphFont"/>
    <w:link w:val="Header"/>
    <w:uiPriority w:val="99"/>
    <w:rsid w:val="00007A3B"/>
    <w:rPr>
      <w:rFonts w:ascii="Arial" w:eastAsia="Times New Roman" w:hAnsi="Arial" w:cs="Times New Roman"/>
      <w:sz w:val="24"/>
      <w:szCs w:val="24"/>
      <w:lang w:val="en-US"/>
    </w:rPr>
  </w:style>
  <w:style w:type="paragraph" w:styleId="Footer">
    <w:name w:val="footer"/>
    <w:basedOn w:val="Normal"/>
    <w:link w:val="FooterChar"/>
    <w:uiPriority w:val="99"/>
    <w:unhideWhenUsed/>
    <w:rsid w:val="00007A3B"/>
    <w:pPr>
      <w:tabs>
        <w:tab w:val="center" w:pos="4513"/>
        <w:tab w:val="right" w:pos="9026"/>
      </w:tabs>
    </w:pPr>
  </w:style>
  <w:style w:type="character" w:customStyle="1" w:styleId="FooterChar">
    <w:name w:val="Footer Char"/>
    <w:basedOn w:val="DefaultParagraphFont"/>
    <w:link w:val="Footer"/>
    <w:uiPriority w:val="99"/>
    <w:rsid w:val="00007A3B"/>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0264">
      <w:bodyDiv w:val="1"/>
      <w:marLeft w:val="0"/>
      <w:marRight w:val="0"/>
      <w:marTop w:val="0"/>
      <w:marBottom w:val="0"/>
      <w:divBdr>
        <w:top w:val="none" w:sz="0" w:space="0" w:color="auto"/>
        <w:left w:val="none" w:sz="0" w:space="0" w:color="auto"/>
        <w:bottom w:val="none" w:sz="0" w:space="0" w:color="auto"/>
        <w:right w:val="none" w:sz="0" w:space="0" w:color="auto"/>
      </w:divBdr>
    </w:div>
    <w:div w:id="325089130">
      <w:bodyDiv w:val="1"/>
      <w:marLeft w:val="0"/>
      <w:marRight w:val="0"/>
      <w:marTop w:val="0"/>
      <w:marBottom w:val="0"/>
      <w:divBdr>
        <w:top w:val="none" w:sz="0" w:space="0" w:color="auto"/>
        <w:left w:val="none" w:sz="0" w:space="0" w:color="auto"/>
        <w:bottom w:val="none" w:sz="0" w:space="0" w:color="auto"/>
        <w:right w:val="none" w:sz="0" w:space="0" w:color="auto"/>
      </w:divBdr>
    </w:div>
    <w:div w:id="595407564">
      <w:bodyDiv w:val="1"/>
      <w:marLeft w:val="0"/>
      <w:marRight w:val="0"/>
      <w:marTop w:val="0"/>
      <w:marBottom w:val="0"/>
      <w:divBdr>
        <w:top w:val="none" w:sz="0" w:space="0" w:color="auto"/>
        <w:left w:val="none" w:sz="0" w:space="0" w:color="auto"/>
        <w:bottom w:val="none" w:sz="0" w:space="0" w:color="auto"/>
        <w:right w:val="none" w:sz="0" w:space="0" w:color="auto"/>
      </w:divBdr>
    </w:div>
    <w:div w:id="214191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aseDocument" ma:contentTypeID="0x01010068B932EBA4214624B1E6C758B674AA3900878AE0BF14248048B0F623A599AB54C9" ma:contentTypeVersion="10" ma:contentTypeDescription="Crée un document." ma:contentTypeScope="" ma:versionID="45487a672f099f0fabe7258e0d469ee4">
  <xsd:schema xmlns:xsd="http://www.w3.org/2001/XMLSchema" xmlns:xs="http://www.w3.org/2001/XMLSchema" xmlns:p="http://schemas.microsoft.com/office/2006/metadata/properties" xmlns:ns1="http://schemas.microsoft.com/sharepoint/v3" xmlns:ns2="f15eea43-7fa7-45cf-8dc0-d5244e2cd467" xmlns:ns3="61fd8d87-ea47-44bb-afd6-b4d99b1d9c1f" targetNamespace="http://schemas.microsoft.com/office/2006/metadata/properties" ma:root="true" ma:fieldsID="ce14e362b6477d31cd9130deb055712f" ns1:_="" ns2:_="" ns3:_="">
    <xsd:import namespace="http://schemas.microsoft.com/sharepoint/v3"/>
    <xsd:import namespace="f15eea43-7fa7-45cf-8dc0-d5244e2cd467"/>
    <xsd:import namespace="61fd8d87-ea47-44bb-afd6-b4d99b1d9c1f"/>
    <xsd:element name="properties">
      <xsd:complexType>
        <xsd:sequence>
          <xsd:element name="documentManagement">
            <xsd:complexType>
              <xsd:all>
                <xsd:element ref="ns2:RIDocSummary" minOccurs="0"/>
                <xsd:element ref="ns2:RIDocInitialCreationDate" minOccurs="0"/>
                <xsd:element ref="ns2:RIDocTypeTaxHTField0" minOccurs="0"/>
                <xsd:element ref="ns2:RITargetGroupTaxHTField0" minOccurs="0"/>
                <xsd:element ref="ns2:RIThemeTaxHTField0" minOccurs="0"/>
                <xsd:element ref="ns2:RILanguageTaxHTField0" minOccurs="0"/>
                <xsd:element ref="ns3:TaxCatchAll" minOccurs="0"/>
                <xsd:element ref="ns3:gde733b7de1f426ba66c11d7c4a6ad8f" minOccurs="0"/>
                <xsd:element ref="ns3:TaxCatchAllLabel" minOccurs="0"/>
                <xsd:element ref="ns3:cc6d4d0f41a44532aeb7bee41b15f208"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25" nillable="true" ma:displayName="Date de fin de planification" ma:description="" ma:internalName="PublishingExpirationDate">
      <xsd:simpleType>
        <xsd:restriction base="dms:Unknown"/>
      </xsd:simpleType>
    </xsd:element>
    <xsd:element name="PublishingStartDate" ma:index="26" nillable="true" ma:displayName="Date de début de planification" ma:description=""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5eea43-7fa7-45cf-8dc0-d5244e2cd467" elementFormDefault="qualified">
    <xsd:import namespace="http://schemas.microsoft.com/office/2006/documentManagement/types"/>
    <xsd:import namespace="http://schemas.microsoft.com/office/infopath/2007/PartnerControls"/>
    <xsd:element name="RIDocSummary" ma:index="8" nillable="true" ma:displayName="Résumé" ma:internalName="RIDocSummary">
      <xsd:simpleType>
        <xsd:restriction base="dms:Note">
          <xsd:maxLength value="255"/>
        </xsd:restriction>
      </xsd:simpleType>
    </xsd:element>
    <xsd:element name="RIDocInitialCreationDate" ma:index="13" nillable="true" ma:displayName="Initial creation date" ma:default="[Today]" ma:format="DateOnly" ma:indexed="true" ma:internalName="RIDocInitialCreationDate">
      <xsd:simpleType>
        <xsd:restriction base="dms:DateTime"/>
      </xsd:simpleType>
    </xsd:element>
    <xsd:element name="RIDocTypeTaxHTField0" ma:index="14" nillable="true" ma:taxonomy="true" ma:internalName="RIDocTypeTaxHTField0" ma:taxonomyFieldName="RIDocType" ma:displayName="Type" ma:fieldId="{e9c02295-779d-4904-9c2f-398eb8a46af6}" ma:taxonomyMulti="true" ma:sspId="0ef66dbe-9d4d-47c7-8094-97b828f68765" ma:termSetId="2b6f7e9b-72d8-4c39-9dd2-b382cdde65ef" ma:anchorId="bba49bfc-d79e-4d3d-8e99-da4cfe1bc359" ma:open="false" ma:isKeyword="false">
      <xsd:complexType>
        <xsd:sequence>
          <xsd:element ref="pc:Terms" minOccurs="0" maxOccurs="1"/>
        </xsd:sequence>
      </xsd:complexType>
    </xsd:element>
    <xsd:element name="RITargetGroupTaxHTField0" ma:index="15" nillable="true" ma:taxonomy="true" ma:internalName="RITargetGroupTaxHTField0" ma:taxonomyFieldName="RITargetGroup" ma:displayName="Groupe cible" ma:default="" ma:fieldId="{5ba84fff-5b48-41ff-a0ce-9cb6f56aeea2}" ma:taxonomyMulti="true" ma:sspId="0ef66dbe-9d4d-47c7-8094-97b828f68765" ma:termSetId="2b6f7e9b-72d8-4c39-9dd2-b382cdde65ef" ma:anchorId="93e5bace-bd47-4f95-bc09-82965b59cb06" ma:open="false" ma:isKeyword="false">
      <xsd:complexType>
        <xsd:sequence>
          <xsd:element ref="pc:Terms" minOccurs="0" maxOccurs="1"/>
        </xsd:sequence>
      </xsd:complexType>
    </xsd:element>
    <xsd:element name="RIThemeTaxHTField0" ma:index="16" nillable="true" ma:taxonomy="true" ma:internalName="RIThemeTaxHTField0" ma:taxonomyFieldName="RITheme" ma:displayName="Thème" ma:fieldId="{4da39f56-d3e0-4eda-b5a0-097d81b2f922}" ma:taxonomyMulti="true" ma:sspId="0ef66dbe-9d4d-47c7-8094-97b828f68765" ma:termSetId="2b6f7e9b-72d8-4c39-9dd2-b382cdde65ef" ma:anchorId="d3fdfad7-22a2-47aa-bc5b-de53bde139df" ma:open="false" ma:isKeyword="false">
      <xsd:complexType>
        <xsd:sequence>
          <xsd:element ref="pc:Terms" minOccurs="0" maxOccurs="1"/>
        </xsd:sequence>
      </xsd:complexType>
    </xsd:element>
    <xsd:element name="RILanguageTaxHTField0" ma:index="17" nillable="true" ma:taxonomy="true" ma:internalName="RILanguageTaxHTField0" ma:taxonomyFieldName="RILanguage" ma:displayName="Langue" ma:fieldId="{c7e3734e-a786-4652-bb98-6e7a4dc8cda4}" ma:taxonomyMulti="true" ma:sspId="0ef66dbe-9d4d-47c7-8094-97b828f68765" ma:termSetId="2b6f7e9b-72d8-4c39-9dd2-b382cdde65ef" ma:anchorId="216408cd-2d56-4fdf-a6f2-b407a6eb4657"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d8d87-ea47-44bb-afd6-b4d99b1d9c1f" elementFormDefault="qualified">
    <xsd:import namespace="http://schemas.microsoft.com/office/2006/documentManagement/types"/>
    <xsd:import namespace="http://schemas.microsoft.com/office/infopath/2007/PartnerControls"/>
    <xsd:element name="TaxCatchAll" ma:index="18" nillable="true" ma:displayName="Colonne Attraper tout de Taxonomie" ma:hidden="true" ma:list="{7dc22c6c-0b67-4097-b867-927b71770b39}" ma:internalName="TaxCatchAll" ma:showField="CatchAllData" ma:web="d942d0da-d5cd-4a3f-9c2a-c2fdf367a1b1">
      <xsd:complexType>
        <xsd:complexContent>
          <xsd:extension base="dms:MultiChoiceLookup">
            <xsd:sequence>
              <xsd:element name="Value" type="dms:Lookup" maxOccurs="unbounded" minOccurs="0" nillable="true"/>
            </xsd:sequence>
          </xsd:extension>
        </xsd:complexContent>
      </xsd:complexType>
    </xsd:element>
    <xsd:element name="gde733b7de1f426ba66c11d7c4a6ad8f" ma:index="21" nillable="true" ma:displayName="Document Publicationtype_0" ma:hidden="true" ma:internalName="gde733b7de1f426ba66c11d7c4a6ad8f">
      <xsd:simpleType>
        <xsd:restriction base="dms:Note"/>
      </xsd:simpleType>
    </xsd:element>
    <xsd:element name="TaxCatchAllLabel" ma:index="22" nillable="true" ma:displayName="Colonne Attraper tout de Taxonomie1" ma:hidden="true" ma:list="{7dc22c6c-0b67-4097-b867-927b71770b39}" ma:internalName="TaxCatchAllLabel" ma:readOnly="true" ma:showField="CatchAllDataLabel" ma:web="d942d0da-d5cd-4a3f-9c2a-c2fdf367a1b1">
      <xsd:complexType>
        <xsd:complexContent>
          <xsd:extension base="dms:MultiChoiceLookup">
            <xsd:sequence>
              <xsd:element name="Value" type="dms:Lookup" maxOccurs="unbounded" minOccurs="0" nillable="true"/>
            </xsd:sequence>
          </xsd:extension>
        </xsd:complexContent>
      </xsd:complexType>
    </xsd:element>
    <xsd:element name="cc6d4d0f41a44532aeb7bee41b15f208" ma:index="23" nillable="true" ma:taxonomy="true" ma:internalName="cc6d4d0f41a44532aeb7bee41b15f208" ma:taxonomyFieldName="Publication_x0020_type_x0020_for_x0020_documents" ma:displayName="Publication type for documents" ma:default="" ma:fieldId="{cc6d4d0f-41a4-4532-aeb7-bee41b15f208}" ma:taxonomyMulti="true" ma:sspId="0ef66dbe-9d4d-47c7-8094-97b828f68765" ma:termSetId="2b6f7e9b-72d8-4c39-9dd2-b382cdde65ef" ma:anchorId="22490f7c-4f41-43c8-a5b3-f62c4d13df9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IDocInitialCreationDate xmlns="f15eea43-7fa7-45cf-8dc0-d5244e2cd467">2021-03-18T23:00:00+00:00</RIDocInitialCreationDate>
    <RIThemeTaxHTField0 xmlns="f15eea43-7fa7-45cf-8dc0-d5244e2cd467">
      <Terms xmlns="http://schemas.microsoft.com/office/infopath/2007/PartnerControls"/>
    </RIThemeTaxHTField0>
    <RIDocTypeTaxHTField0 xmlns="f15eea43-7fa7-45cf-8dc0-d5244e2cd467">
      <Terms xmlns="http://schemas.microsoft.com/office/infopath/2007/PartnerControls">
        <TermInfo xmlns="http://schemas.microsoft.com/office/infopath/2007/PartnerControls">
          <TermName xmlns="http://schemas.microsoft.com/office/infopath/2007/PartnerControls">Circulaire</TermName>
          <TermId xmlns="http://schemas.microsoft.com/office/infopath/2007/PartnerControls">9d6b496f-bb23-418e-a963-57bb7fe71634</TermId>
        </TermInfo>
      </Terms>
    </RIDocTypeTaxHTField0>
    <RIDocSummary xmlns="f15eea43-7fa7-45cf-8dc0-d5244e2cd467">Explications nouveau système de remboursement du matériel de stomie au 1er avril 2021 </RIDocSummary>
    <PublishingExpirationDate xmlns="http://schemas.microsoft.com/sharepoint/v3" xsi:nil="true"/>
    <PublishingStartDate xmlns="http://schemas.microsoft.com/sharepoint/v3" xsi:nil="true"/>
    <RITargetGroupTaxHTField0 xmlns="f15eea43-7fa7-45cf-8dc0-d5244e2cd467">
      <Terms xmlns="http://schemas.microsoft.com/office/infopath/2007/PartnerControls">
        <TermInfo xmlns="http://schemas.microsoft.com/office/infopath/2007/PartnerControls">
          <TermName xmlns="http://schemas.microsoft.com/office/infopath/2007/PartnerControls">Bandagiste</TermName>
          <TermId xmlns="http://schemas.microsoft.com/office/infopath/2007/PartnerControls">f064ff8b-bb01-48c8-8f07-1e75bbccd627</TermId>
        </TermInfo>
      </Terms>
    </RITargetGroupTaxHTField0>
    <cc6d4d0f41a44532aeb7bee41b15f208 xmlns="61fd8d87-ea47-44bb-afd6-b4d99b1d9c1f">
      <Terms xmlns="http://schemas.microsoft.com/office/infopath/2007/PartnerControls"/>
    </cc6d4d0f41a44532aeb7bee41b15f208>
    <gde733b7de1f426ba66c11d7c4a6ad8f xmlns="61fd8d87-ea47-44bb-afd6-b4d99b1d9c1f" xsi:nil="true"/>
    <RILanguageTaxHTField0 xmlns="f15eea43-7fa7-45cf-8dc0-d5244e2cd467">
      <Terms xmlns="http://schemas.microsoft.com/office/infopath/2007/PartnerControls">
        <TermInfo xmlns="http://schemas.microsoft.com/office/infopath/2007/PartnerControls">
          <TermName xmlns="http://schemas.microsoft.com/office/infopath/2007/PartnerControls">Français</TermName>
          <TermId xmlns="http://schemas.microsoft.com/office/infopath/2007/PartnerControls">aa2269b8-11bd-4cc9-9267-801806817e60</TermId>
        </TermInfo>
      </Terms>
    </RILanguageTaxHTField0>
    <TaxCatchAll xmlns="61fd8d87-ea47-44bb-afd6-b4d99b1d9c1f">
      <Value>27</Value>
      <Value>8</Value>
      <Value>92</Value>
    </TaxCatchAll>
  </documentManagement>
</p:properties>
</file>

<file path=customXml/itemProps1.xml><?xml version="1.0" encoding="utf-8"?>
<ds:datastoreItem xmlns:ds="http://schemas.openxmlformats.org/officeDocument/2006/customXml" ds:itemID="{248A9232-518A-4337-8ACD-23352BFC2F46}"/>
</file>

<file path=customXml/itemProps2.xml><?xml version="1.0" encoding="utf-8"?>
<ds:datastoreItem xmlns:ds="http://schemas.openxmlformats.org/officeDocument/2006/customXml" ds:itemID="{A67E2040-DC37-4C4B-86F0-A454C62D950D}"/>
</file>

<file path=customXml/itemProps3.xml><?xml version="1.0" encoding="utf-8"?>
<ds:datastoreItem xmlns:ds="http://schemas.openxmlformats.org/officeDocument/2006/customXml" ds:itemID="{1A71B5DF-9C83-4DA1-9595-15AADB8918C1}"/>
</file>

<file path=customXml/itemProps4.xml><?xml version="1.0" encoding="utf-8"?>
<ds:datastoreItem xmlns:ds="http://schemas.openxmlformats.org/officeDocument/2006/customXml" ds:itemID="{679DC3E4-FA98-4540-9BED-BE3644AFA2BE}"/>
</file>

<file path=docProps/app.xml><?xml version="1.0" encoding="utf-8"?>
<Properties xmlns="http://schemas.openxmlformats.org/officeDocument/2006/extended-properties" xmlns:vt="http://schemas.openxmlformats.org/officeDocument/2006/docPropsVTypes">
  <Template>8EFBF7C8.dotm</Template>
  <TotalTime>0</TotalTime>
  <Pages>6</Pages>
  <Words>1950</Words>
  <Characters>11118</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RIZIV-INAMI</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Circulaire aux bandagistes 2021/4 - Annexe 2 </dc:title>
  <dc:subject/>
  <dc:creator>Nathalie De Rudder (RIZIV-INAMI)</dc:creator>
  <cp:keywords/>
  <dc:description/>
  <cp:lastModifiedBy>Nathalie De Rudder (RIZIV-INAMI)</cp:lastModifiedBy>
  <cp:revision>2</cp:revision>
  <dcterms:created xsi:type="dcterms:W3CDTF">2021-04-26T11:25:00Z</dcterms:created>
  <dcterms:modified xsi:type="dcterms:W3CDTF">2021-04-26T11:25:00Z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TargetGroup">
    <vt:lpwstr>27;#Bandagiste|f064ff8b-bb01-48c8-8f07-1e75bbccd627</vt:lpwstr>
  </property>
  <property fmtid="{D5CDD505-2E9C-101B-9397-08002B2CF9AE}" pid="3" name="RITheme">
    <vt:lpwstr/>
  </property>
  <property fmtid="{D5CDD505-2E9C-101B-9397-08002B2CF9AE}" pid="4" name="RILanguage">
    <vt:lpwstr>8;#Français|aa2269b8-11bd-4cc9-9267-801806817e60</vt:lpwstr>
  </property>
  <property fmtid="{D5CDD505-2E9C-101B-9397-08002B2CF9AE}" pid="5" name="ContentTypeId">
    <vt:lpwstr>0x01010068B932EBA4214624B1E6C758B674AA3900878AE0BF14248048B0F623A599AB54C9</vt:lpwstr>
  </property>
  <property fmtid="{D5CDD505-2E9C-101B-9397-08002B2CF9AE}" pid="6" name="RIDocType">
    <vt:lpwstr>92;#Circulaire|9d6b496f-bb23-418e-a963-57bb7fe71634</vt:lpwstr>
  </property>
  <property fmtid="{D5CDD505-2E9C-101B-9397-08002B2CF9AE}" pid="7" name="Publication type for documents">
    <vt:lpwstr/>
  </property>
  <property fmtid="{D5CDD505-2E9C-101B-9397-08002B2CF9AE}" pid="8" name="Order">
    <vt:r8>3318200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TemplateUrl">
    <vt:lpwstr/>
  </property>
</Properties>
</file>