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2C735BD2" w:rsidR="000268CE" w:rsidRDefault="000C5B2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0268CE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E24403A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2654974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C42D5" w14:textId="20DC9629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C9A4B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793D78A7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BB44C5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BB44C5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BB44C5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BB44C5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BB44C5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>при помощи кода из СМС-сообщения,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24507A5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36A656B0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фронтенд-части программы используется комплект средств разработки "Flutter".</w:t>
      </w:r>
    </w:p>
    <w:p w14:paraId="26587FB9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бэкенд-части программы используется фреймворк Django на языке Python.</w:t>
      </w:r>
    </w:p>
    <w:p w14:paraId="07907080" w14:textId="2913865B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базы данных программы используется объектно-реляционная СУБД PostgreSQL.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77D027B6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6D1620DB" w14:textId="77777777" w:rsidR="00380C0C" w:rsidRPr="00380C0C" w:rsidRDefault="00380C0C" w:rsidP="00380C0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Программа состоит из фронтенд-части (визуальной, пользовательской) и бэкенд-части (серверной).</w:t>
      </w:r>
    </w:p>
    <w:p w14:paraId="04F75C8F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Фронтенд-часть программы обеспечивает взаимодействие пользователя и бэкенд-части программы.</w:t>
      </w:r>
    </w:p>
    <w:p w14:paraId="20A69C1D" w14:textId="5582D478" w:rsid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Бэкенд-часть программы обеспечивает взаимодействие фронтенд-части программы и СУБД.</w:t>
      </w:r>
    </w:p>
    <w:p w14:paraId="171DE413" w14:textId="643ADFD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Для реализации базы данных программы используется объектно-реляционная СУБД PostgreSQL.</w:t>
      </w:r>
    </w:p>
    <w:p w14:paraId="3F12369A" w14:textId="77777777" w:rsidR="00DA3363" w:rsidRPr="00DA3363" w:rsidRDefault="00DA3363" w:rsidP="00DA3363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КОНФИГУРАЦИЯ ТЕХНИЧЕСКИХ СРЕДСТВ</w:t>
      </w:r>
      <w:bookmarkEnd w:id="11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3033C886" w14:textId="4D407B56" w:rsidR="00DA3363" w:rsidRPr="00DA3363" w:rsidRDefault="00380C0C" w:rsidP="00380C0C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поддержку 3G и Wi-Fi с поддержкой стандарта 802.11n.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C039" w14:textId="77777777" w:rsidR="00BB44C5" w:rsidRDefault="00BB44C5" w:rsidP="000268CE">
      <w:pPr>
        <w:spacing w:after="0" w:line="240" w:lineRule="auto"/>
      </w:pPr>
      <w:r>
        <w:separator/>
      </w:r>
    </w:p>
  </w:endnote>
  <w:endnote w:type="continuationSeparator" w:id="0">
    <w:p w14:paraId="0B591B9F" w14:textId="77777777" w:rsidR="00BB44C5" w:rsidRDefault="00BB44C5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BB44C5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BB44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1284" w14:textId="77777777" w:rsidR="00BB44C5" w:rsidRDefault="00BB44C5" w:rsidP="000268CE">
      <w:pPr>
        <w:spacing w:after="0" w:line="240" w:lineRule="auto"/>
      </w:pPr>
      <w:r>
        <w:separator/>
      </w:r>
    </w:p>
  </w:footnote>
  <w:footnote w:type="continuationSeparator" w:id="0">
    <w:p w14:paraId="6347F734" w14:textId="77777777" w:rsidR="00BB44C5" w:rsidRDefault="00BB44C5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0C5B2E"/>
    <w:rsid w:val="002C58D7"/>
    <w:rsid w:val="00380C0C"/>
    <w:rsid w:val="005B54DC"/>
    <w:rsid w:val="0088662E"/>
    <w:rsid w:val="00895C60"/>
    <w:rsid w:val="00924D33"/>
    <w:rsid w:val="009912B0"/>
    <w:rsid w:val="009C6079"/>
    <w:rsid w:val="00A45183"/>
    <w:rsid w:val="00AA5C5D"/>
    <w:rsid w:val="00B71064"/>
    <w:rsid w:val="00BB44C5"/>
    <w:rsid w:val="00BC03CC"/>
    <w:rsid w:val="00CD5325"/>
    <w:rsid w:val="00D12256"/>
    <w:rsid w:val="00D75709"/>
    <w:rsid w:val="00DA3363"/>
    <w:rsid w:val="00DF29C9"/>
    <w:rsid w:val="00E608B4"/>
    <w:rsid w:val="00E822B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12</cp:revision>
  <dcterms:created xsi:type="dcterms:W3CDTF">2023-04-18T13:01:00Z</dcterms:created>
  <dcterms:modified xsi:type="dcterms:W3CDTF">2023-04-20T19:12:00Z</dcterms:modified>
</cp:coreProperties>
</file>