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9646DAB" w:rsidR="000268CE" w:rsidRDefault="0045459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C68055E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A655C2" w:rsidR="000268CE" w:rsidRPr="000268CE" w:rsidRDefault="0045459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37FAF85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277A4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277A4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277A4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277A4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277A4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277A4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277A4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277A4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277A4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277A4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277A4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277A4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277A4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5FD393B1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6320C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1C199213" w:rsidR="009C6079" w:rsidRPr="00E30C8B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05B4E0" w14:textId="77777777" w:rsidR="00E30C8B" w:rsidRPr="00E30C8B" w:rsidRDefault="00E30C8B" w:rsidP="00E30C8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0A1A33" w14:textId="6C9B19F4" w:rsidR="00E30C8B" w:rsidRDefault="00E30C8B" w:rsidP="00E30C8B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27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6"/>
    </w:p>
    <w:p w14:paraId="153F92E4" w14:textId="1E0E0330" w:rsidR="00A11573" w:rsidRPr="00A11573" w:rsidRDefault="00A11573" w:rsidP="00A115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Основаниями для разработки послужили следующие документы:</w:t>
      </w:r>
    </w:p>
    <w:p w14:paraId="7EC8E765" w14:textId="2B79D3ED" w:rsidR="00E30C8B" w:rsidRPr="00E30C8B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г.п.</w:t>
      </w:r>
      <w:r w:rsidR="00A11573" w:rsidRPr="00A11573"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14:paraId="7C61FBE8" w14:textId="2743BC4A" w:rsidR="00E30C8B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Учебный план по направлению подготовки 09.03.01 Информатика и вычислительная техника, профиль – Системная и программная инженерия 2022 г.п.</w:t>
      </w:r>
      <w:r w:rsidR="00A11573" w:rsidRPr="00A11573"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14:paraId="7A9D59CC" w14:textId="76BEB0A2" w:rsidR="00DA3363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71E7099A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СФЕРА ПРИМЕНЕНИЯ</w:t>
      </w:r>
      <w:bookmarkEnd w:id="7"/>
    </w:p>
    <w:p w14:paraId="6384B25B" w14:textId="79C91A4D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</w:t>
      </w:r>
      <w:r w:rsidR="00813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своих выданных и взятых долгов.</w:t>
      </w:r>
    </w:p>
    <w:p w14:paraId="2DDB8B8D" w14:textId="4C6560B6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14:paraId="683C07E5" w14:textId="59A8F42E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технического задания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F13BB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38CF3D36" w14:textId="49C8D5A5" w:rsidR="00E30C8B" w:rsidRDefault="00E30C8B" w:rsidP="00BA276E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14:paraId="36803CE7" w14:textId="13EEC358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289115" w14:textId="459C301E" w:rsidR="00F9638B" w:rsidRPr="00F9638B" w:rsidRDefault="00630418" w:rsidP="00F963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0C8B">
        <w:rPr>
          <w:rFonts w:ascii="Times New Roman" w:hAnsi="Times New Roman" w:cs="Times New Roman"/>
          <w:color w:val="000000" w:themeColor="text1"/>
          <w:sz w:val="28"/>
          <w:szCs w:val="28"/>
        </w:rPr>
        <w:t>ередача программы заказчику.</w:t>
      </w:r>
    </w:p>
    <w:p w14:paraId="6908D9DC" w14:textId="6DFA7DFB" w:rsidR="00E30C8B" w:rsidRPr="00E30C8B" w:rsidRDefault="00E30C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Сфера использования программы: </w:t>
      </w:r>
      <w:r w:rsidR="00F963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программа будет использоваться в повседневной жизни для согласования долговых обязательств между людьми и ведением своей истории выданных и взятых долгов.</w:t>
      </w: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0001A13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272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8"/>
    </w:p>
    <w:p w14:paraId="2164B464" w14:textId="2C9680BF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8"/>
      <w:bookmarkStart w:id="10" w:name="_Toc1329227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функциональным характеристикам</w:t>
      </w:r>
      <w:bookmarkEnd w:id="9"/>
      <w:bookmarkEnd w:id="10"/>
    </w:p>
    <w:p w14:paraId="2F69239D" w14:textId="3FD55719" w:rsidR="00F9638B" w:rsidRPr="00410495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.1.1 Требования к составу выполняемых функций</w:t>
      </w:r>
    </w:p>
    <w:p w14:paraId="6F881C38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3AF768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D63A969" w14:textId="77777777" w:rsidR="00F9638B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366DEB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7BB7F9" w14:textId="77777777" w:rsidR="00F9638B" w:rsidRPr="008A4725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DB7F5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96E614" w14:textId="77777777" w:rsidR="00F9638B" w:rsidRPr="008A4725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05705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B2D8B9" w14:textId="77777777" w:rsidR="00F9638B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1105D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4DB3D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F9738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D2113C" w14:textId="77777777" w:rsidR="00F9638B" w:rsidRDefault="00F9638B" w:rsidP="00E60815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E2B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D8CE9" w14:textId="4DB56118" w:rsidR="00F9638B" w:rsidRP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56C36AE9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94330" w14:textId="2CF3C847" w:rsidR="00F9638B" w:rsidRPr="002243FF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bookmarkStart w:id="12" w:name="_Toc132922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Требования к составу и параметрам технических средств</w:t>
      </w:r>
      <w:bookmarkEnd w:id="11"/>
      <w:bookmarkEnd w:id="12"/>
    </w:p>
    <w:p w14:paraId="0CC35A6A" w14:textId="69D0719D" w:rsidR="00F9638B" w:rsidRDefault="00F9638B" w:rsidP="00F963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354D1483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10.</w:t>
      </w:r>
    </w:p>
    <w:p w14:paraId="6918B34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73A30595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501A0DF4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129627F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Дисплей: мобильное приложение должно отображаться на дисплее высокого качества с разрешением, соответствующим требованиям </w:t>
      </w:r>
      <w:r w:rsidRPr="00380C0C">
        <w:rPr>
          <w:rFonts w:ascii="Times New Roman" w:hAnsi="Times New Roman" w:cs="Times New Roman"/>
          <w:sz w:val="28"/>
          <w:szCs w:val="28"/>
        </w:rPr>
        <w:lastRenderedPageBreak/>
        <w:t>приложения, поэтому устройство должно иметь диагональ дисплея не менее 4,7 дюймов и разрешение HD (1280 x 720 пикселей).</w:t>
      </w:r>
    </w:p>
    <w:p w14:paraId="25886F99" w14:textId="77777777" w:rsidR="00F9638B" w:rsidRPr="00DA3363" w:rsidRDefault="00F9638B" w:rsidP="00F9638B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поддержку 3G и Wi-Fi с поддержкой стандарта 802.11n.</w:t>
      </w:r>
    </w:p>
    <w:p w14:paraId="4BBAA38F" w14:textId="77777777" w:rsidR="00F9638B" w:rsidRPr="00E84771" w:rsidRDefault="00F9638B" w:rsidP="00F9638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0D698" w14:textId="5C6758A2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922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Алгоритм работы программы</w:t>
      </w:r>
      <w:bookmarkEnd w:id="13"/>
    </w:p>
    <w:p w14:paraId="10071E7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7C284950" w14:textId="1360FD80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>при помощи кода из С</w:t>
      </w:r>
      <w:r w:rsidR="00A11573">
        <w:rPr>
          <w:rFonts w:ascii="Times New Roman" w:hAnsi="Times New Roman" w:cs="Times New Roman"/>
          <w:sz w:val="28"/>
          <w:szCs w:val="28"/>
        </w:rPr>
        <w:t>мс</w:t>
      </w:r>
      <w:r>
        <w:rPr>
          <w:rFonts w:ascii="Times New Roman" w:hAnsi="Times New Roman" w:cs="Times New Roman"/>
          <w:sz w:val="28"/>
          <w:szCs w:val="28"/>
        </w:rPr>
        <w:t>-сообщения,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>. Пользователь попадает на «домашнюю страницу».</w:t>
      </w:r>
    </w:p>
    <w:p w14:paraId="309187F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«домашнюю страницу».</w:t>
      </w:r>
    </w:p>
    <w:p w14:paraId="5A19B29F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«Домашней странице»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>
        <w:rPr>
          <w:rFonts w:ascii="Times New Roman" w:hAnsi="Times New Roman" w:cs="Times New Roman"/>
          <w:sz w:val="28"/>
          <w:szCs w:val="28"/>
        </w:rPr>
        <w:t>«Долги», «Добавить долг», «Список друзей»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26E657D4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203A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18154476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02F0323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34F8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06CEEF4D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пользователя. Сервер присылает данные, либо сообщение об отсутствии новых уведомлений.</w:t>
      </w:r>
    </w:p>
    <w:p w14:paraId="03C02CB3" w14:textId="60E37A1A" w:rsidR="00F9638B" w:rsidRDefault="00F9638B" w:rsidP="00F9638B"/>
    <w:p w14:paraId="6E61A4BA" w14:textId="6A10BD20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922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Структура входных и выходных данных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337FC" w14:textId="77777777" w:rsidR="00F9638B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71076EF3" w14:textId="77777777" w:rsidR="00F9638B" w:rsidRDefault="00F9638B" w:rsidP="008131E7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5384727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B0E8C25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8232D47" w14:textId="77777777" w:rsidR="00F9638B" w:rsidRDefault="00F9638B" w:rsidP="00F9638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8CBB5C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69FC859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79E1BDF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79FF2F6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3E387CA4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18127F0A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8A065D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993165F" w14:textId="1A3BA52F" w:rsidR="00F9638B" w:rsidRPr="00544306" w:rsidRDefault="00F9638B" w:rsidP="00544306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0E082AB" w14:textId="77777777" w:rsidR="00F9638B" w:rsidRDefault="00F9638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CE147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922728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F9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ОЖИДАЕМЫЕ ТЕХНИКО-ЭКОНОМИЧЕСКИЕ ПОКАЗАТЕЛИ</w:t>
      </w:r>
      <w:bookmarkEnd w:id="15"/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DBE2632" w14:textId="7D3CC966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4624F275" w14:textId="77777777" w:rsidR="00C808AA" w:rsidRDefault="00C808A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64059B55" w:rsidR="00DA3363" w:rsidRDefault="00F9638B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5B5B55B2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59F377E9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6C4C1536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2853B98B" w14:textId="20073948" w:rsidR="00B71064" w:rsidRPr="00544306" w:rsidRDefault="00F9638B" w:rsidP="00544306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sectPr w:rsidR="00B71064" w:rsidRPr="00544306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4596" w14:textId="77777777" w:rsidR="00277A4A" w:rsidRDefault="00277A4A" w:rsidP="000268CE">
      <w:pPr>
        <w:spacing w:after="0" w:line="240" w:lineRule="auto"/>
      </w:pPr>
      <w:r>
        <w:separator/>
      </w:r>
    </w:p>
  </w:endnote>
  <w:endnote w:type="continuationSeparator" w:id="0">
    <w:p w14:paraId="05453621" w14:textId="77777777" w:rsidR="00277A4A" w:rsidRDefault="00277A4A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277A4A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277A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13FE" w14:textId="77777777" w:rsidR="00277A4A" w:rsidRDefault="00277A4A" w:rsidP="000268CE">
      <w:pPr>
        <w:spacing w:after="0" w:line="240" w:lineRule="auto"/>
      </w:pPr>
      <w:r>
        <w:separator/>
      </w:r>
    </w:p>
  </w:footnote>
  <w:footnote w:type="continuationSeparator" w:id="0">
    <w:p w14:paraId="00C6725F" w14:textId="77777777" w:rsidR="00277A4A" w:rsidRDefault="00277A4A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77A4A"/>
    <w:rsid w:val="002C58D7"/>
    <w:rsid w:val="00380C0C"/>
    <w:rsid w:val="003E1463"/>
    <w:rsid w:val="00454597"/>
    <w:rsid w:val="00544306"/>
    <w:rsid w:val="005B54DC"/>
    <w:rsid w:val="006248FA"/>
    <w:rsid w:val="00630418"/>
    <w:rsid w:val="006320C2"/>
    <w:rsid w:val="006B7158"/>
    <w:rsid w:val="0079367B"/>
    <w:rsid w:val="008131E7"/>
    <w:rsid w:val="0088662E"/>
    <w:rsid w:val="00895C60"/>
    <w:rsid w:val="00924D33"/>
    <w:rsid w:val="0095790F"/>
    <w:rsid w:val="009912B0"/>
    <w:rsid w:val="009C6079"/>
    <w:rsid w:val="00A11573"/>
    <w:rsid w:val="00A4192C"/>
    <w:rsid w:val="00A45183"/>
    <w:rsid w:val="00AA5C5D"/>
    <w:rsid w:val="00B46BAC"/>
    <w:rsid w:val="00B71064"/>
    <w:rsid w:val="00BA276E"/>
    <w:rsid w:val="00BC03CC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60815"/>
    <w:rsid w:val="00E608B4"/>
    <w:rsid w:val="00E822B7"/>
    <w:rsid w:val="00E847C2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24</cp:revision>
  <dcterms:created xsi:type="dcterms:W3CDTF">2023-04-18T13:01:00Z</dcterms:created>
  <dcterms:modified xsi:type="dcterms:W3CDTF">2023-05-23T14:14:00Z</dcterms:modified>
</cp:coreProperties>
</file>