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25346625"/>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