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29804159"/>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