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22053079"/>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El presente Plan de Iteración tiene como propósito establecer de manera organizada 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detallada las actividades que se llevarán a cabo durante esta etapa del proyecto.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Este documento también incluye la programación estimada, la asignación de responsabilidades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2">
      <w:pPr>
        <w:numPr>
          <w:ilvl w:val="1"/>
          <w:numId w:val="4"/>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6">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7">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9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