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04231569"/>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