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6261366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 (programador, tester, documentador, líder, etc.).</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