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FRAUD TAXONOMY DATABASE</w:t>
      </w:r>
    </w:p>
    <w:p>
      <w:pPr>
        <w:spacing w:after="2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Data Model Specification</w:t>
      </w:r>
    </w:p>
    <w:p>
      <w:pPr>
        <w:pBdr>
          <w:bottom w:val="single" w:color="1F3864" w:sz="8" w:space="4"/>
        </w:pBdr>
        <w:spacing w:after="16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Kenneth Knight  |  v0.2 — incorporates review comments KK1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Purpose &amp; Design Principles</w:t>
      </w:r>
    </w:p>
    <w:p>
      <w:pPr>
        <w:spacing w:after="60" w:before="6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This database catalogs fraud and scam typologies in human-readable depth while remaining machine-actionable for detection and enforcement. It is designed to expand as new fraud emerges, to interoperate with established threat-sharing standards, and to migrate cleanly to a hosted (AWS RDS) deployment for multi-organization use.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Expandable: </w:t>
      </w:r>
      <w:r>
        <w:rPr>
          <w:rFonts w:ascii="Arial" w:cs="Arial" w:eastAsia="Arial" w:hAnsi="Arial"/>
          <w:sz w:val="21"/>
          <w:szCs w:val="21"/>
        </w:rPr>
        <w:t xml:space="preserve">the taxonomy grows without schema rewrites as new fraud types, tag values, detection paradigms, and external APIs appear;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Interoperable: </w:t>
      </w:r>
      <w:r>
        <w:rPr>
          <w:rFonts w:ascii="Arial" w:cs="Arial" w:eastAsia="Arial" w:hAnsi="Arial"/>
          <w:sz w:val="21"/>
          <w:szCs w:val="21"/>
        </w:rPr>
        <w:t xml:space="preserve">core objects align with STIX 2.1 vocabulary; the application surfaces both the fraud-friendly and STIX names so data can be discussed and exchanged with threat-intel platforms;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Human-readable: </w:t>
      </w:r>
      <w:r>
        <w:rPr>
          <w:rFonts w:ascii="Arial" w:cs="Arial" w:eastAsia="Arial" w:hAnsi="Arial"/>
          <w:sz w:val="21"/>
          <w:szCs w:val="21"/>
        </w:rPr>
        <w:t xml:space="preserve">every fraud type carries rich narrative plus filterable tag dimensions for analyst and investigator use;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Sociologically aware: </w:t>
      </w:r>
      <w:r>
        <w:rPr>
          <w:rFonts w:ascii="Arial" w:cs="Arial" w:eastAsia="Arial" w:hAnsi="Arial"/>
          <w:sz w:val="21"/>
          <w:szCs w:val="21"/>
        </w:rPr>
        <w:t xml:space="preserve">captures victim and fraudster sociological dimensions STIX does not model;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Human-in-the-loop: </w:t>
      </w:r>
      <w:r>
        <w:rPr>
          <w:rFonts w:ascii="Arial" w:cs="Arial" w:eastAsia="Arial" w:hAnsi="Arial"/>
          <w:sz w:val="21"/>
          <w:szCs w:val="21"/>
        </w:rPr>
        <w:t xml:space="preserve">the scraper never writes to live tables; a human reviews and edits candidates before commit, with separate handling for bulk data vs. narrative;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Portable: </w:t>
      </w:r>
      <w:r>
        <w:rPr>
          <w:rFonts w:ascii="Arial" w:cs="Arial" w:eastAsia="Arial" w:hAnsi="Arial"/>
          <w:sz w:val="21"/>
          <w:szCs w:val="21"/>
        </w:rPr>
        <w:t xml:space="preserve">standard PostgreSQL types, versioned migrations, env-based config — clean path to AWS RDS.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The Three Detection Paradigms</w:t>
      </w:r>
    </w:p>
    <w:p>
      <w:pPr>
        <w:spacing w:after="60" w:before="6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Detection clusters into three paradigms; the schema holds all three via one unified signal table with a class discriminator.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600"/>
        <w:gridCol w:w="236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Paradigm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system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Nature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we model it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Hash / signature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Meta HMA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Deterministic; anonymous fingerprint of known-bad content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signal, signal_class='hash'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Persistent selector / IOC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Device fingerprinting; TransUnion device-ID (survives SIM swap)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Hard identifiers: IP, IMEI, MAC, wallet, domain, mule account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selector_value rows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Behavioral / content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Velocity rules; SIM-swap classifiers; 'one-sided repetitive script' example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Probabilistic heuristic over usage patterns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signal, signal_class='behavioral' + heuristic + confidence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Core Objects (STIX-aligned spine)</w:t>
      </w:r>
    </w:p>
    <w:p>
      <w:pPr>
        <w:shd w:fill="E8F4E8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2E5E2E"/>
          <w:sz w:val="19"/>
          <w:szCs w:val="19"/>
        </w:rPr>
        <w:t xml:space="preserve">UPDATED v0.2 — </w:t>
      </w:r>
      <w:r>
        <w:rPr>
          <w:rFonts w:ascii="Arial" w:cs="Arial" w:eastAsia="Arial" w:hAnsi="Arial"/>
          <w:i/>
          <w:iCs/>
          <w:color w:val="2E5E2E"/>
          <w:sz w:val="19"/>
          <w:szCs w:val="19"/>
        </w:rPr>
        <w:t xml:space="preserve">[KK: bridge naming in the app] The database uses fraud-friendly table names. The Flask application displays the STIX equivalent inline beside each object (e.g., 'Signal / STIX: indicator') and provides a dedicated STIX Mapping reference page, so interoperability is visible without sacrificing readability.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00"/>
        <w:gridCol w:w="4760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Our table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STIX equivalent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holds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fraud_type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attack-pattern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Taxonomy spine: one row per fraud/scam type, rich narrative + tags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signal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indicator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Unified detection signals (hash/selector/behavioral) + heuristic, confidence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selector_value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observed-data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Hard IOC values: IP, IMEI, MAC, crypto wallet, mule account, phone, domain, email, gift-card code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ttp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attack-pattern / course-of-action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Techniques mapped to a HUMINT-cycle phase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fraudster_profile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threat-actor / identity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Who runs the scheme (Section 5)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victim_profile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(custom)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Victim/intermediary sociology (Section 5)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sighting / observed-data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recorded real-world instance; carries public-record source URLs; can tag multiple fraud_types (blended)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example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(narrative)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Human-readable case writeups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external-reference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Provenance/citation for every fact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relationship (SRO)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Generic subject-predicate-object link between ANY two objects</w:t>
            </w:r>
          </w:p>
        </w:tc>
      </w:tr>
    </w:tbl>
    <w:p>
      <w:pPr>
        <w:spacing w:after="60" w:before="6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The relationship table delivers expandability: any object links to any other, so new fraud structures need no schema change.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The Signal Table (heart of the system)</w:t>
      </w:r>
    </w:p>
    <w:p>
      <w:pPr>
        <w:spacing w:after="60" w:before="6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 'scam vectors and classifiers' section. One table, discriminated by signal_class, so new paradigms slot in with zero schema change. Behavioral signals carry a human-readable heuristic and a confidence rating — the bridge between taxonomy and enforcement classifier.</w:t>
      </w:r>
    </w:p>
    <w:p>
      <w:pPr>
        <w:shd w:fill="F0F0F0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signal_id SERIAL PK  |  fraud_type_id FK  |  signal_class 'hash'|'selector'|'behavioral'</w:t>
      </w:r>
    </w:p>
    <w:p>
      <w:pPr>
        <w:shd w:fill="F0F0F0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name  |  detection_heuristic (human-readable rule)  |  pattern JSONB (class-specific)</w:t>
      </w:r>
    </w:p>
    <w:p>
      <w:pPr>
        <w:shd w:fill="F0F0F0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confidence  |  ttp_phase  |  false_positive_note  |  created_at / updated_at</w:t>
      </w:r>
    </w:p>
    <w:p>
      <w:pPr>
        <w:spacing w:after="60" w:before="60" w:line="276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Worked example — the Claude-usage observation: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class='behavioral'; name='Repetitive one-sided script across personas'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heuristic='Single account submits near-identical opening messages in sequence, each addressed to a different persona, consistent with one script run against many victims.'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confidence='medium'; ttp_phase='Developing'; fp_note='Legitimate template outreach can resemble this; weight with victim-targeting language.'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Sociological Objects + Tag Vocabularies</w:t>
      </w:r>
    </w:p>
    <w:p>
      <w:pPr>
        <w:shd w:fill="E8F4E8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2E5E2E"/>
          <w:sz w:val="19"/>
          <w:szCs w:val="19"/>
        </w:rPr>
        <w:t xml:space="preserve">UPDATED v0.2 — </w:t>
      </w:r>
      <w:r>
        <w:rPr>
          <w:rFonts w:ascii="Arial" w:cs="Arial" w:eastAsia="Arial" w:hAnsi="Arial"/>
          <w:i/>
          <w:iCs/>
          <w:color w:val="2E5E2E"/>
          <w:sz w:val="19"/>
          <w:szCs w:val="19"/>
        </w:rPr>
        <w:t xml:space="preserve">[KK: line 104] Communication vector, AI-leverage, and fraud target are modeled as filterable tag vocabularies (many-to-many with fraud_type), not free text — so you can query e.g. 'all fraud types that leverage AI translation.' Cash-out method joins them as a fourth tag vocabulary, while concrete cash-out values (wallet, mule account, gift-card code) also flow into selector_value at the instance level.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Four Tag Vocabularies (filterable, many-to-many)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Vocabulary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values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communication_vector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telephone voice, SMS/text, Facebook, Facebook Marketplace, Craigslist, want-ads, email, dating app, messaging app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ai_leverage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translation, image creation, narrative production, voice cloning, deepfake video, code generation, persona automation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fraud_target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credentials, retirement income, PII, government benefits, payment-card data, crypto holdings, corporate funds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cash_out_method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gift card, bank/wire transfer, cryptocurrency, money mule, P2P payment app, prepaid card</w:t>
            </w:r>
          </w:p>
        </w:tc>
      </w:tr>
    </w:tbl>
    <w:p>
      <w:pPr>
        <w:spacing w:after="60" w:before="6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cash_out_method values cross-reference the matching selector_type, so the analytical tag and the detectable IOC stay linked.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fraudster_profile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organization_type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lone actor, organized crime, state-affiliated, call-center / 'scam compound'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motivation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financial, ideological, coerced (e.g., trafficked scam-compound labor)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sophistication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low / medium / high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typical_origin_region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qualitative free text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modus_narrative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human-readable description of how this actor type operates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victim_profile</w:t>
      </w:r>
    </w:p>
    <w:p>
      <w:pPr>
        <w:shd w:fill="E8F4E8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2E5E2E"/>
          <w:sz w:val="19"/>
          <w:szCs w:val="19"/>
        </w:rPr>
        <w:t xml:space="preserve">UPDATED v0.2 — </w:t>
      </w:r>
      <w:r>
        <w:rPr>
          <w:rFonts w:ascii="Arial" w:cs="Arial" w:eastAsia="Arial" w:hAnsi="Arial"/>
          <w:i/>
          <w:iCs/>
          <w:color w:val="2E5E2E"/>
          <w:sz w:val="19"/>
          <w:szCs w:val="19"/>
        </w:rPr>
        <w:t xml:space="preserve">[KK: line 114] victim_motivation now explicitly covers the manipulated intermediary — e.g., a call-center or corporate employee induced to validate a caller or authorize a transfer — not only the ultimate scam target.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demographic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age band, life situation (qualitative, privacy-aware)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susceptibility_factor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loneliness, financial pressure, authority deference, crypto-curiosity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victim_motivation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what the victim/intermediary believed (romance, ROI, job offer; or, for an employee, the need to validate a caller, follow apparent authority, complete a transaction)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typical_loss_profile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qualitative loss/impact description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trauma_consideration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victim-interview / handling notes (trauma-informed approach)</w:t>
            </w:r>
          </w:p>
        </w:tc>
      </w:tr>
    </w:tbl>
    <w:p>
      <w:pPr>
        <w:spacing w:after="60" w:before="6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victim_profile holds typology-level sociology only — never personally identifiable victim data.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TTP Phases — HUMINT Cycle</w:t>
      </w:r>
    </w:p>
    <w:p>
      <w:pPr>
        <w:shd w:fill="E8F4E8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2E5E2E"/>
          <w:sz w:val="19"/>
          <w:szCs w:val="19"/>
        </w:rPr>
        <w:t xml:space="preserve">UPDATED v0.2 — </w:t>
      </w:r>
      <w:r>
        <w:rPr>
          <w:rFonts w:ascii="Arial" w:cs="Arial" w:eastAsia="Arial" w:hAnsi="Arial"/>
          <w:i/>
          <w:iCs/>
          <w:color w:val="2E5E2E"/>
          <w:sz w:val="19"/>
          <w:szCs w:val="19"/>
        </w:rPr>
        <w:t xml:space="preserve">[KK: line 150] TTP phases use the HUMINT recruitment cycle, which maps the fraudster-victim relationship far better than coarse cyber kill-chains. Cash-out is NOT a phase — it is a method (tag + selector), since milking recurs throughout Handling rather than occurring once.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Fraud meaning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Spotting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Identifying and locating potential victims (lead lists, dating apps, marketplace trawling)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Assessing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Probing susceptibility, wealth, loneliness, authority to act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Developing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Building rapport / trust; the grooming arc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Recruiting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Securing the victim's commitment to the fraudulent premise (the 'ask')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Handling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Ongoing exploitation and repeated extraction; sustaining the relationship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Termination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Disengagement — fraudster vanishes on confrontation, or victim is exhausted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Observations &amp; Public-Record Sourcing</w:t>
      </w:r>
    </w:p>
    <w:p>
      <w:pPr>
        <w:shd w:fill="E8F4E8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2E5E2E"/>
          <w:sz w:val="19"/>
          <w:szCs w:val="19"/>
        </w:rPr>
        <w:t xml:space="preserve">UPDATED v0.2 — </w:t>
      </w:r>
      <w:r>
        <w:rPr>
          <w:rFonts w:ascii="Arial" w:cs="Arial" w:eastAsia="Arial" w:hAnsi="Arial"/>
          <w:i/>
          <w:iCs/>
          <w:color w:val="2E5E2E"/>
          <w:sz w:val="19"/>
          <w:szCs w:val="19"/>
        </w:rPr>
        <w:t xml:space="preserve">[KK: line 45] observation captures source URLs from DoJ filings, global law-enforcement releases, and other legally available public-domain matches. Fields: source_url, agency/publisher, case_identifier, jurisdiction, retrieved_at. These public-record sources are the scraper's primary, responsibly-sourced targets.</w:t>
      </w:r>
    </w:p>
    <w:p>
      <w:pPr>
        <w:shd w:fill="E8F4E8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2E5E2E"/>
          <w:sz w:val="19"/>
          <w:szCs w:val="19"/>
        </w:rPr>
        <w:t xml:space="preserve">UPDATED v0.2 — </w:t>
      </w:r>
      <w:r>
        <w:rPr>
          <w:rFonts w:ascii="Arial" w:cs="Arial" w:eastAsia="Arial" w:hAnsi="Arial"/>
          <w:i/>
          <w:iCs/>
          <w:color w:val="2E5E2E"/>
          <w:sz w:val="19"/>
          <w:szCs w:val="19"/>
        </w:rPr>
        <w:t xml:space="preserve">[KK: line 152] observation supports many-to-many with fraud_type, so blended scams (e.g., romance -&gt; crypto-investment) carry multiple tags.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Two-Lane Human-in-the-Loop Staging</w:t>
      </w:r>
    </w:p>
    <w:p>
      <w:pPr>
        <w:shd w:fill="E8F4E8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2E5E2E"/>
          <w:sz w:val="19"/>
          <w:szCs w:val="19"/>
        </w:rPr>
        <w:t xml:space="preserve">UPDATED v0.2 — </w:t>
      </w:r>
      <w:r>
        <w:rPr>
          <w:rFonts w:ascii="Arial" w:cs="Arial" w:eastAsia="Arial" w:hAnsi="Arial"/>
          <w:i/>
          <w:iCs/>
          <w:color w:val="2E5E2E"/>
          <w:sz w:val="19"/>
          <w:szCs w:val="19"/>
        </w:rPr>
        <w:t xml:space="preserve">[KK: line 132] Review is split by data type: a BULK lane for high-volume deterministic data (hash/selector lists) approved or rejected as a batch keyed on provenance; and a SINGLE-REVIEW lane for narrative/behavioral text, edited one at a time before commit. Human attention concentrates where ambiguity lives.</w:t>
      </w:r>
    </w:p>
    <w:p>
      <w:pPr>
        <w:spacing w:after="60" w:before="6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staging_entry gains a review_lane field ('bulk' | 'single') and a provenance field so batches can be trust-approved by source while text entries route to individual review.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External-System / API Bridge</w:t>
      </w:r>
    </w:p>
    <w:p>
      <w:pPr>
        <w:shd w:fill="E8F4E8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2E5E2E"/>
          <w:sz w:val="19"/>
          <w:szCs w:val="19"/>
        </w:rPr>
        <w:t xml:space="preserve">UPDATED v0.2 — </w:t>
      </w:r>
      <w:r>
        <w:rPr>
          <w:rFonts w:ascii="Arial" w:cs="Arial" w:eastAsia="Arial" w:hAnsi="Arial"/>
          <w:i/>
          <w:iCs/>
          <w:color w:val="2E5E2E"/>
          <w:sz w:val="19"/>
          <w:szCs w:val="19"/>
        </w:rPr>
        <w:t xml:space="preserve">[KK: line 154] New APIs are addable as discovered — a data insert, never a schema change. external_system gains an api_config JSONB field to hold per-API connection detail.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external_system: </w:t>
      </w:r>
      <w:r>
        <w:rPr>
          <w:rFonts w:ascii="Arial" w:cs="Arial" w:eastAsia="Arial" w:hAnsi="Arial"/>
          <w:sz w:val="21"/>
          <w:szCs w:val="21"/>
        </w:rPr>
        <w:t xml:space="preserve">registry: name, type, description, api_config (JSONB). Pre-seeded with HMA, TransUnion, STIX/TAXII, CISA AIS, and DoJ/IC3 as starting entries.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external_reference: </w:t>
      </w:r>
      <w:r>
        <w:rPr>
          <w:rFonts w:ascii="Arial" w:cs="Arial" w:eastAsia="Arial" w:hAnsi="Arial"/>
          <w:sz w:val="21"/>
          <w:szCs w:val="21"/>
        </w:rPr>
        <w:t xml:space="preserve">pointer from any signal/observation to an external system, storing the reference (not the proprietary data).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Migration &amp; Build Order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Now: </w:t>
      </w:r>
      <w:r>
        <w:rPr>
          <w:rFonts w:ascii="Arial" w:cs="Arial" w:eastAsia="Arial" w:hAnsi="Arial"/>
          <w:sz w:val="21"/>
          <w:szCs w:val="21"/>
        </w:rPr>
        <w:t xml:space="preserve">versioned .sql (001_schema, 002_seed); env-based connection; standard PG types; JSONB for flexible detail; GIN full-text on the spine.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Build order: </w:t>
      </w:r>
      <w:r>
        <w:rPr>
          <w:rFonts w:ascii="Arial" w:cs="Arial" w:eastAsia="Arial" w:hAnsi="Arial"/>
          <w:sz w:val="21"/>
          <w:szCs w:val="21"/>
        </w:rPr>
        <w:t xml:space="preserve">schema + seed -&gt; load to local Postgres on macOS -&gt; verify with sample queries -&gt; your sign-off.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Then: </w:t>
      </w:r>
      <w:r>
        <w:rPr>
          <w:rFonts w:ascii="Arial" w:cs="Arial" w:eastAsia="Arial" w:hAnsi="Arial"/>
          <w:sz w:val="21"/>
          <w:szCs w:val="21"/>
        </w:rPr>
        <w:t xml:space="preserve">on approval: Flask app (taxonomy browser with STIX name bridge, signal/selector views, two-lane staging review) -&gt; responsible-sourcing scraper (public-record targets, writes to staging only).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Future: </w:t>
      </w:r>
      <w:r>
        <w:rPr>
          <w:rFonts w:ascii="Arial" w:cs="Arial" w:eastAsia="Arial" w:hAnsi="Arial"/>
          <w:sz w:val="21"/>
          <w:szCs w:val="21"/>
        </w:rPr>
        <w:t xml:space="preserve">read-only roles + row-level security for multi-tenant hosting (Postgres-native), deferred to the hosted phase.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2026-06-02T03:34:17.171Z</dcterms:created>
  <dcterms:modified xsi:type="dcterms:W3CDTF">2026-06-02T03:34:17.183Z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