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№9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«Ревизия требований и план второй версии»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Пересмотреть требования к ИС «Видеостудия/продакшн — управление проектами» по итогам первой версии (ПР №1–8), уточнить функциональные и нефункциональные требования для версии 2.0, описать новые сценарии использования и составить план разработки этапа III с учётом зависимостей, рисков и будущего масштабирования.</w:t>
      </w:r>
    </w:p>
    <w:bookmarkEnd w:id="20"/>
    <w:bookmarkStart w:id="21" w:name="X85c3d192af18ebaa632c1f701ece99ca35ee731"/>
    <w:p>
      <w:pPr>
        <w:pStyle w:val="Heading1"/>
      </w:pPr>
      <w:r>
        <w:t xml:space="preserve">1. Итоги версии 1.0 и источники новых требований</w:t>
      </w:r>
    </w:p>
    <w:p>
      <w:pPr>
        <w:pStyle w:val="FirstParagraph"/>
      </w:pPr>
      <w:r>
        <w:t xml:space="preserve">Версия 1.0 (MVP) закрыла требования FR-01…FR-07: список проектов, создание проекта с проверкой данных, карточка проекта, задачи по этапам и справочники. Тестовое окружение работает в Docker Compose, 14 автотестов проходят.</w:t>
      </w:r>
    </w:p>
    <w:p>
      <w:pPr>
        <w:pStyle w:val="BodyText"/>
      </w:pPr>
      <w:r>
        <w:t xml:space="preserve">Для ревизии требований использовались четыре источника: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551"/>
        <w:gridCol w:w="3402"/>
        <w:gridCol w:w="3402"/>
      </w:tblGrid>
      <w:tr>
        <w:trPr>
          <w:tblHeader w:val="true"/>
        </w:trPr>
        <w:tc>
          <w:tcPr>
            <w:tcW w:type="dxa" w:w="255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Метод сбора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сделано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выявлено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Демонстрация MVP «заказчику» (роль продюсера)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Пройден сценарий от создания проекта до закрытия задач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Нужен перевод проекта по этапам, нельзя «сдать» проект с открытыми задачами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Анализ отложенных требований (C/S) из ПР №2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Пересмотрены FR-08…FR-12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Вход и роли стали обязательными: без них систему нельзя выставлять в сеть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Разбор замечаний ПР №7–8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Журналы, отказ БД, перезапуск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Нужны мониторинг, резервные копии, HTTPS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jc w:val="left"/>
            </w:pPr>
            <w:r>
              <w:t xml:space="preserve">Анализ данных схемы БД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Таблицы</w:t>
            </w:r>
            <w:r>
              <w:t xml:space="preserve"> </w:t>
            </w:r>
            <w:r>
              <w:rPr>
                <w:rStyle w:val="VerbatimChar"/>
              </w:rPr>
              <w:t xml:space="preserve">equipment_bookings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project_members</w:t>
            </w:r>
            <w:r>
              <w:t xml:space="preserve"> </w:t>
            </w:r>
            <w:r>
              <w:t xml:space="preserve">есть, но API к ним нет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t xml:space="preserve">Бронирование и группа реализуются без смены модели, только API и интерфейс</w:t>
            </w:r>
          </w:p>
        </w:tc>
      </w:tr>
    </w:tbl>
    <w:p>
      <w:pPr>
        <w:pStyle w:val="BodyText"/>
      </w:pPr>
      <w:r>
        <w:t xml:space="preserve">Требования документируются в таблицах (ID, формулировка, критерий проверки, приоритет MoSCoW, версия), сценарии — текстом и диаграммой вариантов использования. Каждое требование получает проверяемый критерий, по которому потом пишется автотест.</w:t>
      </w:r>
    </w:p>
    <w:bookmarkEnd w:id="21"/>
    <w:bookmarkStart w:id="22" w:name="функциональные-требования-версии-2.0"/>
    <w:p>
      <w:pPr>
        <w:pStyle w:val="Heading1"/>
      </w:pPr>
      <w:r>
        <w:t xml:space="preserve">2. Функциональные требования версии 2.0</w:t>
      </w:r>
    </w:p>
    <w:p>
      <w:pPr>
        <w:pStyle w:val="FirstParagraph"/>
      </w:pPr>
      <w:r>
        <w:t xml:space="preserve">Требования FR-01…FR-07 остаются без изменений (API версии 1.0 должно работать как прежде). Ниже — новые и пересмотренные.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935"/>
        <w:gridCol w:w="2729"/>
        <w:gridCol w:w="3275"/>
        <w:gridCol w:w="1479"/>
        <w:gridCol w:w="935"/>
      </w:tblGrid>
      <w:tr>
        <w:trPr>
          <w:tblHeader w:val="true"/>
        </w:trPr>
        <w:tc>
          <w:tcPr>
            <w:tcW w:type="dxa" w:w="9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Критерий проверки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Приоритет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Было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Перевод проекта по этапам производства по правилам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Разрешены только переходы из таблицы раздела 4; перевод в «Сдан» при незакрытых задачах отклоняется (409)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S, v2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Бронирование оборудования без пересечений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Пересекающаяся бронь той же единицы отклоняется (409) с указанием конфликта, стык интервалов допустим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C, v2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Управление съёмочной группой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Добавление сотрудника с ролью, смена роли, исключение; повторное добавление не создаёт дубль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C, v2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Вход в систему и права по ролям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Без входа API отвечает 401; монтажёр не может создать проект (403); продюсер меняет только свои проекты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S, v2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Отчёт о загрузке сотрудников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Для каждого сотрудника: открытые, текущие, просроченные задачи и число проектов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C, v2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История смены статусов проекта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Каждое изменение статуса сохраняется с автором, временем и комментарием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Поиск и постраничный вывод проектов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Поиск по подстроке названия,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t xml:space="preserve">, общее число в заголовке</w:t>
            </w:r>
            <w:r>
              <w:t xml:space="preserve"> </w:t>
            </w:r>
            <w:r>
              <w:rPr>
                <w:rStyle w:val="VerbatimChar"/>
              </w:rPr>
              <w:t xml:space="preserve">X-Total-Count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Редактирование и удаление задач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Продюсер проекта меняет любые поля, исполнитель — только статус своей задачи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Документация API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Спецификация OpenAPI 3.0 описывает все маршруты, интерактивная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  <w:tr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>
            <w:tcW w:type="dxa" w:w="2729"/>
          </w:tcPr>
          <w:p>
            <w:pPr>
              <w:pStyle w:val="Compact"/>
              <w:jc w:val="left"/>
            </w:pPr>
            <w:r>
              <w:t xml:space="preserve">Учётные записи сотрудников</w:t>
            </w:r>
          </w:p>
        </w:tc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Администратор создаёт сотрудника с паролем; пароль хранится только в виде хеша</w:t>
            </w:r>
          </w:p>
        </w:tc>
        <w:tc>
          <w:tcPr>
            <w:tcW w:type="dxa" w:w="148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новое</w:t>
            </w:r>
          </w:p>
        </w:tc>
      </w:tr>
    </w:tbl>
    <w:bookmarkEnd w:id="22"/>
    <w:bookmarkStart w:id="23" w:name="нефункциональные-требования-версии-2.0"/>
    <w:p>
      <w:pPr>
        <w:pStyle w:val="Heading1"/>
      </w:pPr>
      <w:r>
        <w:t xml:space="preserve">3. Нефункциональные требования версии 2.0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071"/>
        <w:gridCol w:w="2704"/>
        <w:gridCol w:w="5579"/>
      </w:tblGrid>
      <w:tr>
        <w:trPr>
          <w:tblHeader w:val="true"/>
        </w:trPr>
        <w:tc>
          <w:tcPr>
            <w:tcW w:type="dxa" w:w="10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Измеримый критерий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Медиана ответа</w:t>
            </w:r>
            <w:r>
              <w:t xml:space="preserve"> </w:t>
            </w:r>
            <w:r>
              <w:rPr>
                <w:rStyle w:val="VerbatimChar"/>
              </w:rPr>
              <w:t xml:space="preserve">GET /api/projects</w:t>
            </w:r>
            <w:r>
              <w:t xml:space="preserve"> </w:t>
            </w:r>
            <w:r>
              <w:t xml:space="preserve">≤ 500 мс, 95-й перцентиль ≤ 500 мс при 8 параллельных клиентах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Корректность ввода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100 % входных данных проверяются на сервере, ошибки 400 с сообщением по каждому полю, неизвестные поля отклоняются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Пароли — хеш scrypt; токены подписаны и истекают через 8 ч; защита от перебора: 5 неудачных входов на e-mail за 15 мин; HTTPS; заголовки CSP, HSTS, X-Frame-Options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Развёртываемость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Выпуск новой версии одной командой с автоматическим откатом при провале проверки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Тестируемость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Не менее 50 автотестов; тесты версии 1.0 проходят без изменений (обратная совместимость)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Приложение поднимается после аварийного завершения ≤ 30 с; отказ БД не роняет приложение (ответ 503), после восстановления БД работа продолжается без перезапуска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Сопровождаемость схемы БД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Любое изменение схемы — пронумерованная миграция, применяется автоматически, повторный запуск безопасен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Наблюдаемость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Журнал в JSON с идентификатором запроса, метрики Prometheus, оповещения о недоступности приложения и БД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tcPr>
            <w:tcW w:type="dxa" w:w="2704"/>
          </w:tcPr>
          <w:p>
            <w:pPr>
              <w:pStyle w:val="Compact"/>
              <w:jc w:val="left"/>
            </w:pPr>
            <w:r>
              <w:t xml:space="preserve">Восстановимость</w:t>
            </w:r>
          </w:p>
        </w:tc>
        <w:tc>
          <w:tcPr>
            <w:tcW w:type="dxa" w:w="5579"/>
          </w:tcPr>
          <w:p>
            <w:pPr>
              <w:pStyle w:val="Compact"/>
              <w:jc w:val="left"/>
            </w:pPr>
            <w:r>
              <w:t xml:space="preserve">Ежедневная резервная копия БД; RPO ≤ 24 ч, RTO ≤ 15 мин; процедура восстановления проверена</w:t>
            </w:r>
          </w:p>
        </w:tc>
      </w:tr>
    </w:tbl>
    <w:bookmarkEnd w:id="23"/>
    <w:bookmarkStart w:id="27" w:name="сценарии-использования-версии-2.0"/>
    <w:p>
      <w:pPr>
        <w:pStyle w:val="Heading1"/>
      </w:pPr>
      <w:r>
        <w:t xml:space="preserve">4. Сценарии использования версии 2.0</w:t>
      </w:r>
    </w:p>
    <w:p>
      <w:pPr>
        <w:pStyle w:val="CaptionedFigure"/>
      </w:pPr>
      <w:r>
        <w:drawing>
          <wp:inline>
            <wp:extent cx="5759999" cy="5511691"/>
            <wp:effectExtent b="0" l="0" r="0" t="0"/>
            <wp:docPr descr="Рисунок 1 — Диаграмма вариантов использования версии 2.0" title="" id="25" name="Picture"/>
            <a:graphic>
              <a:graphicData uri="http://schemas.openxmlformats.org/drawingml/2006/picture">
                <pic:pic>
                  <pic:nvPicPr>
                    <pic:cNvPr descr="../diagrams/usecase_v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51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Диаграмма вариантов использования версии 2.0</w:t>
      </w:r>
    </w:p>
    <w:p>
      <w:pPr>
        <w:pStyle w:val="BodyText"/>
      </w:pPr>
      <w:r>
        <w:rPr>
          <w:bCs/>
          <w:b/>
        </w:rPr>
        <w:t xml:space="preserve">UC-0. Вход в систему.</w:t>
      </w:r>
      <w:r>
        <w:t xml:space="preserve"> </w:t>
      </w:r>
      <w:r>
        <w:t xml:space="preserve">Актор: любой сотрудник. Сотрудник вводит e-mail и пароль, система проверяет учётную запись и выдаёт токен на 8 часов; интерфейс показывает имя и роль. Ошибка: неверный пароль — «Неверный e-mail или пароль» (одинаково для несуществующего e-mail); после 5 ошибок вход по этому e-mail блокируется на 15 минут.</w:t>
      </w:r>
    </w:p>
    <w:p>
      <w:pPr>
        <w:pStyle w:val="BodyText"/>
      </w:pPr>
      <w:r>
        <w:rPr>
          <w:bCs/>
          <w:b/>
        </w:rPr>
        <w:t xml:space="preserve">UC-6. Перевод проекта на следующий этап.</w:t>
      </w:r>
      <w:r>
        <w:t xml:space="preserve"> </w:t>
      </w:r>
      <w:r>
        <w:t xml:space="preserve">Актор: продюсер проекта или администратор. В карточке выбирается один из разрешённых статусов и, при желании, комментарий. Система проверяет правило перехода, сохраняет статус и запись истории. Альтернатива: перевод в «Сдан» при открытых задачах — отказ с числом незакрытых задач.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888"/>
        <w:gridCol w:w="7467"/>
      </w:tblGrid>
      <w:tr>
        <w:trPr>
          <w:tblHeader w:val="true"/>
        </w:trPr>
        <w:tc>
          <w:tcPr>
            <w:tcW w:type="dxa" w:w="188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Из статуса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Можно перейти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Препродакшн, Отменён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Препродакшн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Съёмка, Отменён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Съёмка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Постпродакшн, Препродакшн (пересъёмка), Отменён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Постпродакшн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Согласование, Съёмка (досъёмка), Отменён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Согласование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Сдан (все задачи закрыты), Постпродакшн (правки), Отменён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Сдан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— (конечный)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Отменён</w:t>
            </w:r>
          </w:p>
        </w:tc>
        <w:tc>
          <w:tcPr>
            <w:tcW w:type="dxa" w:w="7466"/>
          </w:tcPr>
          <w:p>
            <w:pPr>
              <w:pStyle w:val="Compact"/>
              <w:jc w:val="left"/>
            </w:pPr>
            <w:r>
              <w:t xml:space="preserve">Новый (возобновление)</w:t>
            </w:r>
          </w:p>
        </w:tc>
      </w:tr>
    </w:tbl>
    <w:p>
      <w:pPr>
        <w:pStyle w:val="BodyText"/>
      </w:pPr>
      <w:r>
        <w:rPr>
          <w:bCs/>
          <w:b/>
        </w:rPr>
        <w:t xml:space="preserve">UC-7. Бронирование оборудования.</w:t>
      </w:r>
      <w:r>
        <w:t xml:space="preserve"> </w:t>
      </w:r>
      <w:r>
        <w:t xml:space="preserve">Актор: продюсер. Выбирается единица оборудования и интервал «с — по». Система проверяет, что единица в работе, интервал корректен и не пересекается с другими бронями. Ошибка: пересечение — сообщение с названием проекта, который уже занял оборудование.</w:t>
      </w:r>
    </w:p>
    <w:p>
      <w:pPr>
        <w:pStyle w:val="BodyText"/>
      </w:pPr>
      <w:r>
        <w:rPr>
          <w:bCs/>
          <w:b/>
        </w:rPr>
        <w:t xml:space="preserve">UC-8. Набор съёмочной группы.</w:t>
      </w:r>
      <w:r>
        <w:t xml:space="preserve"> </w:t>
      </w:r>
      <w:r>
        <w:t xml:space="preserve">Актор: продюсер. Выбирает сотрудника и вводит его роль в проекте; повторное добавление меняет роль. Исключение из группы — кнопкой в списке.</w:t>
      </w:r>
    </w:p>
    <w:p>
      <w:pPr>
        <w:pStyle w:val="BodyText"/>
      </w:pPr>
      <w:r>
        <w:rPr>
          <w:bCs/>
          <w:b/>
        </w:rPr>
        <w:t xml:space="preserve">UC-9. Отчёт о загрузке.</w:t>
      </w:r>
      <w:r>
        <w:t xml:space="preserve"> </w:t>
      </w:r>
      <w:r>
        <w:t xml:space="preserve">Актор: продюсер, администратор. Таблица сотрудников по убыванию числа открытых задач, просроченные выделены.</w:t>
      </w:r>
    </w:p>
    <w:p>
      <w:pPr>
        <w:pStyle w:val="BodyText"/>
      </w:pPr>
      <w:r>
        <w:rPr>
          <w:bCs/>
          <w:b/>
        </w:rPr>
        <w:t xml:space="preserve">UC-5 (изменён). Изменение статуса своей задачи.</w:t>
      </w:r>
      <w:r>
        <w:t xml:space="preserve"> </w:t>
      </w:r>
      <w:r>
        <w:t xml:space="preserve">Оператор и монтажёр меняют статус только тех задач, где они исполнители; остальные поля задачи им недоступны.</w:t>
      </w:r>
    </w:p>
    <w:bookmarkEnd w:id="27"/>
    <w:bookmarkStart w:id="28" w:name="ограничения-и-решения-по-архитектуре"/>
    <w:p>
      <w:pPr>
        <w:pStyle w:val="Heading1"/>
      </w:pPr>
      <w:r>
        <w:t xml:space="preserve">5. Ограничения и решения по архитектуре</w:t>
      </w:r>
    </w:p>
    <w:p>
      <w:pPr>
        <w:pStyle w:val="FirstParagraph"/>
      </w:pPr>
      <w:r>
        <w:t xml:space="preserve">Архитектура остаётся монолитной (Flask + PostgreSQL), меняется только её окружение:</w:t>
      </w:r>
    </w:p>
    <w:p>
      <w:pPr>
        <w:numPr>
          <w:ilvl w:val="0"/>
          <w:numId w:val="1001"/>
        </w:numPr>
        <w:pStyle w:val="Compact"/>
      </w:pPr>
      <w:r>
        <w:t xml:space="preserve">аутентификация по токену Bearer, а не по cookie: интерфейс и внешние клиенты используют один и тот же API, защита от CSRF не нужна;</w:t>
      </w:r>
    </w:p>
    <w:p>
      <w:pPr>
        <w:numPr>
          <w:ilvl w:val="0"/>
          <w:numId w:val="1001"/>
        </w:numPr>
        <w:pStyle w:val="Compact"/>
      </w:pPr>
      <w:r>
        <w:t xml:space="preserve">правила (переходы статусов, пересечение броней) проверяются и в приложении (понятные сообщения), и в БД (ограничения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) — БД защищает данные при одновременных запросах;</w:t>
      </w:r>
    </w:p>
    <w:p>
      <w:pPr>
        <w:numPr>
          <w:ilvl w:val="0"/>
          <w:numId w:val="1001"/>
        </w:numPr>
        <w:pStyle w:val="Compact"/>
      </w:pPr>
      <w:r>
        <w:t xml:space="preserve">перед приложением ставится обратный прокси nginx: HTTPS, ограничение частоты, закрытие служебных адресов.</w:t>
      </w:r>
    </w:p>
    <w:bookmarkEnd w:id="28"/>
    <w:bookmarkStart w:id="29" w:name="план-разработки-этапа-iii"/>
    <w:p>
      <w:pPr>
        <w:pStyle w:val="Heading1"/>
      </w:pPr>
      <w:r>
        <w:t xml:space="preserve">6. План разработки этапа III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527"/>
        <w:gridCol w:w="2160"/>
        <w:gridCol w:w="2891"/>
        <w:gridCol w:w="1207"/>
        <w:gridCol w:w="2568"/>
      </w:tblGrid>
      <w:tr>
        <w:trPr>
          <w:tblHeader w:val="true"/>
        </w:trPr>
        <w:tc>
          <w:tcPr>
            <w:tcW w:type="dxa" w:w="52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Работа (неделя)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Содержание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Зависит от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Ревизия требований (9)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FR-08…FR-17, NFR, сценарии, план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ПР 8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t xml:space="preserve">этот отчёт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Развитие схемы БД (10)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механизм миграций, миграции 0002–0004, индексы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app/manage.py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Проектирование API (11)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ресурсы, маршруты, коды ответов, OpenAPI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9, 10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app/openapi.yaml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/api/docs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Реализация API и защиты (12)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вход, роли, новые ресурсы, интерфейс, тесты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10, 11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t xml:space="preserve">31 операция API, 65 тестов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Выпуск новой версии (13)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сервер, nginx/HTTPS, release.sh, обновление 1.0 → 2.0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t xml:space="preserve">версия 2.0.0 на стенде</w:t>
            </w:r>
          </w:p>
        </w:tc>
      </w:tr>
      <w:tr>
        <w:tc>
          <w:tcPr>
            <w:tcW w:type="dxa" w:w="527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Наблюдение и восстановление (14)</w:t>
            </w:r>
          </w:p>
        </w:tc>
        <w:tc>
          <w:tcPr>
            <w:tcW w:type="dxa" w:w="2891"/>
          </w:tcPr>
          <w:p>
            <w:pPr>
              <w:pStyle w:val="Compact"/>
              <w:jc w:val="left"/>
            </w:pPr>
            <w:r>
              <w:t xml:space="preserve">журналы, метрики, оповещения, бэкапы, учения</w:t>
            </w:r>
          </w:p>
        </w:tc>
        <w:tc>
          <w:tcPr>
            <w:tcW w:type="dxa" w:w="1208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568"/>
          </w:tcPr>
          <w:p>
            <w:pPr>
              <w:pStyle w:val="Compact"/>
              <w:jc w:val="left"/>
            </w:pPr>
            <w:r>
              <w:t xml:space="preserve">проверенные RTO/RPO</w:t>
            </w:r>
          </w:p>
        </w:tc>
      </w:tr>
    </w:tbl>
    <w:p>
      <w:pPr>
        <w:pStyle w:val="BodyText"/>
      </w:pPr>
      <w:r>
        <w:t xml:space="preserve">Критический путь: требования → миграции → API → выпуск. Спецификацию OpenAPI (ПР 11) можно писать параллельно с миграциями, как только утверждён список ресурсов; интерфейс — параллельно с реализацией API, по спецификации.</w:t>
      </w:r>
    </w:p>
    <w:bookmarkEnd w:id="29"/>
    <w:bookmarkStart w:id="30" w:name="риски-и-масштабирование"/>
    <w:p>
      <w:pPr>
        <w:pStyle w:val="Heading1"/>
      </w:pPr>
      <w:r>
        <w:t xml:space="preserve">7. Риски и масштабирование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769"/>
        <w:gridCol w:w="1752"/>
        <w:gridCol w:w="3833"/>
      </w:tblGrid>
      <w:tr>
        <w:trPr>
          <w:tblHeader w:val="true"/>
        </w:trPr>
        <w:tc>
          <w:tcPr>
            <w:tcW w:type="dxa" w:w="376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Риск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Вероятность / влияние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Меры</w:t>
            </w:r>
          </w:p>
        </w:tc>
      </w:tr>
      <w:tr>
        <w:tc>
          <w:tcPr>
            <w:tcW w:type="dxa" w:w="3769"/>
          </w:tcPr>
          <w:p>
            <w:pPr>
              <w:pStyle w:val="Compact"/>
              <w:jc w:val="left"/>
            </w:pPr>
            <w:r>
              <w:t xml:space="preserve">Обновление схемы ломает данные версии 1.0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t xml:space="preserve">Миграции в транзакциях, резервная копия перед выпуском, тест обновления базы 1.0</w:t>
            </w:r>
          </w:p>
        </w:tc>
      </w:tr>
      <w:tr>
        <w:tc>
          <w:tcPr>
            <w:tcW w:type="dxa" w:w="3769"/>
          </w:tcPr>
          <w:p>
            <w:pPr>
              <w:pStyle w:val="Compact"/>
              <w:jc w:val="left"/>
            </w:pPr>
            <w:r>
              <w:t xml:space="preserve">После включения входа старые клиенты API перестают работать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Высокая / среднее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t xml:space="preserve">Описать в CHANGELOG, тесты 1.0 выполняются с токеном и без других изменений</w:t>
            </w:r>
          </w:p>
        </w:tc>
      </w:tr>
      <w:tr>
        <w:tc>
          <w:tcPr>
            <w:tcW w:type="dxa" w:w="3769"/>
          </w:tcPr>
          <w:p>
            <w:pPr>
              <w:pStyle w:val="Compact"/>
              <w:jc w:val="left"/>
            </w:pPr>
            <w:r>
              <w:t xml:space="preserve">Подбор паролей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t xml:space="preserve">Хеш scrypt, блокировка после 5 ошибок, ограничение частоты в nginx</w:t>
            </w:r>
          </w:p>
        </w:tc>
      </w:tr>
      <w:tr>
        <w:tc>
          <w:tcPr>
            <w:tcW w:type="dxa" w:w="3769"/>
          </w:tcPr>
          <w:p>
            <w:pPr>
              <w:pStyle w:val="Compact"/>
              <w:jc w:val="left"/>
            </w:pPr>
            <w:r>
              <w:t xml:space="preserve">Откат версии невозможен из-за изменённой схемы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Средняя / высокое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t xml:space="preserve">Миграции только добавляют объекты (expand), старая версия работает на новой схеме</w:t>
            </w:r>
          </w:p>
        </w:tc>
      </w:tr>
      <w:tr>
        <w:tc>
          <w:tcPr>
            <w:tcW w:type="dxa" w:w="3769"/>
          </w:tcPr>
          <w:p>
            <w:pPr>
              <w:pStyle w:val="Compact"/>
              <w:jc w:val="left"/>
            </w:pPr>
            <w:r>
              <w:t xml:space="preserve">Нехватка времени (один исполнитель)</w:t>
            </w:r>
          </w:p>
        </w:tc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Высокая / среднее</w:t>
            </w:r>
          </w:p>
        </w:tc>
        <w:tc>
          <w:tcPr>
            <w:tcW w:type="dxa" w:w="3833"/>
          </w:tcPr>
          <w:p>
            <w:pPr>
              <w:pStyle w:val="Compact"/>
              <w:jc w:val="left"/>
            </w:pPr>
            <w:r>
              <w:t xml:space="preserve">Порядок по приоритету MoSCoW: сначала M, затем S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Масштабирование.</w:t>
      </w:r>
      <w:r>
        <w:t xml:space="preserve"> </w:t>
      </w:r>
      <w:r>
        <w:t xml:space="preserve">Приложение не хранит состояние в памяти: токен проверяется по подписи и версии в БД, поэтому можно запускать несколько экземпляров за nginx. Список проектов отдаётся постранично, поиск по названию использует триграммный индекс. Метрики собираются со всех процессов gunicorn. При росте нагрузки следующие шаги — пул соединений (PgBouncer), реплика БД для отчётов, кэширование справочников.</w:t>
      </w:r>
    </w:p>
    <w:bookmarkEnd w:id="30"/>
    <w:bookmarkStart w:id="3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По итогам первой версии требования пересмотрены: пять отложенных требований переведены в версию 2.0 с уточнёнными критериями, добавлено пять новых (история, поиск, редактирование задач, документация API, учётные записи) и четыре нефункциональных (миграции, наблюдаемость, восстановимость, безопасность). Описаны новые сценарии и правила переходов, составлен план этапа III из шести работ с зависимостями и мерами по рискам.</w:t>
      </w:r>
    </w:p>
    <w:bookmarkEnd w:id="31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2026-10-29T20:50:17Z</dcterms:created>
  <dcterms:modified xsi:type="dcterms:W3CDTF">2026-10-29T20:50:17Z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