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9A1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ORD-2024-100001 延误根因是什么？</w:t>
      </w:r>
    </w:p>
    <w:p w14:paraId="630358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ORD-2024-100002 的上游供应商、核心组件和承运商分别是谁？</w:t>
      </w:r>
    </w:p>
    <w:p w14:paraId="0FAD7B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ORD-2024-100003 为什么会延误？</w:t>
      </w:r>
    </w:p>
    <w:p w14:paraId="04D1C2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长江存储 (YMTC) 会影响哪些订单？</w:t>
      </w:r>
    </w:p>
    <w:p w14:paraId="07543B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华为海思 (HiSilicon) 影响了哪些产品？</w:t>
      </w:r>
    </w:p>
    <w:p w14:paraId="2E916C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立讯精密 (Luxshare) 的下游风险规模有多大？</w:t>
      </w:r>
    </w:p>
    <w:p w14:paraId="0B1973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跨越速运 承运的订单里，延误风险怎么样？</w:t>
      </w:r>
    </w:p>
    <w:p w14:paraId="33C56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邮政EMS 的物流表现如何？</w:t>
      </w:r>
    </w:p>
    <w:p w14:paraId="273BBF71">
      <w:pPr>
        <w:rPr>
          <w:rFonts w:hint="default"/>
          <w:lang w:val="en-US" w:eastAsia="zh-CN"/>
        </w:rPr>
      </w:pPr>
    </w:p>
    <w:p w14:paraId="7B0B68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中等复杂度题</w:t>
      </w:r>
    </w:p>
    <w:p w14:paraId="4E8F6C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对比 长江存储 (YMTC) 和 立讯精密 (Luxshare) 的供应风险，谁影响的订单更多、金额更大？</w:t>
      </w:r>
    </w:p>
    <w:p w14:paraId="3CC77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4K超清 无线VR一体机 这款产品涉及哪些供应商、核心组件和承运商？</w:t>
      </w:r>
    </w:p>
    <w:p w14:paraId="00226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14寸 轻薄全能本 的供应链路径是什么？从供应商到订单给我串起来。</w:t>
      </w:r>
    </w:p>
    <w:p w14:paraId="08DF7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在汽车电子部门里，哪些订单延误风险最高？</w:t>
      </w:r>
    </w:p>
    <w:p w14:paraId="3F9158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中芯国际 (SMIC) 断供时，会波及哪些产品和客户群体？</w:t>
      </w:r>
    </w:p>
    <w:p w14:paraId="40DE23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京东物流 承运的订单中，哪些产品最容易出现延误？</w:t>
      </w:r>
    </w:p>
    <w:p w14:paraId="1E648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订单状态为“正在处理”的订单里，哪些上游供应商最值得关注？</w:t>
      </w:r>
    </w:p>
    <w:p w14:paraId="7DDEAA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 跨越速运 和 邮政EMS 的延误天数、风险标签和涉及订单金额。</w:t>
      </w:r>
    </w:p>
    <w:p w14:paraId="00F7DDD3">
      <w:pPr>
        <w:rPr>
          <w:rFonts w:hint="default"/>
          <w:lang w:val="en-US" w:eastAsia="zh-CN"/>
        </w:rPr>
      </w:pPr>
    </w:p>
    <w:p w14:paraId="253FB0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请分析 ORD-2024-100001 的根因链路，并进一步判断如果 长江存储 (YMTC) 持续断供，还会影响哪些产品、订单和客户群体。</w:t>
      </w:r>
    </w:p>
    <w:p w14:paraId="2F96E1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从供应商、组件、产品、订单、客户五层路径出发，分析 长江存储 (YMTC) 的全链路影响。</w:t>
      </w:r>
    </w:p>
    <w:p w14:paraId="688BE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 华为海思 (HiSilicon) 出现质量波动，哪些产品利润、订单履约和客户体验会受到最大影响？</w:t>
      </w:r>
    </w:p>
    <w:p w14:paraId="747D5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围绕 4K超清 无线VR一体机，分析其供应商风险、物流风险、利润贡献和受影响客户群体。</w:t>
      </w:r>
    </w:p>
    <w:p w14:paraId="20E949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给我找出 消费电子 和 智能穿戴 两个部门中，最容易形成延误和利润损失叠加风险的供应链节点。</w:t>
      </w:r>
    </w:p>
    <w:p w14:paraId="446A5C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 finance 视角分析当前最关键瓶颈是谁，并结合真实订单说明为什么。</w:t>
      </w:r>
    </w:p>
    <w:p w14:paraId="39FEE2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在已延误订单中，哪些供应商和承运商组合最危险？请给出产品、订单和损失估算。</w:t>
      </w:r>
    </w:p>
    <w:p w14:paraId="5AB872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请比较 长江存储 (YMTC)、中芯国际 (SMIC)、立讯精密 (Luxshare) 三家供应商的风险传播范围，并说明各自影响的产品类型和订单规模。</w:t>
      </w:r>
    </w:p>
    <w:p w14:paraId="1E22E9C0">
      <w:pPr>
        <w:rPr>
          <w:rFonts w:hint="default"/>
          <w:lang w:val="en-US" w:eastAsia="zh-CN"/>
        </w:rPr>
      </w:pPr>
    </w:p>
    <w:p w14:paraId="180D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请从供应商、核心组件、产品、订单、客户、承运商六个维度，完整分析 长江存储 (YMTC) 的风险传播路径，并给出影响范围、重点订单和建议。</w:t>
      </w:r>
    </w:p>
    <w:p w14:paraId="35A60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围绕 ORD-2024-100001，先追溯延误根因，再评估同一供应商和承运商在其他订单中的连带影响。</w:t>
      </w:r>
    </w:p>
    <w:p w14:paraId="622422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 长江存储 (YMTC)、华为海思 (HiSilicon)、立讯精密 (Luxshare) 三家的下游影响范围、订单金额风险、利润风险和客户覆盖范围。</w:t>
      </w:r>
    </w:p>
    <w:p w14:paraId="231CD2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在这份数据里，哪些供应链节点同时具有高瓶颈性、高延误风险和高利润暴露？请结合订单和产品举例。</w:t>
      </w:r>
    </w:p>
    <w:p w14:paraId="44E5AFC8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从汽车电子、消费电子、智能穿戴、核心存储四个部门中，找出最脆弱的供应链路径，并说明对应的供应商、组件、产品、订单和物流方式。</w:t>
      </w:r>
    </w:p>
    <w:bookmarkEnd w:id="0"/>
    <w:p w14:paraId="3D0D7F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A26798E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A5D1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查询工具测试用语</w:t>
      </w:r>
    </w:p>
    <w:p w14:paraId="4DBAF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单条记录（模板可抽取）</w:t>
      </w:r>
    </w:p>
    <w:p w14:paraId="0B62B6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CUST-90001，客户姓名: 张三，客户城市: 上海，客户群体: 企业采购</w:t>
      </w:r>
    </w:p>
    <w:p w14:paraId="304FA3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订单ID: ORD-2024-100001，订单日期: 2024-01-10 10:20:00，订单状态: 交易完成，支付类型: 微信支付</w:t>
      </w:r>
    </w:p>
    <w:p w14:paraId="542BA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产品ID: SKU-ST-S01，产品名称: 2TB PCIe 4.0 旗舰固态，购买数量: 20</w:t>
      </w:r>
    </w:p>
    <w:p w14:paraId="1E664B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供应商名称: 长江存储 (YMTC)，供应商城市: 武汉</w:t>
      </w:r>
    </w:p>
    <w:p w14:paraId="485AC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承运商名称: 顺丰速运，运输方式: 公路干线，发货模式: 标准汽运</w:t>
      </w:r>
    </w:p>
    <w:p w14:paraId="47DEB4D2">
      <w:pPr>
        <w:rPr>
          <w:rFonts w:hint="default"/>
          <w:lang w:val="en-US" w:eastAsia="zh-CN"/>
        </w:rPr>
      </w:pPr>
    </w:p>
    <w:p w14:paraId="513D1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多条记录（同一文本，分段）</w:t>
      </w:r>
    </w:p>
    <w:p w14:paraId="26845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CUST-90002，客户姓名: 李四，客户城市: 深圳，客户群体: 个人消费者</w:t>
      </w:r>
    </w:p>
    <w:p w14:paraId="66BF9B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订单ID: ORD-2024-100002，订单日期: 2024-01-11 09:10:00，订单状态: 正在处理</w:t>
      </w:r>
    </w:p>
    <w:p w14:paraId="275A41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产品ID: SKU-ST-M01，产品名称: 16GB DDR5 6000MHz，购买数量: 2</w:t>
      </w:r>
    </w:p>
    <w:p w14:paraId="46F19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供应商名称: 中芯国际 (SMIC)，供应商城市: 上海</w:t>
      </w:r>
    </w:p>
    <w:p w14:paraId="7CFD9247">
      <w:pPr>
        <w:rPr>
          <w:rFonts w:hint="default"/>
          <w:lang w:val="en-US" w:eastAsia="zh-CN"/>
        </w:rPr>
      </w:pPr>
    </w:p>
    <w:p w14:paraId="1867B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CUST-90003，客户姓名: 王五，客户城市: 北京，客户群体: 企业采购</w:t>
      </w:r>
    </w:p>
    <w:p w14:paraId="37B6FA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订单ID: ORD-2024-100003，订单日期: 2024-01-12 16:40:00，订单状态: 已发货</w:t>
      </w:r>
    </w:p>
    <w:p w14:paraId="2393B5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产品ID: SKU-CE-P01，产品名称: 旗舰AI手机 15 Pro，购买数量: 30</w:t>
      </w:r>
    </w:p>
    <w:p w14:paraId="7F616F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供应商名称: 京东方 (BOE)，供应商城市: 合肥</w:t>
      </w:r>
    </w:p>
    <w:p w14:paraId="2E53E616">
      <w:pPr>
        <w:rPr>
          <w:rFonts w:hint="default"/>
          <w:lang w:val="en-US" w:eastAsia="zh-CN"/>
        </w:rPr>
      </w:pPr>
    </w:p>
    <w:p w14:paraId="4A80CC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安全模式测试（已有字段不应被覆盖）</w:t>
      </w:r>
    </w:p>
    <w:p w14:paraId="6C010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第一次写入：</w:t>
      </w:r>
    </w:p>
    <w:p w14:paraId="611A10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CUST-90001，客户姓名: 张三，客户城市: 上海</w:t>
      </w:r>
    </w:p>
    <w:p w14:paraId="03013B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第二次写入（安全模式）：</w:t>
      </w:r>
    </w:p>
    <w:p w14:paraId="591E92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客户ID: CUST-90001，客户姓名: 张三丰，客户城市: 南京</w:t>
      </w:r>
    </w:p>
    <w:p w14:paraId="5252F9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预期：客户姓名/城市不应被覆盖（仍是“张三/上海”）</w:t>
      </w:r>
    </w:p>
    <w:p w14:paraId="50EDC760">
      <w:pPr>
        <w:rPr>
          <w:rFonts w:hint="default"/>
          <w:lang w:val="en-US" w:eastAsia="zh-CN"/>
        </w:rPr>
      </w:pPr>
    </w:p>
    <w:p w14:paraId="15BE2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覆盖模式测试（允许覆盖）</w:t>
      </w:r>
    </w:p>
    <w:p w14:paraId="52BF41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与上相同，但选择覆盖模式</w:t>
      </w:r>
    </w:p>
    <w:p w14:paraId="585B2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预期：客户姓名/城市应更新为“张三丰/南京”</w:t>
      </w:r>
    </w:p>
    <w:p w14:paraId="56E6B95B">
      <w:pPr>
        <w:rPr>
          <w:rFonts w:hint="default"/>
          <w:lang w:val="en-US" w:eastAsia="zh-CN"/>
        </w:rPr>
      </w:pPr>
    </w:p>
    <w:p w14:paraId="42F94049">
      <w:pPr>
        <w:rPr>
          <w:rFonts w:hint="default"/>
          <w:lang w:val="en-US" w:eastAsia="zh-CN"/>
        </w:rPr>
      </w:pPr>
    </w:p>
    <w:p w14:paraId="676D1E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修改用户CUST-90002的名字为王老七</w:t>
      </w:r>
    </w:p>
    <w:p w14:paraId="464501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修改客户CUST-90002的客户城市为南京</w:t>
      </w:r>
    </w:p>
    <w:p w14:paraId="5E50F5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将客户CUST-90002的客户群体改为企业采购</w:t>
      </w:r>
    </w:p>
    <w:p w14:paraId="0F462AF9">
      <w:pPr>
        <w:rPr>
          <w:rFonts w:hint="default"/>
          <w:lang w:val="en-US" w:eastAsia="zh-CN"/>
        </w:rPr>
      </w:pPr>
    </w:p>
    <w:p w14:paraId="342BA8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订单修改</w:t>
      </w:r>
    </w:p>
    <w:p w14:paraId="34A8EA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将订单ORD-2024-100002的订单状态改为已发货</w:t>
      </w:r>
    </w:p>
    <w:p w14:paraId="2A68CE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更新订单ORD-2024-100002的支付类型为支付宝</w:t>
      </w:r>
    </w:p>
    <w:p w14:paraId="1548D539">
      <w:pPr>
        <w:rPr>
          <w:rFonts w:hint="default"/>
          <w:lang w:val="en-US" w:eastAsia="zh-CN"/>
        </w:rPr>
      </w:pPr>
    </w:p>
    <w:p w14:paraId="40F9E0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产品修改</w:t>
      </w:r>
    </w:p>
    <w:p w14:paraId="5106E5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把SKU-ST-M01的产品名称更新为16GB DDR5 6400MHz</w:t>
      </w:r>
    </w:p>
    <w:p w14:paraId="7ED1A7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将SKU-ST-M01的产品描述改为高频电竞内存</w:t>
      </w:r>
    </w:p>
    <w:p w14:paraId="54EF2822">
      <w:pPr>
        <w:rPr>
          <w:rFonts w:hint="default"/>
          <w:lang w:val="en-US" w:eastAsia="zh-CN"/>
        </w:rPr>
      </w:pPr>
    </w:p>
    <w:p w14:paraId="1F63A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关系属性修改</w:t>
      </w:r>
    </w:p>
    <w:p w14:paraId="3EB03C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将订单ORD-2024-100002与SKU-ST-M01的购买数量改为5</w:t>
      </w:r>
    </w:p>
    <w:p w14:paraId="6A458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将订单ORD-2024-100002与SKU-ST-M01的利润率改为0.18</w:t>
      </w:r>
    </w:p>
    <w:p w14:paraId="0753C630">
      <w:pPr>
        <w:rPr>
          <w:rFonts w:hint="default"/>
          <w:lang w:val="en-US" w:eastAsia="zh-CN"/>
        </w:rPr>
      </w:pPr>
    </w:p>
    <w:p w14:paraId="7C6C6E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物流关系修改</w:t>
      </w:r>
    </w:p>
    <w:p w14:paraId="53D1B4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将订单ORD-2024-100002与承运商顺丰速运的运输方式改为航空货运</w:t>
      </w:r>
    </w:p>
    <w:p w14:paraId="12623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将订单ORD-2024-100002与承运商顺丰速运的实际物流天数改为2</w:t>
      </w:r>
    </w:p>
    <w:p w14:paraId="3413C55A">
      <w:pPr>
        <w:rPr>
          <w:rFonts w:hint="default"/>
          <w:lang w:val="en-US" w:eastAsia="zh-CN"/>
        </w:rPr>
      </w:pPr>
    </w:p>
    <w:p w14:paraId="1CC798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供应商-组件关系修改</w:t>
      </w:r>
    </w:p>
    <w:p w14:paraId="7C53BB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将供应商中芯国际 (SMIC)与组件控制芯片的次品率改为0.006</w:t>
      </w:r>
    </w:p>
    <w:p w14:paraId="73BB32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将供应商中芯国际 (SMIC)与组件控制芯片的单件制造成本改为210</w:t>
      </w:r>
    </w:p>
    <w:p w14:paraId="56582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注意：实现中需要把相关参数（id，名称）提供完整</w:t>
      </w:r>
    </w:p>
    <w:p w14:paraId="6208D184">
      <w:pPr>
        <w:rPr>
          <w:rFonts w:hint="eastAsia"/>
          <w:lang w:val="en-US" w:eastAsia="zh-CN"/>
        </w:rPr>
      </w:pPr>
    </w:p>
    <w:p w14:paraId="4D4ABC91">
      <w:pPr>
        <w:rPr>
          <w:rFonts w:hint="eastAsia"/>
          <w:lang w:val="en-US" w:eastAsia="zh-CN"/>
        </w:rPr>
      </w:pPr>
    </w:p>
    <w:p w14:paraId="501D8FB1">
      <w:pPr>
        <w:rPr>
          <w:rFonts w:hint="eastAsia"/>
          <w:lang w:val="en-US" w:eastAsia="zh-CN"/>
        </w:rPr>
      </w:pPr>
    </w:p>
    <w:p w14:paraId="34C666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模式一：template</w:t>
      </w:r>
    </w:p>
    <w:p w14:paraId="79C123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识别方式：规则模板（字段: 值）</w:t>
      </w:r>
    </w:p>
    <w:p w14:paraId="5677FB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输入要求：必须写成“字段名: 值”格式</w:t>
      </w:r>
    </w:p>
    <w:p w14:paraId="0A50B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适用场景：结构化输入、稳定、可控</w:t>
      </w:r>
    </w:p>
    <w:p w14:paraId="056CC8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优点：准确、可控、不依赖 LLM</w:t>
      </w:r>
    </w:p>
    <w:p w14:paraId="6050E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缺点：对自由文本不友好</w:t>
      </w:r>
    </w:p>
    <w:p w14:paraId="068CA13F">
      <w:pPr>
        <w:rPr>
          <w:rFonts w:hint="default"/>
          <w:lang w:val="en-US" w:eastAsia="zh-CN"/>
        </w:rPr>
      </w:pPr>
    </w:p>
    <w:p w14:paraId="48077E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模式二：llm</w:t>
      </w:r>
    </w:p>
    <w:p w14:paraId="2EE3D4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识别方式：LLM 从文本抽取“字段: 值”</w:t>
      </w:r>
    </w:p>
    <w:p w14:paraId="06D2E3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输入要求：相对自由，但最好包含明确字段信息</w:t>
      </w:r>
    </w:p>
    <w:p w14:paraId="02A78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适用场景：半结构化/自然语言，但仍偏字段描述</w:t>
      </w:r>
    </w:p>
    <w:p w14:paraId="39DCF1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优点：比模板灵活</w:t>
      </w:r>
    </w:p>
    <w:p w14:paraId="7D2C02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缺点：可能抽错字段，依赖 LLM</w:t>
      </w:r>
    </w:p>
    <w:p w14:paraId="7FCAD6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模式2：通过LLM抽出字段值，然后根据后端自行编写好的规则选择对应关系来进行创建</w:t>
      </w:r>
    </w:p>
    <w:p w14:paraId="71345DDD">
      <w:pPr>
        <w:rPr>
          <w:rFonts w:hint="default"/>
          <w:lang w:val="en-US" w:eastAsia="zh-CN"/>
        </w:rPr>
      </w:pPr>
    </w:p>
    <w:p w14:paraId="201D17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模式三：hybrid</w:t>
      </w:r>
    </w:p>
    <w:p w14:paraId="3B25A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识别方式：模板先抽，再用 LLM 补齐缺失</w:t>
      </w:r>
    </w:p>
    <w:p w14:paraId="325811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输入要求：最好有部分字段信息</w:t>
      </w:r>
    </w:p>
    <w:p w14:paraId="169A3E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适用场景：既想稳定又想灵活</w:t>
      </w:r>
    </w:p>
    <w:p w14:paraId="12196B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优点：模板保底 + LLM 补全</w:t>
      </w:r>
    </w:p>
    <w:p w14:paraId="723107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缺点：比纯模板稍慢，仍依赖 LLM</w:t>
      </w:r>
    </w:p>
    <w:p w14:paraId="39E097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由既定设计好的模板来完成字段抽取的功能，然后LLM来进行完善补全功能。</w:t>
      </w:r>
    </w:p>
    <w:p w14:paraId="7AC548E4">
      <w:pPr>
        <w:rPr>
          <w:rFonts w:hint="default"/>
          <w:lang w:val="en-US" w:eastAsia="zh-CN"/>
        </w:rPr>
      </w:pPr>
    </w:p>
    <w:p w14:paraId="34372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模式四：llm_rel</w:t>
      </w:r>
    </w:p>
    <w:p w14:paraId="120DA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识别方式：LLM 直接抽取“实体 + 关系”</w:t>
      </w:r>
    </w:p>
    <w:p w14:paraId="137CE0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输入要求：可以是自由描述文本</w:t>
      </w:r>
    </w:p>
    <w:p w14:paraId="519467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适用场景：自由文本、叙述性描述</w:t>
      </w:r>
    </w:p>
    <w:p w14:paraId="59DC70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优点：最智能、最自然</w:t>
      </w:r>
    </w:p>
    <w:p w14:paraId="4B8EC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缺点：最依赖 LLM，结果需要严格 schema 校验</w:t>
      </w:r>
    </w:p>
    <w:p w14:paraId="6FC004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进行结构化抽取，给出相关提示词，然后由LLM自行抽取出本次语言中的涵盖的实体类型：字段值，关系类型：对应的关系参数。</w:t>
      </w:r>
    </w:p>
    <w:p w14:paraId="3C49ED3F">
      <w:pPr>
        <w:rPr>
          <w:rFonts w:hint="default"/>
          <w:lang w:val="en-US" w:eastAsia="zh-CN"/>
        </w:rPr>
      </w:pPr>
    </w:p>
    <w:p w14:paraId="0FE7757C">
      <w:pPr>
        <w:rPr>
          <w:rFonts w:hint="default"/>
          <w:lang w:val="en-US" w:eastAsia="zh-CN"/>
        </w:rPr>
      </w:pPr>
    </w:p>
    <w:p w14:paraId="4E5D46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代码自动判断哪种模式，</w:t>
      </w:r>
    </w:p>
    <w:p w14:paraId="41C9A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评价指标，判返回结果。</w:t>
      </w:r>
    </w:p>
    <w:p w14:paraId="741A55FC">
      <w:pPr>
        <w:rPr>
          <w:rFonts w:hint="eastAsia"/>
          <w:lang w:val="en-US" w:eastAsia="zh-CN"/>
        </w:rPr>
      </w:pPr>
    </w:p>
    <w:p w14:paraId="010E11EC">
      <w:pPr>
        <w:rPr>
          <w:rFonts w:hint="eastAsia"/>
          <w:lang w:val="en-US" w:eastAsia="zh-CN"/>
        </w:rPr>
      </w:pPr>
    </w:p>
    <w:p w14:paraId="4648F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底层往知识图谱更新，底层就已经更新掉了，由底向上维护</w:t>
      </w:r>
    </w:p>
    <w:p w14:paraId="0A107882">
      <w:pPr>
        <w:rPr>
          <w:rFonts w:hint="eastAsia"/>
          <w:lang w:val="en-US" w:eastAsia="zh-CN"/>
        </w:rPr>
      </w:pPr>
    </w:p>
    <w:p w14:paraId="13980F99">
      <w:pPr>
        <w:rPr>
          <w:rFonts w:hint="eastAsia"/>
          <w:lang w:val="en-US" w:eastAsia="zh-CN"/>
        </w:rPr>
      </w:pPr>
    </w:p>
    <w:p w14:paraId="7A474B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知识图谱的构建的自动化</w:t>
      </w:r>
    </w:p>
    <w:p w14:paraId="16534A66">
      <w:pPr>
        <w:rPr>
          <w:rFonts w:hint="eastAsia"/>
          <w:lang w:val="en-US" w:eastAsia="zh-CN"/>
        </w:rPr>
      </w:pPr>
    </w:p>
    <w:p w14:paraId="2FC254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提示词工程的更加优化</w:t>
      </w:r>
    </w:p>
    <w:p w14:paraId="4F0033C8">
      <w:pPr>
        <w:rPr>
          <w:rFonts w:hint="eastAsia"/>
          <w:lang w:val="en-US" w:eastAsia="zh-CN"/>
        </w:rPr>
      </w:pPr>
    </w:p>
    <w:p w14:paraId="09394E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生成的结果的优化方向走走</w:t>
      </w:r>
    </w:p>
    <w:p w14:paraId="54221E05">
      <w:pPr>
        <w:rPr>
          <w:rFonts w:hint="eastAsia"/>
          <w:lang w:val="en-US" w:eastAsia="zh-CN"/>
        </w:rPr>
      </w:pPr>
    </w:p>
    <w:p w14:paraId="6CBBB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Ai型的比赛和题目，框架内和数据都给好了，类似的ai agent的题目，提供借鉴价值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807D34"/>
    <w:rsid w:val="14D3501A"/>
    <w:rsid w:val="214B40B6"/>
    <w:rsid w:val="302106AD"/>
    <w:rsid w:val="39B91A4B"/>
    <w:rsid w:val="3D563C28"/>
    <w:rsid w:val="597F50A2"/>
    <w:rsid w:val="5B304237"/>
    <w:rsid w:val="5E6C39FA"/>
    <w:rsid w:val="66A957C8"/>
    <w:rsid w:val="69C520ED"/>
    <w:rsid w:val="7EFC6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2279</Words>
  <Characters>2930</Characters>
  <Lines>0</Lines>
  <Paragraphs>0</Paragraphs>
  <TotalTime>4322</TotalTime>
  <ScaleCrop>false</ScaleCrop>
  <LinksUpToDate>false</LinksUpToDate>
  <CharactersWithSpaces>3073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2026-03-25T08:10:00Z</dcterms:created>
  <dc:creator>AiJMoon</dc:creator>
  <cp:lastModifiedBy>辉夜</cp:lastModifiedBy>
  <dcterms:modified xsi:type="dcterms:W3CDTF">2026-04-03T08:51:51Z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eyJoZGlkIjoiNmNjYTdhYzk1OWI3MzA3OTliM2JhNDZjNDFmMTQ5ZmQiLCJ1c2VySWQiOiIxMDY5MDAzOTM4In0=</vt:lpwstr>
  </property>
  <property fmtid="{D5CDD505-2E9C-101B-9397-08002B2CF9AE}" pid="4" name="ICV">
    <vt:lpwstr>28D922C398E941E2946E0D783C35A25D_12</vt:lpwstr>
  </property>
</Properties>
</file>