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9A1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ORD-2024-100001 延误根因是什么？</w:t>
      </w:r>
    </w:p>
    <w:p w14:paraId="63035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ORD-2024-100002 的上游供应商、核心组件和承运商分别是谁？</w:t>
      </w:r>
    </w:p>
    <w:p w14:paraId="0FAD7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ORD-2024-100003 为什么会延误？</w:t>
      </w:r>
    </w:p>
    <w:p w14:paraId="04D1C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长江存储 (YMTC) 会影响哪些订单？</w:t>
      </w:r>
    </w:p>
    <w:p w14:paraId="07543B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华为海思 (HiSilicon) 影响了哪些产品？</w:t>
      </w:r>
    </w:p>
    <w:p w14:paraId="2E916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立讯精密 (Luxshare) 的下游风险规模有多大？</w:t>
      </w:r>
    </w:p>
    <w:p w14:paraId="0B197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跨越速运 承运的订单里，延误风险怎么样？</w:t>
      </w:r>
    </w:p>
    <w:p w14:paraId="33C566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邮政EMS 的物流表现如何？</w:t>
      </w:r>
    </w:p>
    <w:p w14:paraId="273BBF71">
      <w:pPr>
        <w:rPr>
          <w:rFonts w:hint="default"/>
          <w:lang w:val="en-US" w:eastAsia="zh-CN"/>
        </w:rPr>
      </w:pPr>
    </w:p>
    <w:p w14:paraId="4E8F6C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对比 长江存储 (YMTC) 和 立讯精密 (Luxshare) 的供应风险，谁影响的订单更多、金额更大？</w:t>
      </w:r>
    </w:p>
    <w:p w14:paraId="3CC77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4K超清 无线VR一体机 这款产品涉及哪些供应商、核心组件和承运商？</w:t>
      </w:r>
    </w:p>
    <w:p w14:paraId="00226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14寸 轻薄全能本 的供应链路径是什么？从供应商到订单给我串起来。</w:t>
      </w:r>
    </w:p>
    <w:p w14:paraId="08DF75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在汽车电子部门里，哪些订单延误风险最高？</w:t>
      </w:r>
    </w:p>
    <w:p w14:paraId="3F915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中芯国际 (SMIC) 断供时，会波及哪些产品和客户群体？</w:t>
      </w:r>
    </w:p>
    <w:p w14:paraId="40DE2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京东物流 承运的订单中，哪些产品最容易出现延误？</w:t>
      </w:r>
    </w:p>
    <w:p w14:paraId="1E648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订单状态为“正在处理”的订单里，哪些上游供应商最值得关注？</w:t>
      </w:r>
    </w:p>
    <w:p w14:paraId="7DDEAA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比较 跨越速运 和 邮政EMS 的延误天数、风险标签和涉及订单金额。</w:t>
      </w:r>
    </w:p>
    <w:p w14:paraId="00F7DDD3">
      <w:pPr>
        <w:rPr>
          <w:rFonts w:hint="default"/>
          <w:lang w:val="en-US" w:eastAsia="zh-CN"/>
        </w:rPr>
      </w:pPr>
    </w:p>
    <w:p w14:paraId="253FB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请分析 ORD-2024-100001 的根因链路，并进一步判断如果 长江存储 (YMTC) 持续断供，还会影响哪些产品、订单和客户群体。</w:t>
      </w:r>
    </w:p>
    <w:p w14:paraId="2F96E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从供应商、组件、产品、订单、客户五层路径出发，分析 长江存储 (YMTC) 的全链路影响。</w:t>
      </w:r>
    </w:p>
    <w:p w14:paraId="688BE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华为海思 (HiSilicon) 出现质量波动，哪些产品利润、订单履约和客户体验会受到最大影响？</w:t>
      </w:r>
    </w:p>
    <w:p w14:paraId="747D5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围绕 4K超清 无线VR一体机，分析其供应商风险、物流风险、利润贡献和受影响客户群体。</w:t>
      </w:r>
    </w:p>
    <w:p w14:paraId="20E94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给我找出 消费电子 和 智能穿戴 两个部门中，最容易形成延误和利润损失叠加风险的供应链节点。</w:t>
      </w:r>
    </w:p>
    <w:p w14:paraId="446A5CD6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t>从 finance 视角分析当前最关键瓶颈是谁，并结合真实订单说明为什么。</w:t>
      </w:r>
    </w:p>
    <w:bookmarkEnd w:id="0"/>
    <w:p w14:paraId="39FEE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在已延误订单中，哪些供应商和承运商组合最危险？请给出产品、订单和损失估算。</w:t>
      </w:r>
    </w:p>
    <w:p w14:paraId="5AB87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请比较 长江存储 (YMTC)、中芯国际 (SMIC)、立讯精密 (Luxshare) 三家供应商的风险传播范围，并说明各自影响的产品类型和订单规模。</w:t>
      </w:r>
    </w:p>
    <w:p w14:paraId="1E22E9C0">
      <w:pPr>
        <w:rPr>
          <w:rFonts w:hint="default"/>
          <w:lang w:val="en-US" w:eastAsia="zh-CN"/>
        </w:rPr>
      </w:pPr>
    </w:p>
    <w:p w14:paraId="180D24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请从供应商、核心组件、产品、订单、客户、承运商六个维度，完整分析 长江存储 (YMTC) 的风险传播路径，并给出影响范围、重点订单和建议。</w:t>
      </w:r>
    </w:p>
    <w:p w14:paraId="35A60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围绕 ORD-2024-100001，先追溯延误根因，再评估同一供应商和承运商在其他订单中的连带影响。</w:t>
      </w:r>
    </w:p>
    <w:p w14:paraId="622422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比较 长江存储 (YMTC)、华为海思 (HiSilicon)、立讯精密 (Luxshare) 三家的下游影响范围、订单金额风险、利润风险和客户覆盖范围。</w:t>
      </w:r>
    </w:p>
    <w:p w14:paraId="231CD2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在这份数据里，哪些供应链节点同时具有高瓶颈性、高延误风险和高利润暴露？请结合订单和产品举例。</w:t>
      </w:r>
    </w:p>
    <w:p w14:paraId="44E5AF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从汽车电子、消费电子、智能穿戴、核心存储四个部门中，找出最脆弱的供应链路径，并说明对应的供应商、组件、产品、订单和物流方式。</w:t>
      </w:r>
    </w:p>
    <w:p w14:paraId="3D0D7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A26798E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A5D1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查询工具测试用语</w:t>
      </w:r>
    </w:p>
    <w:p w14:paraId="4DBAF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单条记录（模板可抽取）</w:t>
      </w:r>
    </w:p>
    <w:p w14:paraId="0B62B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客户ID: CUST-90001，客户姓名: 张三，客户城市: 上海，客户群体: 企业采购</w:t>
      </w:r>
    </w:p>
    <w:p w14:paraId="304FA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订单ID: ORD-2024-100001，订单日期: 2024-01-10 10:20:00，订单状态: 交易完成，支付类型: 微信支付</w:t>
      </w:r>
    </w:p>
    <w:p w14:paraId="542BA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产品ID: SKU-ST-S01，产品名称: 2TB PCIe 4.0 旗舰固态，购买数量: 20</w:t>
      </w:r>
    </w:p>
    <w:p w14:paraId="1E664B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供应商名称: 长江存储 (YMTC)，供应商城市: 武汉</w:t>
      </w:r>
    </w:p>
    <w:p w14:paraId="485AC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承运商名称: 顺丰速运，运输方式: 公路干线，发货模式: 标准汽运</w:t>
      </w:r>
    </w:p>
    <w:p w14:paraId="47DEB4D2">
      <w:pPr>
        <w:rPr>
          <w:rFonts w:hint="default"/>
          <w:lang w:val="en-US" w:eastAsia="zh-CN"/>
        </w:rPr>
      </w:pPr>
    </w:p>
    <w:p w14:paraId="513D12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多条记录（同一文本，分段）</w:t>
      </w:r>
    </w:p>
    <w:p w14:paraId="26845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客户ID: CUST-90002，客户姓名: 李四，客户城市: 深圳，客户群体: 个人消费者</w:t>
      </w:r>
    </w:p>
    <w:p w14:paraId="66BF9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订单ID: ORD-2024-100002，订单日期: 2024-01-11 09:10:00，订单状态: 正在处理</w:t>
      </w:r>
    </w:p>
    <w:p w14:paraId="275A4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产品ID: SKU-ST-M01，产品名称: 16GB DDR5 6000MHz，购买数量: 2</w:t>
      </w:r>
    </w:p>
    <w:p w14:paraId="46F19E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供应商名称: 中芯国际 (SMIC)，供应商城市: 上海</w:t>
      </w:r>
    </w:p>
    <w:p w14:paraId="7CFD9247">
      <w:pPr>
        <w:rPr>
          <w:rFonts w:hint="default"/>
          <w:lang w:val="en-US" w:eastAsia="zh-CN"/>
        </w:rPr>
      </w:pPr>
    </w:p>
    <w:p w14:paraId="1867BF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客户ID: CUST-90003，客户姓名: 王五，客户城市: 北京，客户群体: 企业采购</w:t>
      </w:r>
    </w:p>
    <w:p w14:paraId="37B6F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订单ID: ORD-2024-100003，订单日期: 2024-01-12 16:40:00，订单状态: 已发货</w:t>
      </w:r>
    </w:p>
    <w:p w14:paraId="2393B5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产品ID: SKU-CE-P01，产品名称: 旗舰AI手机 15 Pro，购买数量: 30</w:t>
      </w:r>
    </w:p>
    <w:p w14:paraId="7F616F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供应商名称: 京东方 (BOE)，供应商城市: 合肥</w:t>
      </w:r>
    </w:p>
    <w:p w14:paraId="2E53E616">
      <w:pPr>
        <w:rPr>
          <w:rFonts w:hint="default"/>
          <w:lang w:val="en-US" w:eastAsia="zh-CN"/>
        </w:rPr>
      </w:pPr>
    </w:p>
    <w:p w14:paraId="4A80CC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安全模式测试（已有字段不应被覆盖）</w:t>
      </w:r>
    </w:p>
    <w:p w14:paraId="6C010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第一次写入：</w:t>
      </w:r>
    </w:p>
    <w:p w14:paraId="611A10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客户ID: CUST-90001，客户姓名: 张三，客户城市: 上海</w:t>
      </w:r>
    </w:p>
    <w:p w14:paraId="03013B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第二次写入（安全模式）：</w:t>
      </w:r>
    </w:p>
    <w:p w14:paraId="591E9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客户ID: CUST-90001，客户姓名: 张三丰，客户城市: 南京</w:t>
      </w:r>
    </w:p>
    <w:p w14:paraId="5252F9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预期：客户姓名/城市不应被覆盖（仍是“张三/上海”）</w:t>
      </w:r>
    </w:p>
    <w:p w14:paraId="50EDC760">
      <w:pPr>
        <w:rPr>
          <w:rFonts w:hint="default"/>
          <w:lang w:val="en-US" w:eastAsia="zh-CN"/>
        </w:rPr>
      </w:pPr>
    </w:p>
    <w:p w14:paraId="15BE26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覆盖模式测试（允许覆盖）</w:t>
      </w:r>
    </w:p>
    <w:p w14:paraId="52BF41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与上相同，但选择覆盖模式</w:t>
      </w:r>
    </w:p>
    <w:p w14:paraId="585B21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预期：客户姓名/城市应更新为“张三丰/南京”</w:t>
      </w:r>
    </w:p>
    <w:p w14:paraId="56E6B95B">
      <w:pPr>
        <w:rPr>
          <w:rFonts w:hint="default"/>
          <w:lang w:val="en-US" w:eastAsia="zh-CN"/>
        </w:rPr>
      </w:pPr>
    </w:p>
    <w:p w14:paraId="42F94049">
      <w:pPr>
        <w:rPr>
          <w:rFonts w:hint="default"/>
          <w:lang w:val="en-US" w:eastAsia="zh-CN"/>
        </w:rPr>
      </w:pPr>
    </w:p>
    <w:p w14:paraId="676D1E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修改用户CUST-90002的名字为王老七</w:t>
      </w:r>
    </w:p>
    <w:p w14:paraId="46450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修改客户CUST-90002的客户城市为南京</w:t>
      </w:r>
    </w:p>
    <w:p w14:paraId="5E50F5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将客户CUST-90002的客户群体改为企业采购</w:t>
      </w:r>
    </w:p>
    <w:p w14:paraId="0F462AF9">
      <w:pPr>
        <w:rPr>
          <w:rFonts w:hint="default"/>
          <w:lang w:val="en-US" w:eastAsia="zh-CN"/>
        </w:rPr>
      </w:pPr>
    </w:p>
    <w:p w14:paraId="342BA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订单修改</w:t>
      </w:r>
    </w:p>
    <w:p w14:paraId="34A8E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将订单ORD-2024-100002的订单状态改为已发货</w:t>
      </w:r>
    </w:p>
    <w:p w14:paraId="2A68C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更新订单ORD-2024-100002的支付类型为支付宝</w:t>
      </w:r>
    </w:p>
    <w:p w14:paraId="1548D539">
      <w:pPr>
        <w:rPr>
          <w:rFonts w:hint="default"/>
          <w:lang w:val="en-US" w:eastAsia="zh-CN"/>
        </w:rPr>
      </w:pPr>
    </w:p>
    <w:p w14:paraId="40F9E0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产品修改</w:t>
      </w:r>
    </w:p>
    <w:p w14:paraId="5106E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把SKU-ST-M01的产品名称更新为16GB DDR5 6400MHz</w:t>
      </w:r>
    </w:p>
    <w:p w14:paraId="7ED1A7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将SKU-ST-M01的产品描述改为高频电竞内存</w:t>
      </w:r>
    </w:p>
    <w:p w14:paraId="54EF2822">
      <w:pPr>
        <w:rPr>
          <w:rFonts w:hint="default"/>
          <w:lang w:val="en-US" w:eastAsia="zh-CN"/>
        </w:rPr>
      </w:pPr>
    </w:p>
    <w:p w14:paraId="1F63A3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关系属性修改</w:t>
      </w:r>
    </w:p>
    <w:p w14:paraId="3EB03C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将订单ORD-2024-100002与SKU-ST-M01的购买数量改为5</w:t>
      </w:r>
    </w:p>
    <w:p w14:paraId="6A458C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将订单ORD-2024-100002与SKU-ST-M01的利润率改为0.18</w:t>
      </w:r>
    </w:p>
    <w:p w14:paraId="0753C630">
      <w:pPr>
        <w:rPr>
          <w:rFonts w:hint="default"/>
          <w:lang w:val="en-US" w:eastAsia="zh-CN"/>
        </w:rPr>
      </w:pPr>
    </w:p>
    <w:p w14:paraId="7C6C6E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物流关系修改</w:t>
      </w:r>
    </w:p>
    <w:p w14:paraId="53D1B4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将订单ORD-2024-100002与承运商顺丰速运的运输方式改为航空货运</w:t>
      </w:r>
    </w:p>
    <w:p w14:paraId="12623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将订单ORD-2024-100002与承运商顺丰速运的实际物流天数改为2</w:t>
      </w:r>
    </w:p>
    <w:p w14:paraId="3413C55A">
      <w:pPr>
        <w:rPr>
          <w:rFonts w:hint="default"/>
          <w:lang w:val="en-US" w:eastAsia="zh-CN"/>
        </w:rPr>
      </w:pPr>
    </w:p>
    <w:p w14:paraId="1CC798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供应商-组件关系修改</w:t>
      </w:r>
    </w:p>
    <w:p w14:paraId="7C53BB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将供应商中芯国际 (SMIC)与组件控制芯片的次品率改为0.006</w:t>
      </w:r>
    </w:p>
    <w:p w14:paraId="73BB32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将供应商中芯国际 (SMIC)与组件控制芯片的单件制造成本改为210</w:t>
      </w:r>
    </w:p>
    <w:p w14:paraId="56582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注意：实现中需要把相关参数（id，名称）提供完整</w:t>
      </w:r>
    </w:p>
    <w:p w14:paraId="6208D184">
      <w:pPr>
        <w:rPr>
          <w:rFonts w:hint="eastAsia"/>
          <w:lang w:val="en-US" w:eastAsia="zh-CN"/>
        </w:rPr>
      </w:pPr>
    </w:p>
    <w:p w14:paraId="4D4ABC91">
      <w:pPr>
        <w:rPr>
          <w:rFonts w:hint="eastAsia"/>
          <w:lang w:val="en-US" w:eastAsia="zh-CN"/>
        </w:rPr>
      </w:pPr>
    </w:p>
    <w:p w14:paraId="501D8FB1">
      <w:pPr>
        <w:rPr>
          <w:rFonts w:hint="eastAsia"/>
          <w:lang w:val="en-US" w:eastAsia="zh-CN"/>
        </w:rPr>
      </w:pPr>
    </w:p>
    <w:p w14:paraId="34C666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模式一：template</w:t>
      </w:r>
    </w:p>
    <w:p w14:paraId="79C123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识别方式：规则模板（字段: 值）</w:t>
      </w:r>
    </w:p>
    <w:p w14:paraId="5677F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输入要求：必须写成“字段名: 值”格式</w:t>
      </w:r>
    </w:p>
    <w:p w14:paraId="0A50B4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适用场景：结构化输入、稳定、可控</w:t>
      </w:r>
    </w:p>
    <w:p w14:paraId="056CC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优点：准确、可控、不依赖 LLM</w:t>
      </w:r>
    </w:p>
    <w:p w14:paraId="6050E6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缺点：对自由文本不友好</w:t>
      </w:r>
    </w:p>
    <w:p w14:paraId="068CA13F">
      <w:pPr>
        <w:rPr>
          <w:rFonts w:hint="default"/>
          <w:lang w:val="en-US" w:eastAsia="zh-CN"/>
        </w:rPr>
      </w:pPr>
    </w:p>
    <w:p w14:paraId="48077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模式二：llm</w:t>
      </w:r>
    </w:p>
    <w:p w14:paraId="2EE3D4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识别方式：LLM 从文本抽取“字段: 值”</w:t>
      </w:r>
    </w:p>
    <w:p w14:paraId="06D2E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输入要求：相对自由，但最好包含明确字段信息</w:t>
      </w:r>
    </w:p>
    <w:p w14:paraId="02A78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适用场景：半结构化/自然语言，但仍偏字段描述</w:t>
      </w:r>
    </w:p>
    <w:p w14:paraId="39DCF1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优点：比模板灵活</w:t>
      </w:r>
    </w:p>
    <w:p w14:paraId="7D2C0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缺点：可能抽错字段，依赖 LLM</w:t>
      </w:r>
    </w:p>
    <w:p w14:paraId="7FCAD6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模式2：通过LLM抽出字段值，然后根据后端自行编写好的规则选择对应关系来进行创建</w:t>
      </w:r>
    </w:p>
    <w:p w14:paraId="71345DDD">
      <w:pPr>
        <w:rPr>
          <w:rFonts w:hint="default"/>
          <w:lang w:val="en-US" w:eastAsia="zh-CN"/>
        </w:rPr>
      </w:pPr>
    </w:p>
    <w:p w14:paraId="201D1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模式三：hybrid</w:t>
      </w:r>
    </w:p>
    <w:p w14:paraId="3B25A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识别方式：模板先抽，再用 LLM 补齐缺失</w:t>
      </w:r>
    </w:p>
    <w:p w14:paraId="32581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输入要求：最好有部分字段信息</w:t>
      </w:r>
    </w:p>
    <w:p w14:paraId="169A3E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适用场景：既想稳定又想灵活</w:t>
      </w:r>
    </w:p>
    <w:p w14:paraId="12196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优点：模板保底 + LLM 补全</w:t>
      </w:r>
    </w:p>
    <w:p w14:paraId="723107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缺点：比纯模板稍慢，仍依赖 LLM</w:t>
      </w:r>
    </w:p>
    <w:p w14:paraId="39E097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由既定设计好的模板来完成字段抽取的功能，然后LLM来进行完善补全功能。</w:t>
      </w:r>
    </w:p>
    <w:p w14:paraId="7AC548E4">
      <w:pPr>
        <w:rPr>
          <w:rFonts w:hint="default"/>
          <w:lang w:val="en-US" w:eastAsia="zh-CN"/>
        </w:rPr>
      </w:pPr>
    </w:p>
    <w:p w14:paraId="34372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模式四：llm_rel</w:t>
      </w:r>
    </w:p>
    <w:p w14:paraId="120DAD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识别方式：LLM 直接抽取“实体 + 关系”</w:t>
      </w:r>
    </w:p>
    <w:p w14:paraId="137CE0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输入要求：可以是自由描述文本</w:t>
      </w:r>
    </w:p>
    <w:p w14:paraId="519467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适用场景：自由文本、叙述性描述</w:t>
      </w:r>
    </w:p>
    <w:p w14:paraId="59DC7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优点：最智能、最自然</w:t>
      </w:r>
    </w:p>
    <w:p w14:paraId="4B8ECF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缺点：最依赖 LLM，结果需要严格 schema 校验</w:t>
      </w:r>
    </w:p>
    <w:p w14:paraId="6FC004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进行结构化抽取，给出相关提示词，然后由LLM自行抽取出本次语言中的涵盖的实体类型：字段值，关系类型：对应的关系参数。</w:t>
      </w:r>
    </w:p>
    <w:p w14:paraId="3C49ED3F">
      <w:pPr>
        <w:rPr>
          <w:rFonts w:hint="default"/>
          <w:lang w:val="en-US" w:eastAsia="zh-CN"/>
        </w:rPr>
      </w:pPr>
    </w:p>
    <w:p w14:paraId="0FE7757C">
      <w:pPr>
        <w:rPr>
          <w:rFonts w:hint="default"/>
          <w:lang w:val="en-US" w:eastAsia="zh-CN"/>
        </w:rPr>
      </w:pPr>
    </w:p>
    <w:p w14:paraId="4E5D4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代码自动判断哪种模式，</w:t>
      </w:r>
    </w:p>
    <w:p w14:paraId="41C9A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评价指标，判返回结果。</w:t>
      </w:r>
    </w:p>
    <w:p w14:paraId="741A55FC">
      <w:pPr>
        <w:rPr>
          <w:rFonts w:hint="eastAsia"/>
          <w:lang w:val="en-US" w:eastAsia="zh-CN"/>
        </w:rPr>
      </w:pPr>
    </w:p>
    <w:p w14:paraId="010E11EC">
      <w:pPr>
        <w:rPr>
          <w:rFonts w:hint="eastAsia"/>
          <w:lang w:val="en-US" w:eastAsia="zh-CN"/>
        </w:rPr>
      </w:pPr>
    </w:p>
    <w:p w14:paraId="4648F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底层往知识图谱更新，底层就已经更新掉了，由底向上维护</w:t>
      </w:r>
    </w:p>
    <w:p w14:paraId="0A107882">
      <w:pPr>
        <w:rPr>
          <w:rFonts w:hint="eastAsia"/>
          <w:lang w:val="en-US" w:eastAsia="zh-CN"/>
        </w:rPr>
      </w:pPr>
    </w:p>
    <w:p w14:paraId="13980F99">
      <w:pPr>
        <w:rPr>
          <w:rFonts w:hint="eastAsia"/>
          <w:lang w:val="en-US" w:eastAsia="zh-CN"/>
        </w:rPr>
      </w:pPr>
    </w:p>
    <w:p w14:paraId="7A474B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知识图谱的构建的自动化</w:t>
      </w:r>
    </w:p>
    <w:p w14:paraId="16534A66">
      <w:pPr>
        <w:rPr>
          <w:rFonts w:hint="eastAsia"/>
          <w:lang w:val="en-US" w:eastAsia="zh-CN"/>
        </w:rPr>
      </w:pPr>
    </w:p>
    <w:p w14:paraId="2FC25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提示词工程的更加优化</w:t>
      </w:r>
    </w:p>
    <w:p w14:paraId="4F0033C8">
      <w:pPr>
        <w:rPr>
          <w:rFonts w:hint="eastAsia"/>
          <w:lang w:val="en-US" w:eastAsia="zh-CN"/>
        </w:rPr>
      </w:pPr>
    </w:p>
    <w:p w14:paraId="09394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生成的结果的优化方向走走</w:t>
      </w:r>
    </w:p>
    <w:p w14:paraId="54221E05">
      <w:pPr>
        <w:rPr>
          <w:rFonts w:hint="eastAsia"/>
          <w:lang w:val="en-US" w:eastAsia="zh-CN"/>
        </w:rPr>
      </w:pPr>
    </w:p>
    <w:p w14:paraId="6CBBB5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Ai型的比赛和题目，框架内和数据都给好了，类似的ai agent的题目，提供借鉴价值</w:t>
      </w:r>
    </w:p>
    <w:p w14:paraId="79FC372E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F4924DF">
      <w:pPr>
        <w:bidi w:val="0"/>
        <w:rPr>
          <w:rFonts w:hint="default"/>
          <w:lang w:val="en-US" w:eastAsia="zh-CN"/>
        </w:rPr>
      </w:pPr>
    </w:p>
    <w:p w14:paraId="238F43E5">
      <w:pPr>
        <w:bidi w:val="0"/>
        <w:rPr>
          <w:rFonts w:hint="default"/>
          <w:lang w:val="en-US" w:eastAsia="zh-CN"/>
        </w:rPr>
      </w:pPr>
    </w:p>
    <w:p w14:paraId="6D035859">
      <w:pPr>
        <w:bidi w:val="0"/>
        <w:rPr>
          <w:rFonts w:hint="default"/>
          <w:lang w:val="en-US" w:eastAsia="zh-CN"/>
        </w:rPr>
      </w:pPr>
    </w:p>
    <w:p w14:paraId="6C3F87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96DFBB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01_realistic_news_supply_chain.pdf</w:t>
      </w:r>
    </w:p>
    <w:p w14:paraId="471C5500">
      <w:pPr>
        <w:bidi w:val="0"/>
        <w:jc w:val="left"/>
        <w:rPr>
          <w:rFonts w:hint="default"/>
          <w:lang w:val="en-US" w:eastAsia="zh-CN"/>
        </w:rPr>
      </w:pPr>
    </w:p>
    <w:p w14:paraId="56118850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核心实体：成都星屿科技有限公司、重庆市教育信息中心、武汉嘉盛数码商贸；订单 ORD-2026-300187、ORD-2026-300241、ORD-2026-300305；产品 SKU-CE-L01 / 14寸轻薄全能本、SKU-CE-P01 / 旗舰AI手机 15 Pro、SKU-WE-V01 / 4K超清 无线VR一体机；供应商 中芯国际 (SMIC)、长江存储 (YMTC)、京东方 (BOE)、北方华创 (NAURA)；组件 CMOS图像传感器、高性能存储器件、OLED柔性屏；承运商 顺丰速运、京东物流、跨越速运。</w:t>
      </w:r>
    </w:p>
    <w:p w14:paraId="4B62524F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核心关系：成都星屿科技有限公司 -&gt; PLACED_ORDER -&gt; ORD-2026-300187 -&gt; CONTAINS_PRODUCT -&gt; 14寸轻薄全能本 -&gt; BELONGS_TO_CATEGORY -&gt; 笔记本电脑 -&gt; BELONGS_TO_DEPARTMENT -&gt; 消费电子；中芯国际 -&gt; SUPPLIES_COMPONENT -&gt; CMOS图像传感器 -&gt; USED_IN -&gt; 14寸轻薄全能本；ORD-2026-300187 -&gt; SHIPPED_BY -&gt; 顺丰速运。</w:t>
      </w:r>
    </w:p>
    <w:p w14:paraId="777B529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还应识别：重庆市教育信息中心 -&gt; ORD-2026-300241 -&gt; 旗舰AI手机 15 Pro，并关联 长江存储 -&gt; 高性能存储器件、京东方 -&gt; 显示模组/屏幕相关组件、ORD-2026-300241 -&gt; 京东物流；武汉嘉盛数码商贸 -&gt; ORD-2026-300305 -&gt; 4K超清 无线VR一体机，并关联 长江存储 -&gt; OLED柔性屏、ORD-2026-300305 -&gt; 跨越速运。</w:t>
      </w:r>
    </w:p>
    <w:p w14:paraId="2D13A0B5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弱信号实体：星域智能、聚合物锂电池、CMOS 图像传感器、OLED 柔性屏 这些背景性实体，抽到算加分。</w:t>
      </w:r>
    </w:p>
    <w:p w14:paraId="513F9A1D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 02_weekly_ops_report.pdf</w:t>
      </w:r>
    </w:p>
    <w:p w14:paraId="75CF48BB">
      <w:pPr>
        <w:bidi w:val="0"/>
        <w:jc w:val="left"/>
        <w:rPr>
          <w:rFonts w:hint="default"/>
          <w:lang w:val="en-US" w:eastAsia="zh-CN"/>
        </w:rPr>
      </w:pPr>
    </w:p>
    <w:p w14:paraId="478E911B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核心实体：长沙市智慧教育中心、宁波常雪科技有限公司、成都马涵科技有限公司、武汉视联数字科技；订单 ORD-2026-310102、ORD-2026-310118、ORD-2026-310205、ORD-2026-310244；产品 旗舰AI手机 15 Pro、14寸 轻薄全能本、4K超清 无线VR一体机；供应商 北方华创 (NAURA)、京东方 (BOE)、中芯国际 (SMIC)、长江存储 (YMTC)；组件 光学镜头、显示模组、聚合物锂电池、CMOS图像传感器、OLED柔性屏；承运商 中通快递、京东物流、顺丰速运、跨越速运。</w:t>
      </w:r>
    </w:p>
    <w:p w14:paraId="73632E72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核心关系：长沙市智慧教育中心 -&gt; ORD-2026-310102 -&gt; 旗舰AI手机 15 Pro，并有 北方华创 -&gt; 光学镜头 -&gt; USED_IN -&gt; 旗舰AI手机 15 Pro、京东方 -&gt; 显示模组 -&gt; USED_IN -&gt; 旗舰AI手机 15 Pro、ORD-2026-310102 -&gt; SHIPPED_BY -&gt; 中通快递。</w:t>
      </w:r>
    </w:p>
    <w:p w14:paraId="0B5A5CAB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还应识别：宁波常雪科技有限公司 -&gt; ORD-2026-310118 -&gt; 旗舰AI手机 15 Pro，配套 京东方 -&gt; 聚合物锂电池、ORD-2026-310118 -&gt; 京东物流；成都马涵科技有限公司 -&gt; ORD-2026-310205 -&gt; 14寸轻薄全能本，配套 中芯国际 -&gt; CMOS图像传感器、ORD-2026-310205 -&gt; 顺丰速运；武汉视联数字科技 -&gt; ORD-2026-310244 -&gt; 4K超清 无线VR一体机，配套 长江存储 -&gt; OLED柔性屏、ORD-2026-310244 -&gt; 跨越速运。</w:t>
      </w:r>
    </w:p>
    <w:p w14:paraId="79310E8A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03 03_procurement_notice.pdf</w:t>
      </w:r>
    </w:p>
    <w:p w14:paraId="5A5CB169">
      <w:pPr>
        <w:bidi w:val="0"/>
        <w:jc w:val="left"/>
        <w:rPr>
          <w:rFonts w:hint="default"/>
          <w:lang w:val="en-US" w:eastAsia="zh-CN"/>
        </w:rPr>
      </w:pPr>
    </w:p>
    <w:p w14:paraId="39CF91CE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核心实体：青岛市教育局信息装备中心、大连伍雪实业集团、武汉嘉盛数码商贸；订单 ORD-2026-320041、ORD-2026-320056、ORD-2026-320083；产品 旗舰AI手机 15 Pro、14寸 轻薄全能本、4K超清 无线VR一体机；供应商 北方华创 (NAURA)、长江存储 (YMTC)、中芯国际 (SMIC)；组件 光学镜头、高性能存储器件、CMOS图像传感器、OLED柔性屏；承运商 德邦快递、京东物流、跨越速运。</w:t>
      </w:r>
    </w:p>
    <w:p w14:paraId="0D8B92D1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核心关系：青岛市教育局信息装备中心 -&gt; ORD-2026-320041 -&gt; 旗舰AI手机 15 Pro，并有 北方华创 -&gt; 光学镜头 -&gt; USED_IN -&gt; 旗舰AI手机 15 Pro、长江存储 -&gt; 高性能存储器件 -&gt; USED_IN -&gt; 旗舰AI手机 15 Pro、ORD-2026-320041 -&gt; 德邦快递。</w:t>
      </w:r>
    </w:p>
    <w:p w14:paraId="60E326D5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还应识别：大连伍雪实业集团 -&gt; ORD-2026-320056 -&gt; 14寸轻薄全能本，配套 中芯国际 -&gt; CMOS图像传感器、ORD-2026-320056 -&gt; 京东物流；武汉嘉盛数码商贸 -&gt; ORD-2026-320083 -&gt; 4K超清 无线VR一体机，配套 长江存储 -&gt; OLED柔性屏、ORD-2026-320083 -&gt; 跨越速运。</w:t>
      </w:r>
    </w:p>
    <w:p w14:paraId="7AEE4B3D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弱信号实体：比亚迪半导体 (BYD)、歌尔股份 (Goertek)、闻泰科技 (Wingtech) 更像候选替代供应商，抽到可以保留为实体，但不一定要强行建立当前 schema 下的关系。</w:t>
      </w:r>
    </w:p>
    <w:p w14:paraId="292B33EB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04 04_market_intelligence_mix.pdf</w:t>
      </w:r>
    </w:p>
    <w:p w14:paraId="4DBEDF10">
      <w:pPr>
        <w:bidi w:val="0"/>
        <w:jc w:val="left"/>
        <w:rPr>
          <w:rFonts w:hint="default"/>
          <w:lang w:val="en-US" w:eastAsia="zh-CN"/>
        </w:rPr>
      </w:pPr>
    </w:p>
    <w:p w14:paraId="1E08037C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核心实体：长沙市智慧教育中心 是最明确的客户；订单 ORD-2026-330112、ORD-2026-330147、ORD-2026-330188；产品 14寸轻薄全能本、旗舰AI手机 15 Pro、4K超清 无线VR一体机；供应商 北方华创、京东方、长江存储；组件 聚合物锂电池、光学镜头、OLED柔性屏；承运商 顺丰速运、中通快递、跨越速运。</w:t>
      </w:r>
    </w:p>
    <w:p w14:paraId="5F659AA0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核心关系：长沙市智慧教育中心 -&gt; ORD-2026-330147 -&gt; 旗舰AI手机 15 Pro，并有 京东方 -&gt; 聚合物锂电池 -&gt; USED_IN -&gt; 旗舰AI手机 15 Pro、北方华创 -&gt; 光学镜头 -&gt; USED_IN -&gt; 旗舰AI手机 15 Pro、ORD-2026-330147 -&gt; SHIPPED_BY -&gt; 中通快递。</w:t>
      </w:r>
    </w:p>
    <w:p w14:paraId="432A5649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还应识别：ORD-2026-330112 -&gt; 14寸轻薄全能本 -&gt; 顺丰速运，以及 ORD-2026-330188 -&gt; 4K超清 无线VR一体机、长江存储 -&gt; OLED柔性屏 -&gt; USED_IN -&gt; 4K超清 无线VR一体机、ORD-2026-330188 -&gt; 跨越速运。</w:t>
      </w:r>
    </w:p>
    <w:p w14:paraId="4867CA48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说明：这份文档里有些信息是“区域某科技客户”这种模糊表达，所以不要求必须补出标准客户 ID，不应凭空造实体主键。</w:t>
      </w:r>
    </w:p>
    <w:p w14:paraId="42F603C1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05 05_longform_supply_chain_review.pdf</w:t>
      </w:r>
    </w:p>
    <w:p w14:paraId="7AD9413F">
      <w:pPr>
        <w:bidi w:val="0"/>
        <w:jc w:val="left"/>
        <w:rPr>
          <w:rFonts w:hint="default"/>
          <w:lang w:val="en-US" w:eastAsia="zh-CN"/>
        </w:rPr>
      </w:pPr>
    </w:p>
    <w:p w14:paraId="390CF424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核心实体：北京殷敏信息技术股份、青岛市教育局信息装备中心、长沙郝嘉实业集团、成都马涵科技有限公司、大连伍雪实业集团、武汉嘉盛数码商贸；订单 ORD-2026-340011、340028、340045、340102、340118、340155；产品 SKU-CE-P01 / 旗舰AI手机 15 Pro、SKU-CE-L01 / 14寸 轻薄全能本、SKU-WE-V01 / 4K超清 无线VR一体机；供应商 比亚迪半导体 (BYD)、北方华创 (NAURA)、中芯国际 (SMIC)、长江存储 (YMTC)；组件 PCB印刷电路板、光学镜头、OLED柔性屏、CMOS图像传感器；承运商 顺丰速运、中通快递、极兔速递、京东物流、跨越速运。</w:t>
      </w:r>
    </w:p>
    <w:p w14:paraId="33F08A93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核心关系：北京殷敏信息技术股份 -&gt; ORD-2026-340011 -&gt; 旗舰AI手机 15 Pro，并有 比亚迪半导体 -&gt; PCB印刷电路板 -&gt; USED_IN -&gt; 旗舰AI手机 15 Pro、ORD-2026-340011 -&gt; 顺丰速运。</w:t>
      </w:r>
    </w:p>
    <w:p w14:paraId="4E490982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还应识别：青岛市教育局信息装备中心 -&gt; ORD-2026-340028 -&gt; 旗舰AI手机 15 Pro，配套 北方华创 -&gt; 光学镜头、ORD-2026-340028 -&gt; 中通快递；长沙郝嘉实业集团 -&gt; ORD-2026-340045 -&gt; 旗舰AI手机 15 Pro，配套 北方华创 -&gt; OLED柔性屏、ORD-2026-340045 -&gt; 极兔速递；成都马涵科技有限公司 -&gt; ORD-2026-340102 -&gt; 14寸 轻薄全能本，配套 中芯国际 -&gt; CMOS图像传感器、ORD-2026-340102 -&gt; 顺丰速运；大连伍雪实业集团 -&gt; ORD-2026-340118 -&gt; 14寸 轻薄全能本，配套 中芯国际 -&gt; CMOS图像传感器、ORD-2026-340118 -&gt; 京东物流；武汉嘉盛数码商贸 -&gt; ORD-2026-340155 -&gt; 4K超清 无线VR一体机，配套 长江存储 -&gt; OLED柔性屏、ORD-2026-340155 -&gt; 跨越速运。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725336"/>
    <w:rsid w:val="14807D34"/>
    <w:rsid w:val="14D3501A"/>
    <w:rsid w:val="214B40B6"/>
    <w:rsid w:val="302106AD"/>
    <w:rsid w:val="39B91A4B"/>
    <w:rsid w:val="3D563C28"/>
    <w:rsid w:val="597F50A2"/>
    <w:rsid w:val="5B304237"/>
    <w:rsid w:val="5E6C39FA"/>
    <w:rsid w:val="66A957C8"/>
    <w:rsid w:val="69C520ED"/>
    <w:rsid w:val="7EFC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2234</Words>
  <Characters>2885</Characters>
  <Lines>0</Lines>
  <Paragraphs>0</Paragraphs>
  <TotalTime>8295</TotalTime>
  <ScaleCrop>false</ScaleCrop>
  <LinksUpToDate>false</LinksUpToDate>
  <CharactersWithSpaces>3028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2026-03-25T08:10:00Z</dcterms:created>
  <dc:creator>AiJMoon</dc:creator>
  <cp:lastModifiedBy>染墨绘君衣</cp:lastModifiedBy>
  <dcterms:modified xsi:type="dcterms:W3CDTF">2026-04-19T03:33:31Z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eyJoZGlkIjoiNmNjYTdhYzk1OWI3MzA3OTliM2JhNDZjNDFmMTQ5ZmQiLCJ1c2VySWQiOiIxMjI0NjQwNzE3In0=</vt:lpwstr>
  </property>
  <property fmtid="{D5CDD505-2E9C-101B-9397-08002B2CF9AE}" pid="4" name="ICV">
    <vt:lpwstr>28D922C398E941E2946E0D783C35A25D_12</vt:lpwstr>
  </property>
</Properties>
</file>