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FC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华东消费电子与智能终端产业链近期再次出现局部波动。多家渠道商和代工企业在本周披露的信息显示，受上游关键器件交付节奏变化、部分承运线路时效不稳以及海外客户备货节奏提前影响，手机、轻薄笔记本和智能穿戴三条产品线的出货安排都有不同程度调整。</w:t>
      </w:r>
    </w:p>
    <w:p w14:paraId="6C702CC5">
      <w:pPr>
        <w:rPr>
          <w:rFonts w:hint="default"/>
          <w:lang w:val="en-US" w:eastAsia="zh-CN"/>
        </w:rPr>
      </w:pPr>
    </w:p>
    <w:p w14:paraId="15EFD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位于苏州的终端品牌厂商星域智能在最新一轮采购沟通会上提到，其原定于本月下旬集中交付的一批“旗舰AI手机 15 Pro”仍维持正常生产，但核心图像模组和高端存储器件的到货窗口有所收窄。参与该项目的供应商中，长江存储（YMTC）仍在提供一部分高性能存储器，京东方（BOE）继续承担显示模组供货，北方华创（NAURA）相关设备和材料环节则被认为对上游制造节拍有较大影响。公司内部人士称，目前单台手机的综合毛利尚未被明显压缩，但如果后续物流延误继续扩大，利润兑现时间将被拉长。</w:t>
      </w:r>
    </w:p>
    <w:p w14:paraId="5027959A">
      <w:pPr>
        <w:rPr>
          <w:rFonts w:hint="default"/>
          <w:lang w:val="en-US" w:eastAsia="zh-CN"/>
        </w:rPr>
      </w:pPr>
    </w:p>
    <w:p w14:paraId="7F511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订单结构来看，华南区域的一批教育和政企客户在上周集中下单，带动智能手机和轻薄笔记本出货需求短期上升。以成都和长沙市场为例，几家区域经销商反馈，面向学校和事业单位的订单通常金额更大、交付要求更严，一旦运输节点出现延误，客户会直接要求调整到货承诺。某成都渠道商透露，他们本月初接到一笔面向本地科技企业的轻薄笔记本采购，数量接近三百台，单笔结算金额超过一百七十万元，若按原计划由顺丰速运走航空货运并采用次晨达模式，整体利润仍较可观；但若改走陆运或在中转仓停留时间过长，项目利润率就会被快速摊薄。</w:t>
      </w:r>
    </w:p>
    <w:p w14:paraId="0DD5C997">
      <w:pPr>
        <w:rPr>
          <w:rFonts w:hint="default"/>
          <w:lang w:val="en-US" w:eastAsia="zh-CN"/>
        </w:rPr>
      </w:pPr>
    </w:p>
    <w:p w14:paraId="31D71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在产品层面，当前最受关注的仍是“旗舰AI手机 15 Pro”“14寸轻薄全能本”和“4K超清无线VR一体机”三类终端。行业观察人士指出，这几类产品虽然都归属于消费电子或智能穿戴相关部门，但所依赖的核心</w:t>
      </w:r>
      <w:bookmarkStart w:id="0" w:name="_GoBack"/>
      <w:bookmarkEnd w:id="0"/>
      <w:r>
        <w:rPr>
          <w:rFonts w:hint="default"/>
          <w:lang w:val="en-US" w:eastAsia="zh-CN"/>
        </w:rPr>
        <w:t>器件并不相同。手机产品对 CMOS 图像传感器、OLED 柔性屏和聚合物锂电池依赖度较高；轻薄笔记本更在意高性能处理器、散热模组和屏幕供应的稳定性；VR 头显则同时受显示、存储和无线模组影响。一旦某个环节的供货质量下降，后续不仅影响订单交付，也会波及售后和渠道返利。</w:t>
      </w:r>
    </w:p>
    <w:p w14:paraId="0C6E7CC5">
      <w:pPr>
        <w:rPr>
          <w:rFonts w:hint="default"/>
          <w:lang w:val="en-US" w:eastAsia="zh-CN"/>
        </w:rPr>
      </w:pPr>
    </w:p>
    <w:p w14:paraId="503DD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多家物流企业在这轮波动中也被频繁提及。京东物流在部分华北到西南线路上仍保持较快时效，但个别批次出现了由 1 天延长到 3 天的情况；顺丰速运在高价值电子产品运输上仍被优先选用，不过在运力紧张时，部分客户被迫接受更高运费；德邦快递和中通快递则更多承担铁路干线与普通快运场景。行业人士称，对于利润率较高的订单，企业往往更愿意保留航空货运和次晨达方案，而对价格敏感型客户，则会在“标准汽运”和“普列运输”之间反复权衡。</w:t>
      </w:r>
    </w:p>
    <w:p w14:paraId="68D7C840">
      <w:pPr>
        <w:rPr>
          <w:rFonts w:hint="default"/>
          <w:lang w:val="en-US" w:eastAsia="zh-CN"/>
        </w:rPr>
      </w:pPr>
    </w:p>
    <w:p w14:paraId="0A044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质量风险方面，近期被讨论较多的是两类器件。一类是用于手机和笔记本的 CMOS 图像传感器，另一类是聚合物锂电池。接近整机厂采购部门的人士提到，个别供应批次的次品率虽然仍处在可控区间，但已经高于上一季度平均水平。以某批面向重庆教育系统客户的智能手机订单为例，图像传感器环节的缺陷率接近 0.5%，并未到停线程度，却足以让整机检测和返工成本上升。另一批由京东方相关链条支撑的消费电子订单中，电池一致性波动也让交付节奏略有放缓，最终导致物流侧出现“延误发货”标记。</w:t>
      </w:r>
    </w:p>
    <w:p w14:paraId="6C6D83BA">
      <w:pPr>
        <w:rPr>
          <w:rFonts w:hint="default"/>
          <w:lang w:val="en-US" w:eastAsia="zh-CN"/>
        </w:rPr>
      </w:pPr>
    </w:p>
    <w:p w14:paraId="426D9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财务暴露看，当前最值得关注的不是单个订单金额，而是多笔订单在同一供应商和同一承运模式上的集中度。市场调研机构汇总的样本显示，北方华创、长江存储、闻泰科技、京东方和中芯国际在若干核心订单中重复出现。一旦其中某一家在关键部件供货、制造成本或良率方面出现异常，下游手机、笔记本甚至智能穿戴产品都可能同时受到影响。某分析师表示，若把最近两周已披露的高价值样本订单放在一起看，累计净销售额已经超过两千万元，而对应利润规模也达到千万元级别，因此任何一个高集中度环节的波动都不应被低估。</w:t>
      </w:r>
    </w:p>
    <w:p w14:paraId="0559ECBD">
      <w:pPr>
        <w:rPr>
          <w:rFonts w:hint="default"/>
          <w:lang w:val="en-US" w:eastAsia="zh-CN"/>
        </w:rPr>
      </w:pPr>
    </w:p>
    <w:p w14:paraId="2A25B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值得注意的是，并不是所有订单都出现负面变化。部分由歌尔股份（Goertek）和比亚迪半导体（BYD）参与的订单，在本轮样本中仍维持稳定交付。一些采用公路干线加标准汽运方案的项目，虽然时效不如航空货运激进，但由于运输路径成熟、仓配衔接顺畅，反而避免了突发延误。特别是在华中和华南市场，几笔面向企业客户的消费电子订单目前被标记为“提前发货”，这说明在供应稳定、库存准备充分的情况下，保守的物流策略有时更利于利润兑现。</w:t>
      </w:r>
    </w:p>
    <w:p w14:paraId="0618E350">
      <w:pPr>
        <w:rPr>
          <w:rFonts w:hint="default"/>
          <w:lang w:val="en-US" w:eastAsia="zh-CN"/>
        </w:rPr>
      </w:pPr>
    </w:p>
    <w:p w14:paraId="597B3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另一个被频繁讨论的话题是替代料和备用供应。多名业内人士表示，企业在过去一年中已经明显加强了对单一供应商风险的防范，尤其是在 OLED 柔性屏、PCB 印刷电路板、散热模组和光学镜头等部件上，普遍会预留至少一家替代供应来源。不过，替代供应并不意味着可以立刻切换。很多终端企业在导入新供应商之前，还要重新验证制造成本、缺陷率、交付周期以及与原有订单模型的兼容性，因此真正发生异常时，切换动作通常会滞后一个到两个采购周期。</w:t>
      </w:r>
    </w:p>
    <w:p w14:paraId="6A346430">
      <w:pPr>
        <w:rPr>
          <w:rFonts w:hint="default"/>
          <w:lang w:val="en-US" w:eastAsia="zh-CN"/>
        </w:rPr>
      </w:pPr>
    </w:p>
    <w:p w14:paraId="030FD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客户侧而言，最敏感的仍然是交付状态和付款节奏。一些地方教育系统和医疗系统客户更倾向于采用对公转账，审批链条更长，但订单金额大、履约约束强；面向零售和中小企业的客户则更多使用信用卡、微信支付或支付宝。渠道商普遍反映，在订单状态还停留于“正在处理”或“已发货”阶段时，客户对物流节点极为敏感，一旦系统出现“延误发货”，就会对后续回款和复购造成影响。尤其是在高利润产品线上，交付时间往往比单纯价格更能左右客户满意度。</w:t>
      </w:r>
    </w:p>
    <w:p w14:paraId="45BF5C63">
      <w:pPr>
        <w:rPr>
          <w:rFonts w:hint="default"/>
          <w:lang w:val="en-US" w:eastAsia="zh-CN"/>
        </w:rPr>
      </w:pPr>
    </w:p>
    <w:p w14:paraId="49385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目前，产业链企业对整体风险的判断仍偏谨慎乐观。多数受访者认为，短期内最现实的压力来自局部供应集中、物流节点波动和高价值订单的利润暴露，而不是全面性停供。只是从更长周期看，如果高端存储、图像传感器、显示屏和关键材料继续在少数厂商之间高度集中，那么下游终端产品即便订单充足，也会在交付和利润上持续承压。对于依赖智能手机、笔记本电脑和 VR 头显三大品类拉动收入的企业来说，下一阶段最核心的任务仍然是降低关键器件单点依赖、优化运输方式组合，并在确保交付稳定的前提下尽量守住利润率。</w:t>
      </w:r>
    </w:p>
    <w:p w14:paraId="2F11D6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0C4DED"/>
    <w:rsid w:val="4E996BDB"/>
    <w:rsid w:val="51AC200D"/>
    <w:rsid w:val="53430A03"/>
    <w:rsid w:val="6D7A7190"/>
    <w:rsid w:val="6F52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2289</Words>
  <Characters>2341</Characters>
  <Lines>0</Lines>
  <Paragraphs>0</Paragraphs>
  <TotalTime>105</TotalTime>
  <ScaleCrop>false</ScaleCrop>
  <LinksUpToDate>false</LinksUpToDate>
  <CharactersWithSpaces>2361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2026-03-26T12:08:00Z</dcterms:created>
  <dc:creator>AiJMoon</dc:creator>
  <cp:lastModifiedBy>染墨绘君衣</cp:lastModifiedBy>
  <dcterms:modified xsi:type="dcterms:W3CDTF">2026-04-19T03:33:29Z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eyJoZGlkIjoiNmNjYTdhYzk1OWI3MzA3OTliM2JhNDZjNDFmMTQ5ZmQiLCJ1c2VySWQiOiIxMjI0NjQwNzE3In0=</vt:lpwstr>
  </property>
  <property fmtid="{D5CDD505-2E9C-101B-9397-08002B2CF9AE}" pid="4" name="ICV">
    <vt:lpwstr>F343667BFB024AF5B0468DCD29B40319_12</vt:lpwstr>
  </property>
</Properties>
</file>