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C4FEF7" w14:textId="56DF586E" w:rsidR="001433CF" w:rsidRDefault="004F53BD" w:rsidP="001433CF">
      <w:pPr>
        <w:jc w:val="right"/>
        <w:rPr>
          <w:szCs w:val="28"/>
        </w:rPr>
      </w:pPr>
      <w:r>
        <w:rPr>
          <w:szCs w:val="28"/>
        </w:rPr>
        <w:t>HCMP 868</w:t>
      </w:r>
      <w:r w:rsidR="008878F3">
        <w:rPr>
          <w:szCs w:val="28"/>
        </w:rPr>
        <w:t>/2019</w:t>
      </w:r>
    </w:p>
    <w:p w14:paraId="5D762B36" w14:textId="4FDCC7D1" w:rsidR="000673C4" w:rsidRPr="00962BB8" w:rsidRDefault="000673C4" w:rsidP="000673C4">
      <w:pPr>
        <w:jc w:val="right"/>
        <w:rPr>
          <w:szCs w:val="28"/>
        </w:rPr>
      </w:pPr>
      <w:r w:rsidRPr="00962BB8">
        <w:rPr>
          <w:szCs w:val="28"/>
        </w:rPr>
        <w:t>[202</w:t>
      </w:r>
      <w:r w:rsidR="001F16AE">
        <w:rPr>
          <w:szCs w:val="28"/>
        </w:rPr>
        <w:t>2</w:t>
      </w:r>
      <w:r w:rsidRPr="00962BB8">
        <w:rPr>
          <w:szCs w:val="28"/>
        </w:rPr>
        <w:t>] HKCFI</w:t>
      </w:r>
      <w:r w:rsidR="001F16AE">
        <w:rPr>
          <w:szCs w:val="28"/>
        </w:rPr>
        <w:t xml:space="preserve"> </w:t>
      </w:r>
      <w:r w:rsidR="005C2771">
        <w:rPr>
          <w:szCs w:val="28"/>
        </w:rPr>
        <w:t>3025</w:t>
      </w:r>
      <w:r w:rsidRPr="00962BB8">
        <w:rPr>
          <w:szCs w:val="28"/>
        </w:rPr>
        <w:t xml:space="preserve"> </w:t>
      </w:r>
    </w:p>
    <w:p w14:paraId="19649C86" w14:textId="77777777" w:rsidR="000673C4" w:rsidRDefault="000673C4" w:rsidP="008D41E0">
      <w:pPr>
        <w:jc w:val="center"/>
        <w:rPr>
          <w:szCs w:val="28"/>
        </w:rPr>
      </w:pPr>
    </w:p>
    <w:p w14:paraId="43D5755B" w14:textId="77777777" w:rsidR="001433CF" w:rsidRPr="00962BB8" w:rsidRDefault="001433CF" w:rsidP="001433CF">
      <w:pPr>
        <w:spacing w:after="80"/>
        <w:jc w:val="center"/>
        <w:rPr>
          <w:b/>
          <w:szCs w:val="28"/>
        </w:rPr>
      </w:pPr>
      <w:r w:rsidRPr="00962BB8">
        <w:rPr>
          <w:b/>
          <w:szCs w:val="28"/>
        </w:rPr>
        <w:t>IN THE HIGH COURT OF THE</w:t>
      </w:r>
    </w:p>
    <w:p w14:paraId="6F03F222" w14:textId="77777777" w:rsidR="001433CF" w:rsidRPr="00962BB8" w:rsidRDefault="001433CF" w:rsidP="001433CF">
      <w:pPr>
        <w:spacing w:after="80"/>
        <w:jc w:val="center"/>
        <w:rPr>
          <w:b/>
          <w:szCs w:val="28"/>
        </w:rPr>
      </w:pPr>
      <w:r w:rsidRPr="00962BB8">
        <w:rPr>
          <w:b/>
          <w:szCs w:val="28"/>
        </w:rPr>
        <w:t>HONG KONG SPECIAL ADMINISTRATIVE REGION</w:t>
      </w:r>
    </w:p>
    <w:p w14:paraId="056CE689" w14:textId="77777777" w:rsidR="001433CF" w:rsidRPr="00962BB8" w:rsidRDefault="001433CF" w:rsidP="001433CF">
      <w:pPr>
        <w:spacing w:after="80"/>
        <w:jc w:val="center"/>
        <w:rPr>
          <w:b/>
          <w:szCs w:val="28"/>
        </w:rPr>
      </w:pPr>
      <w:r w:rsidRPr="00962BB8">
        <w:rPr>
          <w:b/>
          <w:szCs w:val="28"/>
        </w:rPr>
        <w:t>COURT OF FIRST INSTANCE</w:t>
      </w:r>
    </w:p>
    <w:p w14:paraId="3DD4C3B3" w14:textId="046FF18E" w:rsidR="001433CF" w:rsidRPr="00962BB8" w:rsidRDefault="001433CF" w:rsidP="001433CF">
      <w:pPr>
        <w:spacing w:after="80"/>
        <w:jc w:val="center"/>
        <w:rPr>
          <w:szCs w:val="28"/>
        </w:rPr>
      </w:pPr>
      <w:r>
        <w:rPr>
          <w:szCs w:val="28"/>
        </w:rPr>
        <w:t>MISCELLANEOUS PROCEEDINGS</w:t>
      </w:r>
      <w:r w:rsidRPr="00962BB8">
        <w:rPr>
          <w:szCs w:val="28"/>
        </w:rPr>
        <w:t xml:space="preserve"> NO </w:t>
      </w:r>
      <w:r w:rsidR="004F53BD">
        <w:rPr>
          <w:szCs w:val="28"/>
        </w:rPr>
        <w:t xml:space="preserve">868 </w:t>
      </w:r>
      <w:r w:rsidRPr="00962BB8">
        <w:rPr>
          <w:szCs w:val="28"/>
        </w:rPr>
        <w:t>OF 20</w:t>
      </w:r>
      <w:r w:rsidR="008878F3">
        <w:rPr>
          <w:szCs w:val="28"/>
        </w:rPr>
        <w:t>19</w:t>
      </w:r>
    </w:p>
    <w:p w14:paraId="26649121" w14:textId="77777777" w:rsidR="0013122A" w:rsidRPr="008D5E9B" w:rsidRDefault="0013122A" w:rsidP="0013122A">
      <w:pPr>
        <w:tabs>
          <w:tab w:val="clear" w:pos="1440"/>
          <w:tab w:val="clear" w:pos="4320"/>
          <w:tab w:val="clear" w:pos="9072"/>
        </w:tabs>
        <w:spacing w:before="160" w:after="480"/>
        <w:jc w:val="center"/>
        <w:rPr>
          <w:bCs/>
          <w:kern w:val="2"/>
          <w:szCs w:val="28"/>
          <w:lang w:val="en-US"/>
        </w:rPr>
      </w:pPr>
      <w:r w:rsidRPr="008D5E9B">
        <w:rPr>
          <w:rFonts w:hint="eastAsia"/>
          <w:bCs/>
          <w:kern w:val="2"/>
          <w:szCs w:val="28"/>
          <w:lang w:val="en-US"/>
        </w:rPr>
        <w:t>______</w:t>
      </w:r>
      <w:r w:rsidRPr="008D5E9B">
        <w:rPr>
          <w:bCs/>
          <w:kern w:val="2"/>
          <w:szCs w:val="28"/>
          <w:lang w:val="en-US"/>
        </w:rPr>
        <w:t>_</w:t>
      </w:r>
      <w:r w:rsidRPr="008D5E9B">
        <w:rPr>
          <w:rFonts w:hint="eastAsia"/>
          <w:bCs/>
          <w:kern w:val="2"/>
          <w:szCs w:val="28"/>
          <w:lang w:val="en-US"/>
        </w:rPr>
        <w:t>________</w:t>
      </w:r>
    </w:p>
    <w:p w14:paraId="5FECE888" w14:textId="7742470A" w:rsidR="009A0715" w:rsidRPr="00AC66F8" w:rsidRDefault="00DA025A" w:rsidP="009A0715">
      <w:pPr>
        <w:tabs>
          <w:tab w:val="clear" w:pos="1440"/>
          <w:tab w:val="clear" w:pos="4320"/>
          <w:tab w:val="clear" w:pos="9072"/>
          <w:tab w:val="left" w:pos="900"/>
          <w:tab w:val="center" w:pos="4140"/>
          <w:tab w:val="right" w:pos="8400"/>
        </w:tabs>
        <w:snapToGrid/>
        <w:ind w:left="4140"/>
        <w:jc w:val="both"/>
        <w:rPr>
          <w:rFonts w:eastAsia="PMingLiU"/>
          <w:kern w:val="2"/>
          <w:szCs w:val="28"/>
        </w:rPr>
      </w:pPr>
      <w:r>
        <w:rPr>
          <w:rFonts w:eastAsia="PMingLiU"/>
          <w:kern w:val="2"/>
          <w:szCs w:val="28"/>
        </w:rPr>
        <w:t xml:space="preserve">IN THE </w:t>
      </w:r>
      <w:r w:rsidR="007C4B96">
        <w:rPr>
          <w:rFonts w:eastAsia="PMingLiU"/>
          <w:kern w:val="2"/>
          <w:szCs w:val="28"/>
        </w:rPr>
        <w:t xml:space="preserve">MATTER </w:t>
      </w:r>
      <w:r w:rsidR="004F53BD">
        <w:rPr>
          <w:rFonts w:eastAsia="PMingLiU"/>
          <w:kern w:val="2"/>
          <w:szCs w:val="28"/>
        </w:rPr>
        <w:t xml:space="preserve">OF </w:t>
      </w:r>
      <w:r w:rsidR="00FA6553">
        <w:rPr>
          <w:rFonts w:eastAsia="PMingLiU"/>
          <w:kern w:val="2"/>
          <w:szCs w:val="28"/>
        </w:rPr>
        <w:t>S</w:t>
      </w:r>
      <w:r w:rsidR="00E0102E">
        <w:rPr>
          <w:rFonts w:eastAsia="PMingLiU"/>
          <w:kern w:val="2"/>
          <w:szCs w:val="28"/>
        </w:rPr>
        <w:t>ound Global Limited</w:t>
      </w:r>
    </w:p>
    <w:p w14:paraId="1EA18DBD" w14:textId="77777777" w:rsidR="009A0715" w:rsidRPr="00AC66F8" w:rsidRDefault="009A0715" w:rsidP="008878F3">
      <w:pPr>
        <w:tabs>
          <w:tab w:val="clear" w:pos="1440"/>
          <w:tab w:val="clear" w:pos="4320"/>
          <w:tab w:val="clear" w:pos="9072"/>
          <w:tab w:val="left" w:pos="900"/>
          <w:tab w:val="center" w:pos="4140"/>
          <w:tab w:val="left" w:pos="5760"/>
          <w:tab w:val="right" w:pos="8400"/>
        </w:tabs>
        <w:snapToGrid/>
        <w:spacing w:before="240" w:after="240"/>
        <w:ind w:left="4147"/>
        <w:jc w:val="both"/>
        <w:rPr>
          <w:rFonts w:eastAsia="PMingLiU"/>
          <w:kern w:val="2"/>
          <w:szCs w:val="28"/>
        </w:rPr>
      </w:pPr>
      <w:r w:rsidRPr="00AC66F8">
        <w:rPr>
          <w:rFonts w:eastAsia="PMingLiU"/>
          <w:kern w:val="2"/>
          <w:szCs w:val="28"/>
        </w:rPr>
        <w:tab/>
        <w:t>and</w:t>
      </w:r>
    </w:p>
    <w:p w14:paraId="36C74774" w14:textId="2F762C92" w:rsidR="009A0715" w:rsidRPr="00AC66F8" w:rsidRDefault="009A0715" w:rsidP="009A0715">
      <w:pPr>
        <w:tabs>
          <w:tab w:val="clear" w:pos="1440"/>
          <w:tab w:val="clear" w:pos="4320"/>
          <w:tab w:val="clear" w:pos="9072"/>
          <w:tab w:val="left" w:pos="900"/>
          <w:tab w:val="center" w:pos="4140"/>
          <w:tab w:val="left" w:pos="5760"/>
          <w:tab w:val="right" w:pos="8400"/>
        </w:tabs>
        <w:snapToGrid/>
        <w:ind w:left="4140"/>
        <w:jc w:val="both"/>
        <w:rPr>
          <w:rFonts w:eastAsia="PMingLiU"/>
          <w:kern w:val="2"/>
          <w:szCs w:val="28"/>
        </w:rPr>
      </w:pPr>
      <w:r w:rsidRPr="00AC66F8">
        <w:rPr>
          <w:rFonts w:eastAsia="PMingLiU"/>
          <w:kern w:val="2"/>
          <w:szCs w:val="28"/>
        </w:rPr>
        <w:t xml:space="preserve">IN THE MATTER </w:t>
      </w:r>
      <w:r w:rsidR="004F53BD">
        <w:rPr>
          <w:rFonts w:eastAsia="PMingLiU"/>
          <w:kern w:val="2"/>
          <w:szCs w:val="28"/>
        </w:rPr>
        <w:t xml:space="preserve">OF Section 214 of the Securities and Futures Ordinance </w:t>
      </w:r>
      <w:r w:rsidR="00E17F93">
        <w:rPr>
          <w:rFonts w:eastAsia="PMingLiU"/>
          <w:kern w:val="2"/>
          <w:szCs w:val="28"/>
        </w:rPr>
        <w:t>(</w:t>
      </w:r>
      <w:r w:rsidR="004F53BD">
        <w:rPr>
          <w:rFonts w:eastAsia="PMingLiU"/>
          <w:kern w:val="2"/>
          <w:szCs w:val="28"/>
        </w:rPr>
        <w:t>Cap</w:t>
      </w:r>
      <w:r w:rsidR="00AE6CFF">
        <w:rPr>
          <w:rFonts w:eastAsia="PMingLiU"/>
          <w:kern w:val="2"/>
          <w:szCs w:val="28"/>
        </w:rPr>
        <w:t xml:space="preserve">. </w:t>
      </w:r>
      <w:r w:rsidR="004F53BD">
        <w:rPr>
          <w:rFonts w:eastAsia="PMingLiU"/>
          <w:kern w:val="2"/>
          <w:szCs w:val="28"/>
        </w:rPr>
        <w:t>571</w:t>
      </w:r>
      <w:r w:rsidR="00E17F93">
        <w:rPr>
          <w:rFonts w:eastAsia="PMingLiU"/>
          <w:kern w:val="2"/>
          <w:szCs w:val="28"/>
        </w:rPr>
        <w:t>)</w:t>
      </w:r>
    </w:p>
    <w:p w14:paraId="396CF0FF" w14:textId="77777777" w:rsidR="0013122A" w:rsidRPr="008D5E9B" w:rsidRDefault="0013122A" w:rsidP="00D02AD3">
      <w:pPr>
        <w:tabs>
          <w:tab w:val="clear" w:pos="1440"/>
          <w:tab w:val="clear" w:pos="4320"/>
          <w:tab w:val="clear" w:pos="9072"/>
        </w:tabs>
        <w:spacing w:before="160" w:after="360"/>
        <w:jc w:val="center"/>
        <w:rPr>
          <w:bCs/>
          <w:kern w:val="2"/>
          <w:szCs w:val="28"/>
          <w:lang w:val="en-US"/>
        </w:rPr>
      </w:pPr>
      <w:r w:rsidRPr="00F12D34">
        <w:rPr>
          <w:rFonts w:hint="eastAsia"/>
          <w:bCs/>
          <w:kern w:val="2"/>
          <w:szCs w:val="28"/>
          <w:lang w:val="en-US"/>
        </w:rPr>
        <w:t>______</w:t>
      </w:r>
      <w:r w:rsidRPr="00F12D34">
        <w:rPr>
          <w:bCs/>
          <w:kern w:val="2"/>
          <w:szCs w:val="28"/>
          <w:lang w:val="en-US"/>
        </w:rPr>
        <w:t>_</w:t>
      </w:r>
      <w:r w:rsidRPr="00F12D34">
        <w:rPr>
          <w:rFonts w:hint="eastAsia"/>
          <w:bCs/>
          <w:kern w:val="2"/>
          <w:szCs w:val="28"/>
          <w:lang w:val="en-US"/>
        </w:rPr>
        <w:t>________</w:t>
      </w:r>
      <w:r w:rsidR="007E2C6B" w:rsidRPr="00F12D34">
        <w:rPr>
          <w:bCs/>
          <w:kern w:val="2"/>
          <w:szCs w:val="28"/>
          <w:lang w:val="en-US"/>
        </w:rPr>
        <w:t xml:space="preserve"> </w:t>
      </w:r>
    </w:p>
    <w:p w14:paraId="6C9F5F94" w14:textId="77777777" w:rsidR="00044F88" w:rsidRPr="00AC66F8" w:rsidRDefault="00044F88" w:rsidP="00044F88">
      <w:pPr>
        <w:tabs>
          <w:tab w:val="clear" w:pos="1440"/>
          <w:tab w:val="clear" w:pos="4320"/>
          <w:tab w:val="clear" w:pos="9072"/>
          <w:tab w:val="left" w:pos="900"/>
          <w:tab w:val="center" w:pos="4140"/>
          <w:tab w:val="right" w:pos="8400"/>
        </w:tabs>
        <w:snapToGrid/>
        <w:jc w:val="both"/>
        <w:rPr>
          <w:rFonts w:eastAsia="PMingLiU"/>
          <w:kern w:val="2"/>
          <w:szCs w:val="28"/>
        </w:rPr>
      </w:pPr>
      <w:r w:rsidRPr="00AC66F8">
        <w:rPr>
          <w:rFonts w:eastAsia="PMingLiU"/>
          <w:kern w:val="2"/>
          <w:szCs w:val="28"/>
        </w:rPr>
        <w:t>BETWEEN</w:t>
      </w:r>
    </w:p>
    <w:p w14:paraId="39229180" w14:textId="7F74CA87" w:rsidR="00044F88" w:rsidRPr="00E95FE2" w:rsidRDefault="00044F88" w:rsidP="00044F88">
      <w:pPr>
        <w:tabs>
          <w:tab w:val="clear" w:pos="1440"/>
          <w:tab w:val="clear" w:pos="4320"/>
          <w:tab w:val="clear" w:pos="9072"/>
          <w:tab w:val="left" w:pos="630"/>
          <w:tab w:val="center" w:pos="4140"/>
          <w:tab w:val="right" w:pos="8400"/>
        </w:tabs>
        <w:snapToGrid/>
        <w:spacing w:before="120"/>
        <w:jc w:val="both"/>
        <w:rPr>
          <w:kern w:val="2"/>
          <w:szCs w:val="28"/>
        </w:rPr>
      </w:pPr>
      <w:r w:rsidRPr="00AC66F8">
        <w:rPr>
          <w:rFonts w:eastAsia="PMingLiU"/>
          <w:kern w:val="2"/>
          <w:szCs w:val="28"/>
        </w:rPr>
        <w:tab/>
      </w:r>
      <w:r w:rsidR="005E7A72">
        <w:rPr>
          <w:rFonts w:eastAsia="PMingLiU"/>
          <w:kern w:val="2"/>
          <w:szCs w:val="28"/>
          <w:lang w:val="en-US"/>
        </w:rPr>
        <w:t>SECURITIES AND FUTURES COMMISSION</w:t>
      </w:r>
      <w:r w:rsidRPr="00AC66F8">
        <w:rPr>
          <w:rFonts w:eastAsia="PMingLiU"/>
          <w:kern w:val="2"/>
          <w:szCs w:val="28"/>
        </w:rPr>
        <w:tab/>
      </w:r>
      <w:r w:rsidR="005E7A72">
        <w:rPr>
          <w:kern w:val="2"/>
          <w:szCs w:val="28"/>
        </w:rPr>
        <w:t>Petitioner</w:t>
      </w:r>
    </w:p>
    <w:p w14:paraId="7E34A227" w14:textId="1784F0FD" w:rsidR="00044F88" w:rsidRDefault="00044F88" w:rsidP="00044F88">
      <w:pPr>
        <w:tabs>
          <w:tab w:val="clear" w:pos="1440"/>
          <w:tab w:val="clear" w:pos="4320"/>
          <w:tab w:val="clear" w:pos="9072"/>
          <w:tab w:val="left" w:pos="900"/>
          <w:tab w:val="center" w:pos="4140"/>
          <w:tab w:val="right" w:pos="8400"/>
        </w:tabs>
        <w:snapToGrid/>
        <w:jc w:val="both"/>
        <w:rPr>
          <w:rFonts w:eastAsia="PMingLiU"/>
          <w:kern w:val="2"/>
          <w:szCs w:val="28"/>
        </w:rPr>
      </w:pPr>
    </w:p>
    <w:p w14:paraId="443DBD63" w14:textId="77777777" w:rsidR="00044F88" w:rsidRPr="00AC66F8" w:rsidRDefault="00044F88" w:rsidP="00044F88">
      <w:pPr>
        <w:tabs>
          <w:tab w:val="clear" w:pos="1440"/>
          <w:tab w:val="clear" w:pos="4320"/>
          <w:tab w:val="clear" w:pos="9072"/>
          <w:tab w:val="left" w:pos="900"/>
          <w:tab w:val="center" w:pos="4140"/>
          <w:tab w:val="right" w:pos="8400"/>
        </w:tabs>
        <w:snapToGrid/>
        <w:jc w:val="both"/>
        <w:rPr>
          <w:rFonts w:eastAsia="PMingLiU"/>
          <w:kern w:val="2"/>
          <w:szCs w:val="28"/>
        </w:rPr>
      </w:pPr>
      <w:r w:rsidRPr="00AC66F8">
        <w:rPr>
          <w:rFonts w:eastAsia="PMingLiU"/>
          <w:kern w:val="2"/>
          <w:szCs w:val="28"/>
        </w:rPr>
        <w:tab/>
      </w:r>
      <w:r w:rsidRPr="00AC66F8">
        <w:rPr>
          <w:rFonts w:eastAsia="PMingLiU"/>
          <w:kern w:val="2"/>
          <w:szCs w:val="28"/>
        </w:rPr>
        <w:tab/>
        <w:t>and</w:t>
      </w:r>
    </w:p>
    <w:p w14:paraId="0F974553" w14:textId="77777777" w:rsidR="00044F88" w:rsidRPr="00AC66F8" w:rsidRDefault="00044F88" w:rsidP="00044F88">
      <w:pPr>
        <w:tabs>
          <w:tab w:val="clear" w:pos="1440"/>
          <w:tab w:val="clear" w:pos="4320"/>
          <w:tab w:val="clear" w:pos="9072"/>
          <w:tab w:val="left" w:pos="1710"/>
          <w:tab w:val="left" w:pos="3870"/>
          <w:tab w:val="right" w:pos="8400"/>
        </w:tabs>
        <w:snapToGrid/>
        <w:spacing w:after="120"/>
        <w:ind w:right="43"/>
        <w:jc w:val="both"/>
        <w:rPr>
          <w:rFonts w:eastAsia="PMingLiU"/>
          <w:kern w:val="2"/>
          <w:szCs w:val="28"/>
        </w:rPr>
      </w:pPr>
    </w:p>
    <w:p w14:paraId="394B4A22" w14:textId="3BE32776" w:rsidR="00044F88" w:rsidRDefault="00FA6553" w:rsidP="00742FA0">
      <w:pPr>
        <w:tabs>
          <w:tab w:val="clear" w:pos="1440"/>
          <w:tab w:val="clear" w:pos="4320"/>
          <w:tab w:val="clear" w:pos="9072"/>
          <w:tab w:val="center" w:pos="4140"/>
          <w:tab w:val="right" w:pos="8400"/>
        </w:tabs>
        <w:snapToGrid/>
        <w:ind w:left="1800" w:hanging="1170"/>
        <w:jc w:val="both"/>
        <w:rPr>
          <w:kern w:val="2"/>
          <w:szCs w:val="28"/>
        </w:rPr>
      </w:pPr>
      <w:r>
        <w:rPr>
          <w:rFonts w:eastAsia="PMingLiU"/>
          <w:kern w:val="2"/>
          <w:szCs w:val="28"/>
          <w:lang w:val="en-US" w:eastAsia="zh-TW"/>
        </w:rPr>
        <w:t xml:space="preserve">SOUND GLOBAL </w:t>
      </w:r>
      <w:r w:rsidR="005E7A72">
        <w:rPr>
          <w:rFonts w:eastAsia="PMingLiU"/>
          <w:kern w:val="2"/>
          <w:szCs w:val="28"/>
          <w:lang w:val="en-US" w:eastAsia="zh-TW"/>
        </w:rPr>
        <w:t>LTD</w:t>
      </w:r>
      <w:r w:rsidR="00AE6CFF">
        <w:rPr>
          <w:rFonts w:eastAsia="PMingLiU"/>
          <w:kern w:val="2"/>
          <w:szCs w:val="28"/>
          <w:lang w:val="en-US" w:eastAsia="zh-TW"/>
        </w:rPr>
        <w:t xml:space="preserve">. </w:t>
      </w:r>
      <w:r w:rsidR="005E7A72">
        <w:rPr>
          <w:rFonts w:eastAsia="PMingLiU"/>
          <w:kern w:val="2"/>
          <w:szCs w:val="28"/>
          <w:lang w:val="en-US" w:eastAsia="zh-TW"/>
        </w:rPr>
        <w:t>(</w:t>
      </w:r>
      <w:r w:rsidR="005E7A72">
        <w:rPr>
          <w:rFonts w:ascii="宋体" w:hAnsi="宋体" w:hint="eastAsia"/>
          <w:kern w:val="2"/>
          <w:szCs w:val="28"/>
          <w:lang w:val="en-US"/>
        </w:rPr>
        <w:t>桑德國際有限公司</w:t>
      </w:r>
      <w:r w:rsidR="005E7A72">
        <w:rPr>
          <w:rFonts w:eastAsia="PMingLiU"/>
          <w:kern w:val="2"/>
          <w:szCs w:val="28"/>
          <w:lang w:val="en-US" w:eastAsia="zh-TW"/>
        </w:rPr>
        <w:t>)</w:t>
      </w:r>
      <w:r w:rsidR="005E7A72">
        <w:rPr>
          <w:rFonts w:eastAsia="PMingLiU"/>
          <w:kern w:val="2"/>
          <w:szCs w:val="28"/>
          <w:lang w:eastAsia="zh-TW"/>
        </w:rPr>
        <w:tab/>
      </w:r>
      <w:r w:rsidR="00E95FE2" w:rsidRPr="00E95FE2">
        <w:rPr>
          <w:kern w:val="2"/>
          <w:szCs w:val="28"/>
        </w:rPr>
        <w:t>1</w:t>
      </w:r>
      <w:r w:rsidR="00E95FE2" w:rsidRPr="00E95FE2">
        <w:rPr>
          <w:kern w:val="2"/>
          <w:szCs w:val="28"/>
          <w:vertAlign w:val="superscript"/>
        </w:rPr>
        <w:t>st</w:t>
      </w:r>
      <w:r w:rsidR="00E95FE2" w:rsidRPr="00E95FE2">
        <w:rPr>
          <w:kern w:val="2"/>
          <w:szCs w:val="28"/>
        </w:rPr>
        <w:t xml:space="preserve"> </w:t>
      </w:r>
      <w:r w:rsidR="005E7A72">
        <w:rPr>
          <w:kern w:val="2"/>
          <w:szCs w:val="28"/>
        </w:rPr>
        <w:t>Respondent</w:t>
      </w:r>
    </w:p>
    <w:p w14:paraId="1867D10C" w14:textId="6F1DB71D" w:rsidR="00044F88" w:rsidRDefault="005E7A72" w:rsidP="00C02575">
      <w:pPr>
        <w:tabs>
          <w:tab w:val="clear" w:pos="1440"/>
          <w:tab w:val="clear" w:pos="4320"/>
          <w:tab w:val="clear" w:pos="9072"/>
          <w:tab w:val="center" w:pos="4140"/>
          <w:tab w:val="right" w:pos="8400"/>
        </w:tabs>
        <w:snapToGrid/>
        <w:spacing w:before="120"/>
        <w:ind w:left="1800" w:hanging="1166"/>
        <w:jc w:val="both"/>
        <w:rPr>
          <w:kern w:val="2"/>
          <w:szCs w:val="28"/>
        </w:rPr>
      </w:pPr>
      <w:r>
        <w:rPr>
          <w:rFonts w:eastAsia="PMingLiU"/>
          <w:kern w:val="2"/>
          <w:szCs w:val="28"/>
          <w:lang w:val="en-US" w:eastAsia="zh-TW"/>
        </w:rPr>
        <w:t>WEN YIBO (</w:t>
      </w:r>
      <w:r w:rsidRPr="005E7A72">
        <w:rPr>
          <w:rFonts w:ascii="宋体" w:hAnsi="宋体" w:hint="eastAsia"/>
          <w:kern w:val="2"/>
          <w:szCs w:val="28"/>
          <w:lang w:val="en-US"/>
        </w:rPr>
        <w:t>文一波</w:t>
      </w:r>
      <w:r>
        <w:rPr>
          <w:rFonts w:eastAsiaTheme="minorEastAsia" w:hint="eastAsia"/>
          <w:kern w:val="2"/>
          <w:szCs w:val="28"/>
          <w:lang w:val="en-US"/>
        </w:rPr>
        <w:t>)</w:t>
      </w:r>
      <w:r w:rsidR="00044F88" w:rsidRPr="00AC66F8">
        <w:rPr>
          <w:rFonts w:eastAsia="PMingLiU"/>
          <w:kern w:val="2"/>
          <w:szCs w:val="28"/>
          <w:lang w:eastAsia="zh-TW"/>
        </w:rPr>
        <w:tab/>
      </w:r>
      <w:r w:rsidR="00742FA0">
        <w:rPr>
          <w:rFonts w:eastAsia="PMingLiU"/>
          <w:kern w:val="2"/>
          <w:szCs w:val="28"/>
          <w:lang w:eastAsia="zh-TW"/>
        </w:rPr>
        <w:tab/>
      </w:r>
      <w:r w:rsidR="00E95FE2" w:rsidRPr="00E95FE2">
        <w:rPr>
          <w:kern w:val="2"/>
          <w:szCs w:val="28"/>
        </w:rPr>
        <w:t>2</w:t>
      </w:r>
      <w:r w:rsidR="00E95FE2" w:rsidRPr="00E95FE2">
        <w:rPr>
          <w:kern w:val="2"/>
          <w:szCs w:val="28"/>
          <w:vertAlign w:val="superscript"/>
        </w:rPr>
        <w:t>nd</w:t>
      </w:r>
      <w:r w:rsidR="00E95FE2" w:rsidRPr="00E95FE2">
        <w:rPr>
          <w:kern w:val="2"/>
          <w:szCs w:val="28"/>
        </w:rPr>
        <w:t xml:space="preserve"> </w:t>
      </w:r>
      <w:r>
        <w:rPr>
          <w:kern w:val="2"/>
          <w:szCs w:val="28"/>
        </w:rPr>
        <w:t>Responde</w:t>
      </w:r>
      <w:r w:rsidR="00E95FE2" w:rsidRPr="00E95FE2">
        <w:rPr>
          <w:kern w:val="2"/>
          <w:szCs w:val="28"/>
        </w:rPr>
        <w:t>nt</w:t>
      </w:r>
    </w:p>
    <w:p w14:paraId="5F50A819" w14:textId="1FB1B1FD" w:rsidR="005E7A72" w:rsidRDefault="005E7A72" w:rsidP="00C02575">
      <w:pPr>
        <w:tabs>
          <w:tab w:val="clear" w:pos="1440"/>
          <w:tab w:val="clear" w:pos="4320"/>
          <w:tab w:val="clear" w:pos="9072"/>
          <w:tab w:val="center" w:pos="4140"/>
          <w:tab w:val="right" w:pos="8400"/>
        </w:tabs>
        <w:snapToGrid/>
        <w:spacing w:before="120"/>
        <w:ind w:left="1800" w:hanging="1166"/>
        <w:jc w:val="both"/>
        <w:rPr>
          <w:rFonts w:eastAsia="PMingLiU"/>
          <w:kern w:val="2"/>
          <w:szCs w:val="28"/>
          <w:lang w:eastAsia="zh-TW"/>
        </w:rPr>
      </w:pPr>
      <w:r>
        <w:rPr>
          <w:rFonts w:eastAsia="PMingLiU"/>
          <w:kern w:val="2"/>
          <w:szCs w:val="28"/>
          <w:lang w:eastAsia="zh-TW"/>
        </w:rPr>
        <w:t xml:space="preserve">ZHANG </w:t>
      </w:r>
      <w:r w:rsidRPr="00742FA0">
        <w:rPr>
          <w:rFonts w:eastAsia="PMingLiU"/>
          <w:kern w:val="2"/>
          <w:szCs w:val="28"/>
          <w:lang w:val="en-US" w:eastAsia="zh-TW"/>
        </w:rPr>
        <w:t>JINGZHI</w:t>
      </w:r>
      <w:r>
        <w:rPr>
          <w:rFonts w:eastAsia="PMingLiU"/>
          <w:kern w:val="2"/>
          <w:szCs w:val="28"/>
          <w:lang w:eastAsia="zh-TW"/>
        </w:rPr>
        <w:t xml:space="preserve"> (</w:t>
      </w:r>
      <w:r>
        <w:rPr>
          <w:rFonts w:ascii="宋体" w:hAnsi="宋体" w:hint="eastAsia"/>
          <w:kern w:val="2"/>
          <w:szCs w:val="28"/>
        </w:rPr>
        <w:t>張景志</w:t>
      </w:r>
      <w:r>
        <w:rPr>
          <w:rFonts w:eastAsia="PMingLiU"/>
          <w:kern w:val="2"/>
          <w:szCs w:val="28"/>
          <w:lang w:eastAsia="zh-TW"/>
        </w:rPr>
        <w:t>)</w:t>
      </w:r>
      <w:r w:rsidR="00742FA0">
        <w:rPr>
          <w:rFonts w:eastAsia="PMingLiU"/>
          <w:kern w:val="2"/>
          <w:szCs w:val="28"/>
          <w:lang w:eastAsia="zh-TW"/>
        </w:rPr>
        <w:tab/>
      </w:r>
      <w:r>
        <w:rPr>
          <w:rFonts w:eastAsia="PMingLiU"/>
          <w:kern w:val="2"/>
          <w:szCs w:val="28"/>
          <w:lang w:eastAsia="zh-TW"/>
        </w:rPr>
        <w:tab/>
        <w:t>3</w:t>
      </w:r>
      <w:r w:rsidRPr="005E7A72">
        <w:rPr>
          <w:rFonts w:eastAsia="PMingLiU"/>
          <w:kern w:val="2"/>
          <w:szCs w:val="28"/>
          <w:vertAlign w:val="superscript"/>
          <w:lang w:eastAsia="zh-TW"/>
        </w:rPr>
        <w:t>rd</w:t>
      </w:r>
      <w:r>
        <w:rPr>
          <w:rFonts w:eastAsia="PMingLiU"/>
          <w:kern w:val="2"/>
          <w:szCs w:val="28"/>
          <w:lang w:eastAsia="zh-TW"/>
        </w:rPr>
        <w:t xml:space="preserve"> Respondent</w:t>
      </w:r>
    </w:p>
    <w:p w14:paraId="13752324" w14:textId="512E864D" w:rsidR="005E7A72" w:rsidRDefault="005E7A72" w:rsidP="00C02575">
      <w:pPr>
        <w:tabs>
          <w:tab w:val="clear" w:pos="1440"/>
          <w:tab w:val="clear" w:pos="4320"/>
          <w:tab w:val="clear" w:pos="9072"/>
          <w:tab w:val="center" w:pos="4140"/>
          <w:tab w:val="right" w:pos="8400"/>
        </w:tabs>
        <w:snapToGrid/>
        <w:spacing w:before="120"/>
        <w:ind w:left="1800" w:hanging="1166"/>
        <w:jc w:val="both"/>
        <w:rPr>
          <w:rFonts w:eastAsia="PMingLiU"/>
          <w:kern w:val="2"/>
          <w:szCs w:val="28"/>
          <w:lang w:eastAsia="zh-TW"/>
        </w:rPr>
      </w:pPr>
      <w:r w:rsidRPr="00742FA0">
        <w:rPr>
          <w:rFonts w:eastAsia="PMingLiU"/>
          <w:kern w:val="2"/>
          <w:szCs w:val="28"/>
          <w:lang w:val="en-US" w:eastAsia="zh-TW"/>
        </w:rPr>
        <w:t>WANG</w:t>
      </w:r>
      <w:r>
        <w:rPr>
          <w:rFonts w:eastAsia="PMingLiU"/>
          <w:kern w:val="2"/>
          <w:szCs w:val="28"/>
          <w:lang w:eastAsia="zh-TW"/>
        </w:rPr>
        <w:t xml:space="preserve"> </w:t>
      </w:r>
      <w:r w:rsidRPr="00C02575">
        <w:rPr>
          <w:rFonts w:eastAsia="PMingLiU"/>
          <w:kern w:val="2"/>
          <w:szCs w:val="28"/>
          <w:lang w:val="en-US" w:eastAsia="zh-TW"/>
        </w:rPr>
        <w:t>KAI</w:t>
      </w:r>
      <w:r>
        <w:rPr>
          <w:rFonts w:eastAsia="PMingLiU"/>
          <w:kern w:val="2"/>
          <w:szCs w:val="28"/>
          <w:lang w:eastAsia="zh-TW"/>
        </w:rPr>
        <w:t xml:space="preserve"> (</w:t>
      </w:r>
      <w:r w:rsidRPr="005E7A72">
        <w:rPr>
          <w:rFonts w:ascii="宋体" w:hAnsi="宋体" w:hint="eastAsia"/>
          <w:kern w:val="2"/>
          <w:szCs w:val="28"/>
        </w:rPr>
        <w:t>王凱</w:t>
      </w:r>
      <w:r>
        <w:rPr>
          <w:rFonts w:eastAsia="PMingLiU"/>
          <w:kern w:val="2"/>
          <w:szCs w:val="28"/>
          <w:lang w:eastAsia="zh-TW"/>
        </w:rPr>
        <w:t>)</w:t>
      </w:r>
      <w:r>
        <w:rPr>
          <w:rFonts w:eastAsia="PMingLiU"/>
          <w:kern w:val="2"/>
          <w:szCs w:val="28"/>
          <w:lang w:eastAsia="zh-TW"/>
        </w:rPr>
        <w:tab/>
      </w:r>
      <w:r w:rsidR="00742FA0">
        <w:rPr>
          <w:rFonts w:eastAsia="PMingLiU"/>
          <w:kern w:val="2"/>
          <w:szCs w:val="28"/>
          <w:lang w:eastAsia="zh-TW"/>
        </w:rPr>
        <w:tab/>
      </w:r>
      <w:r>
        <w:rPr>
          <w:rFonts w:eastAsia="PMingLiU"/>
          <w:kern w:val="2"/>
          <w:szCs w:val="28"/>
          <w:lang w:eastAsia="zh-TW"/>
        </w:rPr>
        <w:t>4</w:t>
      </w:r>
      <w:r w:rsidRPr="005E7A72">
        <w:rPr>
          <w:rFonts w:eastAsia="PMingLiU"/>
          <w:kern w:val="2"/>
          <w:szCs w:val="28"/>
          <w:vertAlign w:val="superscript"/>
          <w:lang w:eastAsia="zh-TW"/>
        </w:rPr>
        <w:t>th</w:t>
      </w:r>
      <w:r>
        <w:rPr>
          <w:rFonts w:eastAsia="PMingLiU"/>
          <w:kern w:val="2"/>
          <w:szCs w:val="28"/>
          <w:lang w:eastAsia="zh-TW"/>
        </w:rPr>
        <w:t xml:space="preserve"> Respondent</w:t>
      </w:r>
    </w:p>
    <w:p w14:paraId="3E054E93" w14:textId="3C8B84CB" w:rsidR="005E7A72" w:rsidRPr="00AC66F8" w:rsidRDefault="005E7A72" w:rsidP="00C02575">
      <w:pPr>
        <w:tabs>
          <w:tab w:val="clear" w:pos="1440"/>
          <w:tab w:val="clear" w:pos="4320"/>
          <w:tab w:val="clear" w:pos="9072"/>
          <w:tab w:val="center" w:pos="4140"/>
          <w:tab w:val="right" w:pos="8400"/>
        </w:tabs>
        <w:snapToGrid/>
        <w:spacing w:before="120"/>
        <w:ind w:left="1800" w:hanging="1166"/>
        <w:jc w:val="both"/>
        <w:rPr>
          <w:rFonts w:eastAsia="PMingLiU"/>
          <w:kern w:val="2"/>
          <w:szCs w:val="28"/>
          <w:lang w:eastAsia="zh-TW"/>
        </w:rPr>
      </w:pPr>
      <w:r w:rsidRPr="00C02575">
        <w:rPr>
          <w:rFonts w:eastAsia="PMingLiU"/>
          <w:kern w:val="2"/>
          <w:szCs w:val="28"/>
          <w:lang w:val="en-US" w:eastAsia="zh-TW"/>
        </w:rPr>
        <w:t>ZHANG</w:t>
      </w:r>
      <w:r>
        <w:rPr>
          <w:rFonts w:eastAsia="PMingLiU"/>
          <w:kern w:val="2"/>
          <w:szCs w:val="28"/>
          <w:lang w:eastAsia="zh-TW"/>
        </w:rPr>
        <w:t xml:space="preserve"> XIQUAN (</w:t>
      </w:r>
      <w:r w:rsidRPr="005E7A72">
        <w:rPr>
          <w:rFonts w:ascii="宋体" w:hAnsi="宋体" w:hint="eastAsia"/>
          <w:kern w:val="2"/>
          <w:szCs w:val="28"/>
        </w:rPr>
        <w:t>張希泉</w:t>
      </w:r>
      <w:r>
        <w:rPr>
          <w:rFonts w:eastAsia="PMingLiU"/>
          <w:kern w:val="2"/>
          <w:szCs w:val="28"/>
          <w:lang w:eastAsia="zh-TW"/>
        </w:rPr>
        <w:t>)</w:t>
      </w:r>
      <w:r>
        <w:rPr>
          <w:rFonts w:eastAsia="PMingLiU"/>
          <w:kern w:val="2"/>
          <w:szCs w:val="28"/>
          <w:lang w:eastAsia="zh-TW"/>
        </w:rPr>
        <w:tab/>
      </w:r>
      <w:r w:rsidR="00742FA0">
        <w:rPr>
          <w:rFonts w:eastAsia="PMingLiU"/>
          <w:kern w:val="2"/>
          <w:szCs w:val="28"/>
          <w:lang w:eastAsia="zh-TW"/>
        </w:rPr>
        <w:tab/>
      </w:r>
      <w:r>
        <w:rPr>
          <w:rFonts w:eastAsia="PMingLiU"/>
          <w:kern w:val="2"/>
          <w:szCs w:val="28"/>
          <w:lang w:eastAsia="zh-TW"/>
        </w:rPr>
        <w:t>5</w:t>
      </w:r>
      <w:r w:rsidRPr="005E7A72">
        <w:rPr>
          <w:rFonts w:eastAsia="PMingLiU"/>
          <w:kern w:val="2"/>
          <w:szCs w:val="28"/>
          <w:vertAlign w:val="superscript"/>
          <w:lang w:eastAsia="zh-TW"/>
        </w:rPr>
        <w:t>th</w:t>
      </w:r>
      <w:r>
        <w:rPr>
          <w:rFonts w:eastAsia="PMingLiU"/>
          <w:kern w:val="2"/>
          <w:szCs w:val="28"/>
          <w:lang w:eastAsia="zh-TW"/>
        </w:rPr>
        <w:t xml:space="preserve"> Respondent</w:t>
      </w:r>
    </w:p>
    <w:p w14:paraId="5503F4F0" w14:textId="4942E3DC" w:rsidR="00044F88" w:rsidRPr="00AC66F8" w:rsidRDefault="00044F88" w:rsidP="003301E9">
      <w:pPr>
        <w:tabs>
          <w:tab w:val="clear" w:pos="1440"/>
          <w:tab w:val="clear" w:pos="4320"/>
          <w:tab w:val="clear" w:pos="9072"/>
          <w:tab w:val="center" w:pos="4140"/>
          <w:tab w:val="right" w:pos="8400"/>
        </w:tabs>
        <w:snapToGrid/>
        <w:spacing w:before="120"/>
        <w:ind w:left="1800" w:hanging="1800"/>
        <w:jc w:val="both"/>
        <w:rPr>
          <w:bCs/>
          <w:kern w:val="2"/>
          <w:szCs w:val="28"/>
          <w:lang w:val="en-US"/>
        </w:rPr>
      </w:pPr>
      <w:r w:rsidRPr="00AC66F8">
        <w:rPr>
          <w:rFonts w:eastAsia="PMingLiU"/>
          <w:kern w:val="2"/>
          <w:szCs w:val="28"/>
          <w:lang w:eastAsia="zh-TW"/>
        </w:rPr>
        <w:tab/>
      </w:r>
      <w:r w:rsidRPr="00AC66F8">
        <w:rPr>
          <w:rFonts w:eastAsia="PMingLiU"/>
          <w:kern w:val="2"/>
          <w:szCs w:val="28"/>
          <w:lang w:eastAsia="zh-TW"/>
        </w:rPr>
        <w:tab/>
      </w:r>
      <w:r w:rsidRPr="00AC66F8">
        <w:rPr>
          <w:bCs/>
          <w:kern w:val="2"/>
          <w:szCs w:val="28"/>
          <w:lang w:val="en-US"/>
        </w:rPr>
        <w:t>_______________</w:t>
      </w:r>
    </w:p>
    <w:p w14:paraId="12E10F5A" w14:textId="2AF14589" w:rsidR="00BA5DF3" w:rsidRPr="00333344" w:rsidRDefault="00BA5DF3" w:rsidP="00D55182">
      <w:pPr>
        <w:tabs>
          <w:tab w:val="clear" w:pos="1440"/>
          <w:tab w:val="clear" w:pos="4320"/>
          <w:tab w:val="clear" w:pos="9072"/>
          <w:tab w:val="left" w:pos="3420"/>
          <w:tab w:val="right" w:pos="8400"/>
        </w:tabs>
        <w:snapToGrid/>
        <w:spacing w:before="720"/>
        <w:ind w:right="43"/>
        <w:jc w:val="both"/>
        <w:rPr>
          <w:kern w:val="2"/>
          <w:lang w:val="en-US"/>
        </w:rPr>
      </w:pPr>
      <w:r w:rsidRPr="00333344">
        <w:rPr>
          <w:rFonts w:hint="eastAsia"/>
          <w:kern w:val="2"/>
          <w:lang w:val="en-US"/>
        </w:rPr>
        <w:t>Before:</w:t>
      </w:r>
      <w:r w:rsidRPr="00333344">
        <w:rPr>
          <w:kern w:val="2"/>
          <w:lang w:val="en-US"/>
        </w:rPr>
        <w:t xml:space="preserve"> </w:t>
      </w:r>
      <w:r w:rsidRPr="00333344">
        <w:rPr>
          <w:rFonts w:hint="eastAsia"/>
          <w:kern w:val="2"/>
          <w:lang w:val="en-US"/>
        </w:rPr>
        <w:t xml:space="preserve"> </w:t>
      </w:r>
      <w:r w:rsidR="00EF33B9">
        <w:rPr>
          <w:kern w:val="2"/>
          <w:lang w:val="en-US"/>
        </w:rPr>
        <w:t>Hon Linda Chan J in C</w:t>
      </w:r>
      <w:r w:rsidR="00465CD9">
        <w:rPr>
          <w:rFonts w:hint="eastAsia"/>
          <w:kern w:val="2"/>
          <w:lang w:val="en-US"/>
        </w:rPr>
        <w:t>our</w:t>
      </w:r>
      <w:r w:rsidR="006758EA">
        <w:rPr>
          <w:rFonts w:hint="eastAsia"/>
          <w:kern w:val="2"/>
          <w:lang w:val="en-US"/>
        </w:rPr>
        <w:t>t</w:t>
      </w:r>
      <w:r w:rsidR="00430533">
        <w:rPr>
          <w:kern w:val="2"/>
          <w:lang w:val="en-US"/>
        </w:rPr>
        <w:t xml:space="preserve"> </w:t>
      </w:r>
    </w:p>
    <w:p w14:paraId="5F169994" w14:textId="6ED510AA" w:rsidR="00BA5DF3" w:rsidRDefault="00BA5DF3" w:rsidP="00BA5DF3">
      <w:pPr>
        <w:tabs>
          <w:tab w:val="clear" w:pos="1440"/>
          <w:tab w:val="clear" w:pos="4320"/>
          <w:tab w:val="clear" w:pos="9072"/>
          <w:tab w:val="left" w:pos="2415"/>
        </w:tabs>
        <w:spacing w:before="160" w:line="360" w:lineRule="auto"/>
        <w:jc w:val="both"/>
        <w:rPr>
          <w:kern w:val="2"/>
          <w:lang w:val="en-US"/>
        </w:rPr>
      </w:pPr>
      <w:r w:rsidRPr="00333344">
        <w:rPr>
          <w:rFonts w:hint="eastAsia"/>
          <w:kern w:val="2"/>
          <w:lang w:val="en-US"/>
        </w:rPr>
        <w:t>Date</w:t>
      </w:r>
      <w:r w:rsidR="00406D05">
        <w:rPr>
          <w:kern w:val="2"/>
          <w:lang w:val="en-US"/>
        </w:rPr>
        <w:t>s</w:t>
      </w:r>
      <w:r w:rsidRPr="00333344">
        <w:rPr>
          <w:rFonts w:hint="eastAsia"/>
          <w:kern w:val="2"/>
          <w:lang w:val="en-US"/>
        </w:rPr>
        <w:t xml:space="preserve"> </w:t>
      </w:r>
      <w:r w:rsidRPr="00333344">
        <w:rPr>
          <w:kern w:val="2"/>
          <w:lang w:val="en-US"/>
        </w:rPr>
        <w:t xml:space="preserve">of </w:t>
      </w:r>
      <w:r w:rsidR="00EF33B9">
        <w:rPr>
          <w:kern w:val="2"/>
          <w:lang w:val="en-US"/>
        </w:rPr>
        <w:t>Hearing</w:t>
      </w:r>
      <w:r w:rsidRPr="00333344">
        <w:rPr>
          <w:kern w:val="2"/>
          <w:lang w:val="en-US"/>
        </w:rPr>
        <w:t xml:space="preserve">: </w:t>
      </w:r>
      <w:r w:rsidR="007272D1">
        <w:rPr>
          <w:kern w:val="2"/>
          <w:lang w:val="en-US"/>
        </w:rPr>
        <w:t xml:space="preserve"> </w:t>
      </w:r>
      <w:r w:rsidR="000E0E5A">
        <w:rPr>
          <w:kern w:val="2"/>
          <w:lang w:val="en-US"/>
        </w:rPr>
        <w:t xml:space="preserve">14 </w:t>
      </w:r>
      <w:r w:rsidR="003177F2">
        <w:rPr>
          <w:kern w:val="2"/>
          <w:lang w:val="en-US"/>
        </w:rPr>
        <w:t>–</w:t>
      </w:r>
      <w:r w:rsidR="00406D05">
        <w:rPr>
          <w:kern w:val="2"/>
          <w:lang w:val="en-US"/>
        </w:rPr>
        <w:t xml:space="preserve"> </w:t>
      </w:r>
      <w:r w:rsidR="003177F2">
        <w:rPr>
          <w:kern w:val="2"/>
          <w:lang w:val="en-US"/>
        </w:rPr>
        <w:t xml:space="preserve">17, 23 </w:t>
      </w:r>
      <w:r w:rsidR="000E0E5A">
        <w:rPr>
          <w:kern w:val="2"/>
          <w:lang w:val="en-US"/>
        </w:rPr>
        <w:t>June</w:t>
      </w:r>
      <w:r w:rsidR="00406D05">
        <w:rPr>
          <w:kern w:val="2"/>
          <w:lang w:val="en-US"/>
        </w:rPr>
        <w:t xml:space="preserve"> 2022</w:t>
      </w:r>
    </w:p>
    <w:p w14:paraId="010EB137" w14:textId="566BAD55" w:rsidR="00BA5DF3" w:rsidRDefault="00BF551C" w:rsidP="00BA5DF3">
      <w:pPr>
        <w:tabs>
          <w:tab w:val="clear" w:pos="1440"/>
          <w:tab w:val="clear" w:pos="4320"/>
          <w:tab w:val="clear" w:pos="9072"/>
          <w:tab w:val="left" w:pos="2415"/>
        </w:tabs>
        <w:spacing w:line="360" w:lineRule="auto"/>
        <w:jc w:val="both"/>
      </w:pPr>
      <w:r>
        <w:t xml:space="preserve">Date of </w:t>
      </w:r>
      <w:r w:rsidR="00EF33B9">
        <w:t>Judgment</w:t>
      </w:r>
      <w:r>
        <w:t xml:space="preserve">: </w:t>
      </w:r>
      <w:r w:rsidR="00EF33B9">
        <w:t xml:space="preserve"> </w:t>
      </w:r>
      <w:r w:rsidR="00BB1B7C" w:rsidRPr="00B86EB2">
        <w:t>30</w:t>
      </w:r>
      <w:r w:rsidR="00EF33B9">
        <w:t xml:space="preserve"> </w:t>
      </w:r>
      <w:r w:rsidR="00284862">
        <w:t>September</w:t>
      </w:r>
      <w:r w:rsidR="00CD35CF">
        <w:t xml:space="preserve"> </w:t>
      </w:r>
      <w:r w:rsidR="00922F69">
        <w:t>202</w:t>
      </w:r>
      <w:r w:rsidR="00604EA8">
        <w:t>2</w:t>
      </w:r>
    </w:p>
    <w:p w14:paraId="61E66BE5" w14:textId="5FB75C82" w:rsidR="00B1716E" w:rsidRPr="00AC66F8" w:rsidRDefault="00B1716E" w:rsidP="00B1716E">
      <w:pPr>
        <w:tabs>
          <w:tab w:val="clear" w:pos="1440"/>
          <w:tab w:val="clear" w:pos="4320"/>
          <w:tab w:val="clear" w:pos="9072"/>
        </w:tabs>
        <w:spacing w:before="160" w:after="360"/>
        <w:jc w:val="center"/>
        <w:rPr>
          <w:bCs/>
          <w:kern w:val="2"/>
          <w:szCs w:val="28"/>
          <w:lang w:val="en-US"/>
        </w:rPr>
      </w:pPr>
      <w:r w:rsidRPr="00AC66F8">
        <w:rPr>
          <w:bCs/>
          <w:kern w:val="2"/>
          <w:szCs w:val="28"/>
          <w:lang w:val="en-US"/>
        </w:rPr>
        <w:lastRenderedPageBreak/>
        <w:t>______</w:t>
      </w:r>
      <w:r w:rsidR="00896C6F">
        <w:rPr>
          <w:bCs/>
          <w:kern w:val="2"/>
          <w:szCs w:val="28"/>
          <w:lang w:val="en-US"/>
        </w:rPr>
        <w:t>_</w:t>
      </w:r>
      <w:r w:rsidRPr="00AC66F8">
        <w:rPr>
          <w:bCs/>
          <w:kern w:val="2"/>
          <w:szCs w:val="28"/>
          <w:lang w:val="en-US"/>
        </w:rPr>
        <w:t xml:space="preserve">________ </w:t>
      </w:r>
    </w:p>
    <w:p w14:paraId="5FC618F1" w14:textId="4E889F27" w:rsidR="00B1716E" w:rsidRPr="00AC66F8" w:rsidRDefault="00896C6F" w:rsidP="00B1716E">
      <w:pPr>
        <w:pStyle w:val="ListParagraph"/>
        <w:keepNext/>
        <w:tabs>
          <w:tab w:val="clear" w:pos="1440"/>
          <w:tab w:val="clear" w:pos="4320"/>
          <w:tab w:val="clear" w:pos="9072"/>
        </w:tabs>
        <w:spacing w:before="160"/>
        <w:ind w:left="0"/>
        <w:jc w:val="center"/>
        <w:rPr>
          <w:kern w:val="2"/>
          <w:szCs w:val="28"/>
          <w:lang w:val="en-US"/>
        </w:rPr>
      </w:pPr>
      <w:r>
        <w:rPr>
          <w:kern w:val="2"/>
          <w:szCs w:val="28"/>
          <w:lang w:val="en-US"/>
        </w:rPr>
        <w:t>J U D G M E N T</w:t>
      </w:r>
    </w:p>
    <w:p w14:paraId="4DB7ACD7" w14:textId="108BD7EF" w:rsidR="00B1716E" w:rsidRPr="00AC66F8" w:rsidRDefault="00B1716E" w:rsidP="00B1716E">
      <w:pPr>
        <w:pStyle w:val="ListParagraph"/>
        <w:tabs>
          <w:tab w:val="clear" w:pos="1440"/>
          <w:tab w:val="clear" w:pos="4320"/>
          <w:tab w:val="clear" w:pos="9072"/>
        </w:tabs>
        <w:spacing w:after="360" w:line="360" w:lineRule="auto"/>
        <w:ind w:left="0"/>
        <w:jc w:val="center"/>
        <w:rPr>
          <w:bCs/>
          <w:kern w:val="2"/>
          <w:szCs w:val="28"/>
          <w:lang w:val="en-US"/>
        </w:rPr>
      </w:pPr>
      <w:r w:rsidRPr="00AC66F8">
        <w:rPr>
          <w:kern w:val="2"/>
          <w:szCs w:val="28"/>
          <w:lang w:val="en-US"/>
        </w:rPr>
        <w:t>____</w:t>
      </w:r>
      <w:r w:rsidR="00896C6F">
        <w:rPr>
          <w:kern w:val="2"/>
          <w:szCs w:val="28"/>
          <w:lang w:val="en-US"/>
        </w:rPr>
        <w:t>_</w:t>
      </w:r>
      <w:r w:rsidRPr="00AC66F8">
        <w:rPr>
          <w:kern w:val="2"/>
          <w:szCs w:val="28"/>
          <w:lang w:val="en-US"/>
        </w:rPr>
        <w:t>_____</w:t>
      </w:r>
      <w:r w:rsidRPr="00AC66F8">
        <w:rPr>
          <w:bCs/>
          <w:kern w:val="2"/>
          <w:szCs w:val="28"/>
          <w:lang w:val="en-US"/>
        </w:rPr>
        <w:t>_____</w:t>
      </w:r>
    </w:p>
    <w:p w14:paraId="26C82CBE" w14:textId="51D23BA4" w:rsidR="00A1242F" w:rsidRDefault="00A1242F" w:rsidP="00C438A9">
      <w:pPr>
        <w:pStyle w:val="Final"/>
        <w:numPr>
          <w:ilvl w:val="0"/>
          <w:numId w:val="2"/>
        </w:numPr>
        <w:tabs>
          <w:tab w:val="clear" w:pos="720"/>
          <w:tab w:val="num" w:pos="0"/>
        </w:tabs>
        <w:spacing w:before="480"/>
        <w:ind w:left="0" w:firstLine="0"/>
        <w:rPr>
          <w:color w:val="000000" w:themeColor="text1"/>
        </w:rPr>
      </w:pPr>
      <w:r>
        <w:rPr>
          <w:color w:val="000000" w:themeColor="text1"/>
        </w:rPr>
        <w:t xml:space="preserve">This is the </w:t>
      </w:r>
      <w:r w:rsidR="00230BA3">
        <w:rPr>
          <w:color w:val="000000" w:themeColor="text1"/>
        </w:rPr>
        <w:t xml:space="preserve">trial </w:t>
      </w:r>
      <w:r>
        <w:rPr>
          <w:color w:val="000000" w:themeColor="text1"/>
        </w:rPr>
        <w:t xml:space="preserve">of the </w:t>
      </w:r>
      <w:r w:rsidR="00AE5675">
        <w:rPr>
          <w:color w:val="000000" w:themeColor="text1"/>
        </w:rPr>
        <w:t>p</w:t>
      </w:r>
      <w:r>
        <w:rPr>
          <w:color w:val="000000" w:themeColor="text1"/>
        </w:rPr>
        <w:t xml:space="preserve">etition </w:t>
      </w:r>
      <w:r w:rsidR="00230BA3">
        <w:rPr>
          <w:color w:val="000000" w:themeColor="text1"/>
        </w:rPr>
        <w:t xml:space="preserve">presented by </w:t>
      </w:r>
      <w:r>
        <w:rPr>
          <w:color w:val="000000" w:themeColor="text1"/>
        </w:rPr>
        <w:t>the Securities and Futures Commission (“</w:t>
      </w:r>
      <w:r w:rsidRPr="00FA4BFE">
        <w:rPr>
          <w:b/>
          <w:bCs/>
          <w:color w:val="000000" w:themeColor="text1"/>
        </w:rPr>
        <w:t>SFC</w:t>
      </w:r>
      <w:r>
        <w:rPr>
          <w:color w:val="000000" w:themeColor="text1"/>
        </w:rPr>
        <w:t xml:space="preserve">”) </w:t>
      </w:r>
      <w:r w:rsidR="005A3D6B">
        <w:rPr>
          <w:color w:val="000000" w:themeColor="text1"/>
        </w:rPr>
        <w:t xml:space="preserve">on </w:t>
      </w:r>
      <w:r w:rsidR="004B6578">
        <w:rPr>
          <w:color w:val="000000" w:themeColor="text1"/>
        </w:rPr>
        <w:t xml:space="preserve">14 June 2019 (as amended on 13 September 2019) </w:t>
      </w:r>
      <w:r w:rsidR="00AE5675">
        <w:rPr>
          <w:color w:val="000000" w:themeColor="text1"/>
        </w:rPr>
        <w:t>(“</w:t>
      </w:r>
      <w:r w:rsidR="00AE5675" w:rsidRPr="00AE5675">
        <w:rPr>
          <w:b/>
          <w:bCs/>
          <w:color w:val="000000" w:themeColor="text1"/>
        </w:rPr>
        <w:t>Petition</w:t>
      </w:r>
      <w:r w:rsidR="00AE5675">
        <w:rPr>
          <w:color w:val="000000" w:themeColor="text1"/>
        </w:rPr>
        <w:t xml:space="preserve">”) </w:t>
      </w:r>
      <w:r>
        <w:rPr>
          <w:color w:val="000000" w:themeColor="text1"/>
        </w:rPr>
        <w:t xml:space="preserve">under s.214 of the </w:t>
      </w:r>
      <w:r w:rsidRPr="00DD69F0">
        <w:rPr>
          <w:color w:val="000000" w:themeColor="text1"/>
        </w:rPr>
        <w:t>Securities and Futures Ordinance</w:t>
      </w:r>
      <w:r>
        <w:rPr>
          <w:b/>
          <w:bCs/>
          <w:color w:val="000000" w:themeColor="text1"/>
        </w:rPr>
        <w:t xml:space="preserve"> </w:t>
      </w:r>
      <w:r w:rsidRPr="00DD69F0">
        <w:rPr>
          <w:color w:val="000000" w:themeColor="text1"/>
        </w:rPr>
        <w:t>(Cap</w:t>
      </w:r>
      <w:r w:rsidR="00AE6CFF">
        <w:rPr>
          <w:color w:val="000000" w:themeColor="text1"/>
        </w:rPr>
        <w:t xml:space="preserve">. </w:t>
      </w:r>
      <w:r w:rsidRPr="00DD69F0">
        <w:rPr>
          <w:color w:val="000000" w:themeColor="text1"/>
        </w:rPr>
        <w:t>571)</w:t>
      </w:r>
      <w:r>
        <w:rPr>
          <w:b/>
          <w:bCs/>
          <w:color w:val="000000" w:themeColor="text1"/>
        </w:rPr>
        <w:t xml:space="preserve"> </w:t>
      </w:r>
      <w:r>
        <w:rPr>
          <w:color w:val="000000" w:themeColor="text1"/>
        </w:rPr>
        <w:t>(“</w:t>
      </w:r>
      <w:r>
        <w:rPr>
          <w:b/>
          <w:bCs/>
          <w:color w:val="000000" w:themeColor="text1"/>
        </w:rPr>
        <w:t>SFO</w:t>
      </w:r>
      <w:r>
        <w:rPr>
          <w:color w:val="000000" w:themeColor="text1"/>
        </w:rPr>
        <w:t xml:space="preserve">”) </w:t>
      </w:r>
      <w:r w:rsidRPr="00FA4BFE">
        <w:rPr>
          <w:color w:val="000000" w:themeColor="text1"/>
        </w:rPr>
        <w:t>against</w:t>
      </w:r>
      <w:r w:rsidR="00AE5675">
        <w:rPr>
          <w:color w:val="000000" w:themeColor="text1"/>
        </w:rPr>
        <w:t xml:space="preserve"> </w:t>
      </w:r>
      <w:r w:rsidR="00571649" w:rsidRPr="00DB1F84">
        <w:rPr>
          <w:i/>
          <w:iCs/>
          <w:color w:val="000000" w:themeColor="text1"/>
        </w:rPr>
        <w:t>inter alios</w:t>
      </w:r>
      <w:r w:rsidR="00571649">
        <w:rPr>
          <w:color w:val="000000" w:themeColor="text1"/>
        </w:rPr>
        <w:t xml:space="preserve"> </w:t>
      </w:r>
      <w:r w:rsidR="00FA6553">
        <w:rPr>
          <w:color w:val="000000" w:themeColor="text1"/>
        </w:rPr>
        <w:t xml:space="preserve">Sound Global </w:t>
      </w:r>
      <w:r>
        <w:rPr>
          <w:color w:val="000000" w:themeColor="text1"/>
        </w:rPr>
        <w:t>Ltd (“</w:t>
      </w:r>
      <w:r w:rsidR="00F72A41">
        <w:rPr>
          <w:b/>
          <w:bCs/>
          <w:color w:val="000000" w:themeColor="text1"/>
        </w:rPr>
        <w:t>Company</w:t>
      </w:r>
      <w:r>
        <w:rPr>
          <w:color w:val="000000" w:themeColor="text1"/>
        </w:rPr>
        <w:t>”)</w:t>
      </w:r>
      <w:r w:rsidR="00DC1E71">
        <w:rPr>
          <w:color w:val="000000" w:themeColor="text1"/>
        </w:rPr>
        <w:t xml:space="preserve"> and</w:t>
      </w:r>
      <w:r>
        <w:rPr>
          <w:color w:val="000000" w:themeColor="text1"/>
        </w:rPr>
        <w:t xml:space="preserve"> Mr Wen </w:t>
      </w:r>
      <w:proofErr w:type="spellStart"/>
      <w:r>
        <w:rPr>
          <w:color w:val="000000" w:themeColor="text1"/>
        </w:rPr>
        <w:t>Yibo</w:t>
      </w:r>
      <w:proofErr w:type="spellEnd"/>
      <w:r>
        <w:rPr>
          <w:color w:val="000000" w:themeColor="text1"/>
        </w:rPr>
        <w:t xml:space="preserve"> (“</w:t>
      </w:r>
      <w:r w:rsidR="009C3ED4">
        <w:rPr>
          <w:b/>
          <w:bCs/>
          <w:color w:val="000000" w:themeColor="text1"/>
        </w:rPr>
        <w:t xml:space="preserve">Mr </w:t>
      </w:r>
      <w:r>
        <w:rPr>
          <w:b/>
          <w:bCs/>
          <w:color w:val="000000" w:themeColor="text1"/>
        </w:rPr>
        <w:t>Wen</w:t>
      </w:r>
      <w:r>
        <w:rPr>
          <w:color w:val="000000" w:themeColor="text1"/>
        </w:rPr>
        <w:t>”)</w:t>
      </w:r>
      <w:r w:rsidR="00DA68F5">
        <w:rPr>
          <w:color w:val="000000" w:themeColor="text1"/>
        </w:rPr>
        <w:t>, who are respectively the 1</w:t>
      </w:r>
      <w:r w:rsidR="00DA68F5" w:rsidRPr="00DA68F5">
        <w:rPr>
          <w:color w:val="000000" w:themeColor="text1"/>
          <w:vertAlign w:val="superscript"/>
        </w:rPr>
        <w:t>st</w:t>
      </w:r>
      <w:r w:rsidR="00DA68F5">
        <w:rPr>
          <w:color w:val="000000" w:themeColor="text1"/>
        </w:rPr>
        <w:t xml:space="preserve"> and 2</w:t>
      </w:r>
      <w:r w:rsidR="00DA68F5" w:rsidRPr="00DA68F5">
        <w:rPr>
          <w:color w:val="000000" w:themeColor="text1"/>
          <w:vertAlign w:val="superscript"/>
        </w:rPr>
        <w:t>nd</w:t>
      </w:r>
      <w:r w:rsidR="00DA68F5">
        <w:rPr>
          <w:color w:val="000000" w:themeColor="text1"/>
        </w:rPr>
        <w:t xml:space="preserve"> respondents </w:t>
      </w:r>
      <w:r w:rsidR="00A37EE5">
        <w:rPr>
          <w:color w:val="000000" w:themeColor="text1"/>
        </w:rPr>
        <w:t>named in the Petition</w:t>
      </w:r>
      <w:r w:rsidR="00AE6CFF">
        <w:rPr>
          <w:color w:val="000000" w:themeColor="text1"/>
        </w:rPr>
        <w:t xml:space="preserve">.  </w:t>
      </w:r>
    </w:p>
    <w:p w14:paraId="28710393" w14:textId="2B42A11B" w:rsidR="00A1242F" w:rsidRDefault="00950E0A" w:rsidP="00C3123D">
      <w:pPr>
        <w:pStyle w:val="Final"/>
        <w:numPr>
          <w:ilvl w:val="0"/>
          <w:numId w:val="2"/>
        </w:numPr>
        <w:tabs>
          <w:tab w:val="clear" w:pos="720"/>
          <w:tab w:val="num" w:pos="0"/>
        </w:tabs>
        <w:ind w:left="0" w:firstLine="0"/>
        <w:rPr>
          <w:color w:val="000000" w:themeColor="text1"/>
        </w:rPr>
      </w:pPr>
      <w:r>
        <w:rPr>
          <w:color w:val="000000" w:themeColor="text1"/>
        </w:rPr>
        <w:t xml:space="preserve">In </w:t>
      </w:r>
      <w:r w:rsidR="00A1242F">
        <w:rPr>
          <w:color w:val="000000" w:themeColor="text1"/>
        </w:rPr>
        <w:t>the Petition, the SFC seeks:</w:t>
      </w:r>
    </w:p>
    <w:p w14:paraId="0EBBAF7D" w14:textId="368ADB02" w:rsidR="00A1242F" w:rsidRPr="00784A61" w:rsidRDefault="00732A75" w:rsidP="00732A75">
      <w:pPr>
        <w:pStyle w:val="points"/>
        <w:tabs>
          <w:tab w:val="clear" w:pos="1400"/>
        </w:tabs>
        <w:ind w:left="1418" w:hanging="698"/>
      </w:pPr>
      <w:r>
        <w:t>(1)</w:t>
      </w:r>
      <w:r>
        <w:tab/>
      </w:r>
      <w:r w:rsidR="00A1242F">
        <w:t>a disqualification order</w:t>
      </w:r>
      <w:r w:rsidR="00A1242F">
        <w:rPr>
          <w:rStyle w:val="FootnoteReference"/>
          <w:color w:val="000000" w:themeColor="text1"/>
        </w:rPr>
        <w:footnoteReference w:id="1"/>
      </w:r>
      <w:r w:rsidR="00A1242F">
        <w:t xml:space="preserve"> </w:t>
      </w:r>
      <w:r w:rsidR="00680422">
        <w:t xml:space="preserve">against Mr Wen </w:t>
      </w:r>
      <w:r w:rsidR="00447D5E">
        <w:t>and a</w:t>
      </w:r>
      <w:r w:rsidR="00DB1F84">
        <w:t xml:space="preserve">n </w:t>
      </w:r>
      <w:r w:rsidR="00447D5E">
        <w:t xml:space="preserve">order </w:t>
      </w:r>
      <w:r w:rsidR="00680422">
        <w:t xml:space="preserve">requiring </w:t>
      </w:r>
      <w:r w:rsidR="00EF304B">
        <w:t>him</w:t>
      </w:r>
      <w:r w:rsidR="00A1242F">
        <w:t xml:space="preserve"> to purchase the shares of </w:t>
      </w:r>
      <w:r w:rsidR="00680422">
        <w:t>the Company</w:t>
      </w:r>
      <w:r w:rsidR="00A1242F" w:rsidRPr="00784A61">
        <w:t xml:space="preserve"> from </w:t>
      </w:r>
      <w:r w:rsidR="007E4AD1">
        <w:t xml:space="preserve">the </w:t>
      </w:r>
      <w:r w:rsidR="00DB1F84">
        <w:t xml:space="preserve">other members </w:t>
      </w:r>
      <w:r w:rsidR="00A1242F" w:rsidRPr="00784A61">
        <w:t xml:space="preserve">at a price to be determined by the </w:t>
      </w:r>
      <w:r w:rsidR="00054354">
        <w:t>c</w:t>
      </w:r>
      <w:r w:rsidR="00A1242F" w:rsidRPr="00784A61">
        <w:t>ourt;</w:t>
      </w:r>
      <w:r w:rsidR="00A1242F" w:rsidRPr="00784A61">
        <w:rPr>
          <w:rStyle w:val="FootnoteReference"/>
          <w:color w:val="000000" w:themeColor="text1"/>
        </w:rPr>
        <w:footnoteReference w:id="2"/>
      </w:r>
      <w:r w:rsidR="00A1242F" w:rsidRPr="00784A61">
        <w:t xml:space="preserve"> and</w:t>
      </w:r>
      <w:r w:rsidR="00A1242F" w:rsidRPr="00B803E7">
        <w:t xml:space="preserve">/or </w:t>
      </w:r>
    </w:p>
    <w:p w14:paraId="50806A07" w14:textId="6927C2BC" w:rsidR="00A1242F" w:rsidRDefault="00A1242F" w:rsidP="00BC134A">
      <w:pPr>
        <w:pStyle w:val="points"/>
        <w:numPr>
          <w:ilvl w:val="0"/>
          <w:numId w:val="3"/>
        </w:numPr>
        <w:tabs>
          <w:tab w:val="clear" w:pos="1400"/>
        </w:tabs>
        <w:ind w:left="1418" w:hanging="698"/>
        <w:rPr>
          <w:color w:val="000000" w:themeColor="text1"/>
        </w:rPr>
      </w:pPr>
      <w:r>
        <w:rPr>
          <w:color w:val="000000" w:themeColor="text1"/>
        </w:rPr>
        <w:t xml:space="preserve">an order directing </w:t>
      </w:r>
      <w:r w:rsidR="00BC5C72">
        <w:rPr>
          <w:color w:val="000000" w:themeColor="text1"/>
        </w:rPr>
        <w:t>the Company</w:t>
      </w:r>
      <w:r>
        <w:rPr>
          <w:color w:val="000000" w:themeColor="text1"/>
        </w:rPr>
        <w:t xml:space="preserve"> to appoint an independent external auditor to review and prepare a </w:t>
      </w:r>
      <w:r w:rsidRPr="00F22877">
        <w:t>report</w:t>
      </w:r>
      <w:r>
        <w:rPr>
          <w:color w:val="000000" w:themeColor="text1"/>
        </w:rPr>
        <w:t xml:space="preserve"> on its internal control and finance reporting procedures, and to publish and implement such suggested measures</w:t>
      </w:r>
      <w:r w:rsidR="00AE6CFF">
        <w:rPr>
          <w:color w:val="000000" w:themeColor="text1"/>
        </w:rPr>
        <w:t xml:space="preserve">.  </w:t>
      </w:r>
    </w:p>
    <w:p w14:paraId="34524DB2" w14:textId="6C04B0C5" w:rsidR="007B5931" w:rsidRPr="008963A3" w:rsidRDefault="007B5931" w:rsidP="000637C8">
      <w:pPr>
        <w:pStyle w:val="H-1"/>
        <w:tabs>
          <w:tab w:val="left" w:pos="720"/>
        </w:tabs>
      </w:pPr>
      <w:r w:rsidRPr="008963A3">
        <w:t>A.</w:t>
      </w:r>
      <w:r w:rsidRPr="008963A3">
        <w:tab/>
        <w:t>P</w:t>
      </w:r>
      <w:r w:rsidR="006D6AA5">
        <w:t xml:space="preserve">ROCEDURAL </w:t>
      </w:r>
      <w:r w:rsidR="008963A3">
        <w:t>MATTERS</w:t>
      </w:r>
      <w:r w:rsidR="0039229A">
        <w:t xml:space="preserve"> </w:t>
      </w:r>
    </w:p>
    <w:p w14:paraId="3E9C7282" w14:textId="19B7987A" w:rsidR="00A41B8A" w:rsidRDefault="00D66F28">
      <w:pPr>
        <w:pStyle w:val="Final"/>
        <w:numPr>
          <w:ilvl w:val="0"/>
          <w:numId w:val="2"/>
        </w:numPr>
        <w:tabs>
          <w:tab w:val="clear" w:pos="720"/>
          <w:tab w:val="num" w:pos="0"/>
        </w:tabs>
        <w:ind w:left="0" w:firstLine="0"/>
        <w:rPr>
          <w:color w:val="000000" w:themeColor="text1"/>
        </w:rPr>
      </w:pPr>
      <w:r>
        <w:rPr>
          <w:color w:val="000000" w:themeColor="text1"/>
        </w:rPr>
        <w:t xml:space="preserve">The </w:t>
      </w:r>
      <w:r w:rsidR="00DD6B5B">
        <w:rPr>
          <w:color w:val="000000" w:themeColor="text1"/>
        </w:rPr>
        <w:t>3</w:t>
      </w:r>
      <w:r w:rsidR="00DD6B5B" w:rsidRPr="00D66F28">
        <w:rPr>
          <w:color w:val="000000" w:themeColor="text1"/>
          <w:vertAlign w:val="superscript"/>
        </w:rPr>
        <w:t>rd</w:t>
      </w:r>
      <w:r w:rsidR="00DD6B5B">
        <w:rPr>
          <w:color w:val="000000" w:themeColor="text1"/>
        </w:rPr>
        <w:t xml:space="preserve"> to 5</w:t>
      </w:r>
      <w:r w:rsidR="00DD6B5B" w:rsidRPr="00D66F28">
        <w:rPr>
          <w:color w:val="000000" w:themeColor="text1"/>
          <w:vertAlign w:val="superscript"/>
        </w:rPr>
        <w:t>th</w:t>
      </w:r>
      <w:r w:rsidR="00DD6B5B">
        <w:rPr>
          <w:color w:val="000000" w:themeColor="text1"/>
        </w:rPr>
        <w:t xml:space="preserve"> respondents, who were former directors of </w:t>
      </w:r>
      <w:r w:rsidR="008354BC">
        <w:rPr>
          <w:color w:val="000000" w:themeColor="text1"/>
        </w:rPr>
        <w:t>the Company</w:t>
      </w:r>
      <w:r w:rsidR="00DD6B5B">
        <w:rPr>
          <w:color w:val="000000" w:themeColor="text1"/>
        </w:rPr>
        <w:t xml:space="preserve">, </w:t>
      </w:r>
      <w:r w:rsidR="00A41B8A">
        <w:rPr>
          <w:color w:val="000000" w:themeColor="text1"/>
        </w:rPr>
        <w:t>are residents in the Mainland</w:t>
      </w:r>
      <w:r w:rsidR="00AE6CFF">
        <w:rPr>
          <w:color w:val="000000" w:themeColor="text1"/>
        </w:rPr>
        <w:t xml:space="preserve">.  </w:t>
      </w:r>
      <w:r w:rsidR="00A41B8A">
        <w:rPr>
          <w:color w:val="000000" w:themeColor="text1"/>
        </w:rPr>
        <w:t>Despite having obtained leave to serve the Petition on the 3</w:t>
      </w:r>
      <w:r w:rsidR="00A41B8A" w:rsidRPr="00A41B8A">
        <w:rPr>
          <w:color w:val="000000" w:themeColor="text1"/>
          <w:vertAlign w:val="superscript"/>
        </w:rPr>
        <w:t>rd</w:t>
      </w:r>
      <w:r w:rsidR="00A41B8A">
        <w:rPr>
          <w:color w:val="000000" w:themeColor="text1"/>
        </w:rPr>
        <w:t xml:space="preserve"> to 5</w:t>
      </w:r>
      <w:r w:rsidR="00A41B8A" w:rsidRPr="00A41B8A">
        <w:rPr>
          <w:color w:val="000000" w:themeColor="text1"/>
          <w:vertAlign w:val="superscript"/>
        </w:rPr>
        <w:t>th</w:t>
      </w:r>
      <w:r w:rsidR="00A41B8A">
        <w:rPr>
          <w:color w:val="000000" w:themeColor="text1"/>
        </w:rPr>
        <w:t xml:space="preserve"> Respondents in the Mainland</w:t>
      </w:r>
      <w:r w:rsidR="004E2069">
        <w:rPr>
          <w:color w:val="000000" w:themeColor="text1"/>
        </w:rPr>
        <w:t xml:space="preserve"> pursuant to </w:t>
      </w:r>
      <w:r w:rsidR="004E2069">
        <w:rPr>
          <w:color w:val="000000" w:themeColor="text1"/>
        </w:rPr>
        <w:lastRenderedPageBreak/>
        <w:t>Order 11 rule 5A of the Rules of the High Court</w:t>
      </w:r>
      <w:r w:rsidR="002C6132">
        <w:rPr>
          <w:color w:val="000000" w:themeColor="text1"/>
        </w:rPr>
        <w:t xml:space="preserve"> </w:t>
      </w:r>
      <w:r w:rsidR="00122550">
        <w:rPr>
          <w:color w:val="000000" w:themeColor="text1"/>
        </w:rPr>
        <w:t>o</w:t>
      </w:r>
      <w:r w:rsidR="002C6132">
        <w:rPr>
          <w:color w:val="000000" w:themeColor="text1"/>
        </w:rPr>
        <w:t xml:space="preserve">n </w:t>
      </w:r>
      <w:r w:rsidR="005A7392">
        <w:rPr>
          <w:rFonts w:hint="eastAsia"/>
          <w:color w:val="000000" w:themeColor="text1"/>
        </w:rPr>
        <w:t>12</w:t>
      </w:r>
      <w:r w:rsidR="005A7392">
        <w:rPr>
          <w:color w:val="000000" w:themeColor="text1"/>
        </w:rPr>
        <w:t xml:space="preserve"> September 2019</w:t>
      </w:r>
      <w:r w:rsidR="00A41B8A">
        <w:rPr>
          <w:color w:val="000000" w:themeColor="text1"/>
        </w:rPr>
        <w:t xml:space="preserve">, </w:t>
      </w:r>
      <w:r w:rsidR="002C6132">
        <w:rPr>
          <w:color w:val="000000" w:themeColor="text1"/>
        </w:rPr>
        <w:t xml:space="preserve">and the repeated attempts by the relevant judicial authorities to </w:t>
      </w:r>
      <w:r w:rsidR="00447D5E">
        <w:rPr>
          <w:color w:val="000000" w:themeColor="text1"/>
        </w:rPr>
        <w:t xml:space="preserve">effect </w:t>
      </w:r>
      <w:r w:rsidR="002C6132">
        <w:rPr>
          <w:color w:val="000000" w:themeColor="text1"/>
        </w:rPr>
        <w:t>serv</w:t>
      </w:r>
      <w:r w:rsidR="00447D5E">
        <w:rPr>
          <w:color w:val="000000" w:themeColor="text1"/>
        </w:rPr>
        <w:t>ice</w:t>
      </w:r>
      <w:r w:rsidR="002C6132">
        <w:rPr>
          <w:color w:val="000000" w:themeColor="text1"/>
        </w:rPr>
        <w:t xml:space="preserve">, </w:t>
      </w:r>
      <w:r w:rsidR="000D2B82">
        <w:rPr>
          <w:color w:val="000000" w:themeColor="text1"/>
        </w:rPr>
        <w:t xml:space="preserve">the </w:t>
      </w:r>
      <w:r w:rsidR="00166BBB">
        <w:rPr>
          <w:color w:val="000000" w:themeColor="text1"/>
        </w:rPr>
        <w:t xml:space="preserve">Petition has not been </w:t>
      </w:r>
      <w:r w:rsidR="00447D5E">
        <w:rPr>
          <w:color w:val="000000" w:themeColor="text1"/>
        </w:rPr>
        <w:t>served on such respondents</w:t>
      </w:r>
      <w:r w:rsidR="00AE6CFF">
        <w:rPr>
          <w:color w:val="000000" w:themeColor="text1"/>
        </w:rPr>
        <w:t xml:space="preserve">.  </w:t>
      </w:r>
      <w:r w:rsidR="00C3096D">
        <w:rPr>
          <w:color w:val="000000" w:themeColor="text1"/>
        </w:rPr>
        <w:t xml:space="preserve">The SFC decides to proceed with the trial against Wen and </w:t>
      </w:r>
      <w:r w:rsidR="00835A94">
        <w:rPr>
          <w:color w:val="000000" w:themeColor="text1"/>
        </w:rPr>
        <w:t>t</w:t>
      </w:r>
      <w:r w:rsidR="00FA6553">
        <w:rPr>
          <w:color w:val="000000" w:themeColor="text1"/>
        </w:rPr>
        <w:t>he Company</w:t>
      </w:r>
      <w:r w:rsidR="00835A94">
        <w:rPr>
          <w:color w:val="000000" w:themeColor="text1"/>
        </w:rPr>
        <w:t xml:space="preserve"> </w:t>
      </w:r>
      <w:r w:rsidR="0012692E">
        <w:rPr>
          <w:color w:val="000000" w:themeColor="text1"/>
        </w:rPr>
        <w:t>only</w:t>
      </w:r>
      <w:r w:rsidR="00AE6CFF">
        <w:rPr>
          <w:color w:val="000000" w:themeColor="text1"/>
        </w:rPr>
        <w:t xml:space="preserve">.  </w:t>
      </w:r>
    </w:p>
    <w:p w14:paraId="199CDF7B" w14:textId="0644FD12" w:rsidR="0034414C" w:rsidRPr="009D7328" w:rsidRDefault="0034414C" w:rsidP="00867BD0">
      <w:pPr>
        <w:pStyle w:val="H-1"/>
        <w:tabs>
          <w:tab w:val="clear" w:pos="1080"/>
          <w:tab w:val="left" w:pos="720"/>
        </w:tabs>
      </w:pPr>
      <w:r w:rsidRPr="009D7328">
        <w:t>A1.</w:t>
      </w:r>
      <w:r w:rsidRPr="009D7328">
        <w:tab/>
        <w:t>No Case Management Hearing before Trial</w:t>
      </w:r>
    </w:p>
    <w:p w14:paraId="411068F6" w14:textId="09CFD99A" w:rsidR="00DF58B4" w:rsidRDefault="00DF58B4">
      <w:pPr>
        <w:pStyle w:val="Final"/>
        <w:numPr>
          <w:ilvl w:val="0"/>
          <w:numId w:val="2"/>
        </w:numPr>
        <w:tabs>
          <w:tab w:val="clear" w:pos="720"/>
          <w:tab w:val="num" w:pos="0"/>
        </w:tabs>
        <w:ind w:left="0" w:firstLine="0"/>
        <w:rPr>
          <w:color w:val="000000" w:themeColor="text1"/>
        </w:rPr>
      </w:pPr>
      <w:r>
        <w:rPr>
          <w:color w:val="000000" w:themeColor="text1"/>
        </w:rPr>
        <w:t xml:space="preserve">Upon the joint application of the SFC and </w:t>
      </w:r>
      <w:r w:rsidR="00CD75C7">
        <w:rPr>
          <w:color w:val="000000" w:themeColor="text1"/>
        </w:rPr>
        <w:t xml:space="preserve">Mr </w:t>
      </w:r>
      <w:r>
        <w:rPr>
          <w:color w:val="000000" w:themeColor="text1"/>
        </w:rPr>
        <w:t xml:space="preserve">Wen by way of a consent summons, </w:t>
      </w:r>
      <w:r w:rsidR="006A48DB">
        <w:rPr>
          <w:color w:val="000000" w:themeColor="text1"/>
        </w:rPr>
        <w:t xml:space="preserve">on 6 October 2020, </w:t>
      </w:r>
      <w:r>
        <w:rPr>
          <w:color w:val="000000" w:themeColor="text1"/>
        </w:rPr>
        <w:t xml:space="preserve">Mr Recorder Pow SC </w:t>
      </w:r>
      <w:r w:rsidR="006A48DB">
        <w:rPr>
          <w:color w:val="000000" w:themeColor="text1"/>
        </w:rPr>
        <w:t xml:space="preserve">gave </w:t>
      </w:r>
      <w:r w:rsidR="005F380E" w:rsidRPr="00E86A01">
        <w:rPr>
          <w:i/>
          <w:iCs/>
          <w:color w:val="000000" w:themeColor="text1"/>
        </w:rPr>
        <w:t>inter alia</w:t>
      </w:r>
      <w:r w:rsidR="005F380E">
        <w:rPr>
          <w:color w:val="000000" w:themeColor="text1"/>
        </w:rPr>
        <w:t xml:space="preserve"> </w:t>
      </w:r>
      <w:r w:rsidR="006A48DB">
        <w:rPr>
          <w:color w:val="000000" w:themeColor="text1"/>
        </w:rPr>
        <w:t>the following directions</w:t>
      </w:r>
      <w:r w:rsidR="005F380E">
        <w:rPr>
          <w:color w:val="000000" w:themeColor="text1"/>
        </w:rPr>
        <w:t xml:space="preserve"> </w:t>
      </w:r>
      <w:r w:rsidR="00AF7B2A">
        <w:rPr>
          <w:color w:val="000000" w:themeColor="text1"/>
        </w:rPr>
        <w:t>(collectively “</w:t>
      </w:r>
      <w:r w:rsidR="00AF7B2A" w:rsidRPr="009827D2">
        <w:rPr>
          <w:b/>
          <w:bCs/>
          <w:color w:val="000000" w:themeColor="text1"/>
        </w:rPr>
        <w:t>Directions</w:t>
      </w:r>
      <w:r w:rsidR="00AF7B2A">
        <w:rPr>
          <w:color w:val="000000" w:themeColor="text1"/>
        </w:rPr>
        <w:t>”)</w:t>
      </w:r>
      <w:r>
        <w:rPr>
          <w:color w:val="000000" w:themeColor="text1"/>
        </w:rPr>
        <w:t>:</w:t>
      </w:r>
    </w:p>
    <w:p w14:paraId="12B88F8B" w14:textId="63F394E2" w:rsidR="00591D28" w:rsidRDefault="006F0319" w:rsidP="006F0319">
      <w:pPr>
        <w:pStyle w:val="points"/>
        <w:tabs>
          <w:tab w:val="clear" w:pos="1400"/>
        </w:tabs>
        <w:ind w:left="1418" w:hanging="698"/>
      </w:pPr>
      <w:r>
        <w:t>(1)</w:t>
      </w:r>
      <w:r>
        <w:tab/>
      </w:r>
      <w:r w:rsidR="00591D28">
        <w:t>Leave to the SFC to fix the substantive hearing of the Petition before a bilingual Judge in consultation with counsel’s diaries with 8 days reserved (§1);</w:t>
      </w:r>
    </w:p>
    <w:p w14:paraId="2D97844E" w14:textId="36A41328" w:rsidR="00DF58B4" w:rsidRDefault="00DF58B4" w:rsidP="00BC134A">
      <w:pPr>
        <w:pStyle w:val="points"/>
        <w:numPr>
          <w:ilvl w:val="0"/>
          <w:numId w:val="4"/>
        </w:numPr>
        <w:tabs>
          <w:tab w:val="clear" w:pos="1400"/>
        </w:tabs>
        <w:ind w:left="1418" w:hanging="698"/>
      </w:pPr>
      <w:r>
        <w:t xml:space="preserve">In the event that the </w:t>
      </w:r>
      <w:r w:rsidR="007E2818">
        <w:t>c</w:t>
      </w:r>
      <w:r>
        <w:t xml:space="preserve">ourt makes an order requiring </w:t>
      </w:r>
      <w:r w:rsidR="00774758">
        <w:t xml:space="preserve">Mr </w:t>
      </w:r>
      <w:r>
        <w:t xml:space="preserve">Wen to purchase the shares of </w:t>
      </w:r>
      <w:r w:rsidR="00835A94">
        <w:t>t</w:t>
      </w:r>
      <w:r w:rsidR="00FA6553">
        <w:t>he Company</w:t>
      </w:r>
      <w:r w:rsidR="00835A94">
        <w:t xml:space="preserve"> </w:t>
      </w:r>
      <w:r>
        <w:t xml:space="preserve">from public shareholders, further directions shall be given in respect of (a) the filing of </w:t>
      </w:r>
      <w:r w:rsidRPr="00B803E7">
        <w:t>expert evidence</w:t>
      </w:r>
      <w:r>
        <w:t xml:space="preserve"> for determining the price of the shares to be purchased and (b) the substantive hearing of such issue (§2);</w:t>
      </w:r>
    </w:p>
    <w:p w14:paraId="36F0AF0E" w14:textId="37825100" w:rsidR="00DF58B4" w:rsidRDefault="000333C4" w:rsidP="00BC134A">
      <w:pPr>
        <w:pStyle w:val="points"/>
        <w:numPr>
          <w:ilvl w:val="0"/>
          <w:numId w:val="4"/>
        </w:numPr>
        <w:tabs>
          <w:tab w:val="clear" w:pos="1400"/>
        </w:tabs>
        <w:ind w:left="1418" w:hanging="698"/>
        <w:rPr>
          <w:color w:val="000000" w:themeColor="text1"/>
        </w:rPr>
      </w:pPr>
      <w:r>
        <w:rPr>
          <w:color w:val="000000" w:themeColor="text1"/>
        </w:rPr>
        <w:t>T</w:t>
      </w:r>
      <w:r w:rsidR="00F2359D">
        <w:rPr>
          <w:color w:val="000000" w:themeColor="text1"/>
        </w:rPr>
        <w:t>he</w:t>
      </w:r>
      <w:r w:rsidR="00DF58B4">
        <w:rPr>
          <w:color w:val="000000" w:themeColor="text1"/>
        </w:rPr>
        <w:t xml:space="preserve"> </w:t>
      </w:r>
      <w:r w:rsidR="00DF2D4D">
        <w:rPr>
          <w:color w:val="000000" w:themeColor="text1"/>
        </w:rPr>
        <w:t xml:space="preserve">deponent of the affirmations </w:t>
      </w:r>
      <w:r w:rsidR="00FE6155">
        <w:rPr>
          <w:color w:val="000000" w:themeColor="text1"/>
        </w:rPr>
        <w:t>shall</w:t>
      </w:r>
      <w:r w:rsidR="00DF2D4D">
        <w:rPr>
          <w:color w:val="000000" w:themeColor="text1"/>
        </w:rPr>
        <w:t xml:space="preserve"> attend the substantive hearing for cross-examination </w:t>
      </w:r>
      <w:r w:rsidR="00386C13">
        <w:rPr>
          <w:color w:val="000000" w:themeColor="text1"/>
        </w:rPr>
        <w:t>failing which their affirmations shall not be admitted as evidence</w:t>
      </w:r>
      <w:r w:rsidR="00AE6CFF">
        <w:rPr>
          <w:color w:val="000000" w:themeColor="text1"/>
        </w:rPr>
        <w:t xml:space="preserve">.  </w:t>
      </w:r>
      <w:r w:rsidR="00386C13">
        <w:rPr>
          <w:color w:val="000000" w:themeColor="text1"/>
        </w:rPr>
        <w:t>Unless otherwise directed by the trial judge</w:t>
      </w:r>
      <w:r w:rsidR="007F3275">
        <w:rPr>
          <w:color w:val="000000" w:themeColor="text1"/>
        </w:rPr>
        <w:t>,</w:t>
      </w:r>
      <w:r w:rsidR="00386C13">
        <w:rPr>
          <w:color w:val="000000" w:themeColor="text1"/>
        </w:rPr>
        <w:t xml:space="preserve"> </w:t>
      </w:r>
      <w:r w:rsidR="007F3275">
        <w:rPr>
          <w:color w:val="000000" w:themeColor="text1"/>
        </w:rPr>
        <w:t>t</w:t>
      </w:r>
      <w:r w:rsidR="00386C13">
        <w:rPr>
          <w:color w:val="000000" w:themeColor="text1"/>
        </w:rPr>
        <w:t xml:space="preserve">he </w:t>
      </w:r>
      <w:r w:rsidR="00DF58B4">
        <w:rPr>
          <w:color w:val="000000" w:themeColor="text1"/>
        </w:rPr>
        <w:t xml:space="preserve">affirmations shall stand as evidence in </w:t>
      </w:r>
      <w:r w:rsidR="00DF58B4" w:rsidRPr="002E7189">
        <w:t>chief</w:t>
      </w:r>
      <w:r w:rsidR="00DF58B4">
        <w:rPr>
          <w:color w:val="000000" w:themeColor="text1"/>
        </w:rPr>
        <w:t xml:space="preserve"> (§</w:t>
      </w:r>
      <w:r w:rsidR="00647203">
        <w:rPr>
          <w:color w:val="000000" w:themeColor="text1"/>
        </w:rPr>
        <w:t>§</w:t>
      </w:r>
      <w:r w:rsidR="00DF58B4">
        <w:rPr>
          <w:color w:val="000000" w:themeColor="text1"/>
        </w:rPr>
        <w:t>5</w:t>
      </w:r>
      <w:r w:rsidR="00647203">
        <w:rPr>
          <w:color w:val="000000" w:themeColor="text1"/>
        </w:rPr>
        <w:t>-</w:t>
      </w:r>
      <w:r w:rsidR="00386C13">
        <w:rPr>
          <w:color w:val="000000" w:themeColor="text1"/>
        </w:rPr>
        <w:t>7</w:t>
      </w:r>
      <w:r w:rsidR="00DF58B4">
        <w:rPr>
          <w:color w:val="000000" w:themeColor="text1"/>
        </w:rPr>
        <w:t>);</w:t>
      </w:r>
      <w:r w:rsidR="00883FE4">
        <w:rPr>
          <w:color w:val="000000" w:themeColor="text1"/>
        </w:rPr>
        <w:t xml:space="preserve"> and</w:t>
      </w:r>
    </w:p>
    <w:p w14:paraId="090AB110" w14:textId="10DE001C" w:rsidR="00DF58B4" w:rsidRDefault="0012697E" w:rsidP="00BC134A">
      <w:pPr>
        <w:pStyle w:val="points"/>
        <w:numPr>
          <w:ilvl w:val="0"/>
          <w:numId w:val="4"/>
        </w:numPr>
        <w:tabs>
          <w:tab w:val="clear" w:pos="1400"/>
        </w:tabs>
        <w:ind w:left="1418" w:hanging="698"/>
        <w:rPr>
          <w:color w:val="000000" w:themeColor="text1"/>
        </w:rPr>
      </w:pPr>
      <w:r>
        <w:rPr>
          <w:color w:val="000000" w:themeColor="text1"/>
        </w:rPr>
        <w:t>Subject to §7 (which requires the deponents to attend the trial for cross-examinat</w:t>
      </w:r>
      <w:r w:rsidR="00AB65DA">
        <w:rPr>
          <w:color w:val="000000" w:themeColor="text1"/>
        </w:rPr>
        <w:t>i</w:t>
      </w:r>
      <w:r>
        <w:rPr>
          <w:color w:val="000000" w:themeColor="text1"/>
        </w:rPr>
        <w:t xml:space="preserve">on), </w:t>
      </w:r>
      <w:r w:rsidR="00AB65DA">
        <w:rPr>
          <w:color w:val="000000" w:themeColor="text1"/>
        </w:rPr>
        <w:t>a</w:t>
      </w:r>
      <w:r w:rsidR="00DF58B4">
        <w:rPr>
          <w:color w:val="000000" w:themeColor="text1"/>
        </w:rPr>
        <w:t xml:space="preserve">ll exhibits (including </w:t>
      </w:r>
      <w:r w:rsidR="00816718">
        <w:rPr>
          <w:color w:val="000000" w:themeColor="text1"/>
        </w:rPr>
        <w:t xml:space="preserve">the records of </w:t>
      </w:r>
      <w:r w:rsidR="00816718">
        <w:rPr>
          <w:color w:val="000000" w:themeColor="text1"/>
        </w:rPr>
        <w:lastRenderedPageBreak/>
        <w:t>interviews (“</w:t>
      </w:r>
      <w:r w:rsidR="00DF58B4" w:rsidRPr="002D5E87">
        <w:rPr>
          <w:b/>
          <w:bCs/>
          <w:color w:val="000000" w:themeColor="text1"/>
        </w:rPr>
        <w:t>ROIs</w:t>
      </w:r>
      <w:r w:rsidR="00816718">
        <w:rPr>
          <w:color w:val="000000" w:themeColor="text1"/>
        </w:rPr>
        <w:t>”)</w:t>
      </w:r>
      <w:r w:rsidR="00DF58B4">
        <w:rPr>
          <w:color w:val="000000" w:themeColor="text1"/>
        </w:rPr>
        <w:t xml:space="preserve">) to the affidavits / affirmations shall be </w:t>
      </w:r>
      <w:r w:rsidR="00DF58B4" w:rsidRPr="002E7189">
        <w:t>admitted</w:t>
      </w:r>
      <w:r w:rsidR="00DF58B4">
        <w:rPr>
          <w:color w:val="000000" w:themeColor="text1"/>
        </w:rPr>
        <w:t xml:space="preserve"> as evidence at the substantive hearing (§8).</w:t>
      </w:r>
    </w:p>
    <w:p w14:paraId="3F4BA2CF" w14:textId="201AAC50" w:rsidR="00A245B4" w:rsidRDefault="00DB5262">
      <w:pPr>
        <w:pStyle w:val="Final"/>
        <w:numPr>
          <w:ilvl w:val="0"/>
          <w:numId w:val="2"/>
        </w:numPr>
        <w:tabs>
          <w:tab w:val="clear" w:pos="720"/>
          <w:tab w:val="num" w:pos="0"/>
        </w:tabs>
        <w:ind w:left="0" w:firstLine="0"/>
        <w:rPr>
          <w:color w:val="000000" w:themeColor="text1"/>
        </w:rPr>
      </w:pPr>
      <w:r>
        <w:rPr>
          <w:color w:val="000000" w:themeColor="text1"/>
        </w:rPr>
        <w:t>T</w:t>
      </w:r>
      <w:r w:rsidR="000333C4">
        <w:rPr>
          <w:color w:val="000000" w:themeColor="text1"/>
        </w:rPr>
        <w:t>he parties proceeded to fix the date for the trial</w:t>
      </w:r>
      <w:r w:rsidR="00AE6CFF">
        <w:rPr>
          <w:color w:val="000000" w:themeColor="text1"/>
        </w:rPr>
        <w:t xml:space="preserve">.  </w:t>
      </w:r>
      <w:r w:rsidR="00902AA0">
        <w:rPr>
          <w:color w:val="000000" w:themeColor="text1"/>
        </w:rPr>
        <w:t xml:space="preserve">None of the parties brought the Petition to the </w:t>
      </w:r>
      <w:r w:rsidR="003423EA">
        <w:rPr>
          <w:color w:val="000000" w:themeColor="text1"/>
        </w:rPr>
        <w:t>c</w:t>
      </w:r>
      <w:r w:rsidR="00902AA0">
        <w:rPr>
          <w:color w:val="000000" w:themeColor="text1"/>
        </w:rPr>
        <w:t>ourt for further directions at a case management conference or pre-trial review</w:t>
      </w:r>
      <w:r w:rsidR="00AE6CFF">
        <w:rPr>
          <w:color w:val="000000" w:themeColor="text1"/>
        </w:rPr>
        <w:t xml:space="preserve">. </w:t>
      </w:r>
      <w:r w:rsidR="00902AA0">
        <w:rPr>
          <w:color w:val="000000" w:themeColor="text1"/>
        </w:rPr>
        <w:t xml:space="preserve"> </w:t>
      </w:r>
      <w:r w:rsidR="009A02A8">
        <w:rPr>
          <w:color w:val="000000" w:themeColor="text1"/>
        </w:rPr>
        <w:t xml:space="preserve">Consequently, the </w:t>
      </w:r>
      <w:r w:rsidR="003423EA">
        <w:rPr>
          <w:color w:val="000000" w:themeColor="text1"/>
        </w:rPr>
        <w:t>c</w:t>
      </w:r>
      <w:r w:rsidR="000333C4">
        <w:rPr>
          <w:color w:val="000000" w:themeColor="text1"/>
        </w:rPr>
        <w:t xml:space="preserve">ourt did not </w:t>
      </w:r>
      <w:r w:rsidR="00A47734">
        <w:rPr>
          <w:color w:val="000000" w:themeColor="text1"/>
        </w:rPr>
        <w:t xml:space="preserve">have the opportunity to consider </w:t>
      </w:r>
      <w:r w:rsidR="00816718">
        <w:rPr>
          <w:color w:val="000000" w:themeColor="text1"/>
        </w:rPr>
        <w:t>question</w:t>
      </w:r>
      <w:r w:rsidR="00F5387C">
        <w:rPr>
          <w:color w:val="000000" w:themeColor="text1"/>
        </w:rPr>
        <w:t xml:space="preserve">s relevant to the </w:t>
      </w:r>
      <w:r w:rsidR="00FE6155">
        <w:rPr>
          <w:color w:val="000000" w:themeColor="text1"/>
        </w:rPr>
        <w:t xml:space="preserve">fair disposal </w:t>
      </w:r>
      <w:r w:rsidR="00F5387C">
        <w:rPr>
          <w:color w:val="000000" w:themeColor="text1"/>
        </w:rPr>
        <w:t xml:space="preserve">of </w:t>
      </w:r>
      <w:r w:rsidR="008957A4">
        <w:rPr>
          <w:color w:val="000000" w:themeColor="text1"/>
        </w:rPr>
        <w:t>the</w:t>
      </w:r>
      <w:r w:rsidR="00F5387C">
        <w:rPr>
          <w:color w:val="000000" w:themeColor="text1"/>
        </w:rPr>
        <w:t xml:space="preserve"> </w:t>
      </w:r>
      <w:r w:rsidR="002A611D">
        <w:rPr>
          <w:color w:val="000000" w:themeColor="text1"/>
        </w:rPr>
        <w:t xml:space="preserve">Petition </w:t>
      </w:r>
      <w:r w:rsidR="00F5387C">
        <w:rPr>
          <w:color w:val="000000" w:themeColor="text1"/>
        </w:rPr>
        <w:t>including</w:t>
      </w:r>
      <w:r w:rsidR="00A245B4">
        <w:rPr>
          <w:color w:val="000000" w:themeColor="text1"/>
        </w:rPr>
        <w:t>:</w:t>
      </w:r>
    </w:p>
    <w:p w14:paraId="7B6A06BF" w14:textId="25EED174" w:rsidR="00F76C96" w:rsidRDefault="00F5387C" w:rsidP="00780BC6">
      <w:pPr>
        <w:pStyle w:val="points"/>
        <w:tabs>
          <w:tab w:val="clear" w:pos="1400"/>
        </w:tabs>
      </w:pPr>
      <w:r>
        <w:t xml:space="preserve">(1) </w:t>
      </w:r>
      <w:r w:rsidR="00F76C96">
        <w:t xml:space="preserve"> </w:t>
      </w:r>
      <w:r w:rsidR="00F76C96">
        <w:tab/>
      </w:r>
      <w:r w:rsidR="00917ABA">
        <w:t xml:space="preserve">whether the Company should </w:t>
      </w:r>
      <w:r w:rsidR="00565CA6">
        <w:t xml:space="preserve">take an active step or </w:t>
      </w:r>
      <w:r w:rsidR="00357771">
        <w:t>incur</w:t>
      </w:r>
      <w:r w:rsidR="00565CA6">
        <w:t xml:space="preserve"> any</w:t>
      </w:r>
      <w:r w:rsidR="00357771">
        <w:t xml:space="preserve"> legal costs in </w:t>
      </w:r>
      <w:r w:rsidR="00917ABA">
        <w:t xml:space="preserve">the proceedings; </w:t>
      </w:r>
    </w:p>
    <w:p w14:paraId="48F66BD3" w14:textId="38C3DD74" w:rsidR="00F76C96" w:rsidRDefault="00917ABA" w:rsidP="00780BC6">
      <w:pPr>
        <w:pStyle w:val="points"/>
        <w:tabs>
          <w:tab w:val="clear" w:pos="1400"/>
        </w:tabs>
        <w:rPr>
          <w:color w:val="000000" w:themeColor="text1"/>
        </w:rPr>
      </w:pPr>
      <w:r>
        <w:rPr>
          <w:color w:val="000000" w:themeColor="text1"/>
        </w:rPr>
        <w:t xml:space="preserve">(2) </w:t>
      </w:r>
      <w:r w:rsidR="00F76C96">
        <w:rPr>
          <w:color w:val="000000" w:themeColor="text1"/>
        </w:rPr>
        <w:t xml:space="preserve"> </w:t>
      </w:r>
      <w:r w:rsidR="00F76C96">
        <w:rPr>
          <w:color w:val="000000" w:themeColor="text1"/>
        </w:rPr>
        <w:tab/>
      </w:r>
      <w:r w:rsidR="00345E29">
        <w:rPr>
          <w:color w:val="000000" w:themeColor="text1"/>
        </w:rPr>
        <w:t xml:space="preserve">whether </w:t>
      </w:r>
      <w:r w:rsidR="00345E29" w:rsidRPr="00780BC6">
        <w:t>there</w:t>
      </w:r>
      <w:r w:rsidR="00345E29">
        <w:rPr>
          <w:color w:val="000000" w:themeColor="text1"/>
        </w:rPr>
        <w:t xml:space="preserve"> is </w:t>
      </w:r>
      <w:r w:rsidR="00EB3748">
        <w:rPr>
          <w:color w:val="000000" w:themeColor="text1"/>
        </w:rPr>
        <w:t>a</w:t>
      </w:r>
      <w:r w:rsidR="00345E29">
        <w:rPr>
          <w:color w:val="000000" w:themeColor="text1"/>
        </w:rPr>
        <w:t xml:space="preserve"> proper basis to fix the trial before a bilingual judge</w:t>
      </w:r>
      <w:r w:rsidR="0010643C">
        <w:rPr>
          <w:color w:val="000000" w:themeColor="text1"/>
        </w:rPr>
        <w:t xml:space="preserve">; </w:t>
      </w:r>
    </w:p>
    <w:p w14:paraId="7A94B969" w14:textId="7D6EEA8E" w:rsidR="00F76C96" w:rsidRDefault="009F66D5" w:rsidP="00780BC6">
      <w:pPr>
        <w:pStyle w:val="points"/>
        <w:tabs>
          <w:tab w:val="clear" w:pos="1400"/>
        </w:tabs>
        <w:rPr>
          <w:color w:val="000000" w:themeColor="text1"/>
        </w:rPr>
      </w:pPr>
      <w:r>
        <w:rPr>
          <w:color w:val="000000" w:themeColor="text1"/>
        </w:rPr>
        <w:t>(</w:t>
      </w:r>
      <w:r w:rsidR="00C73EF7">
        <w:rPr>
          <w:color w:val="000000" w:themeColor="text1"/>
        </w:rPr>
        <w:t>3</w:t>
      </w:r>
      <w:r>
        <w:rPr>
          <w:color w:val="000000" w:themeColor="text1"/>
        </w:rPr>
        <w:t xml:space="preserve">) </w:t>
      </w:r>
      <w:r w:rsidR="00F76C96">
        <w:rPr>
          <w:color w:val="000000" w:themeColor="text1"/>
        </w:rPr>
        <w:t xml:space="preserve"> </w:t>
      </w:r>
      <w:r w:rsidR="00F76C96">
        <w:rPr>
          <w:color w:val="000000" w:themeColor="text1"/>
        </w:rPr>
        <w:tab/>
      </w:r>
      <w:r>
        <w:rPr>
          <w:color w:val="000000" w:themeColor="text1"/>
        </w:rPr>
        <w:t>whether it is cost</w:t>
      </w:r>
      <w:r w:rsidR="001F5847">
        <w:rPr>
          <w:color w:val="000000" w:themeColor="text1"/>
        </w:rPr>
        <w:t>-</w:t>
      </w:r>
      <w:r>
        <w:rPr>
          <w:color w:val="000000" w:themeColor="text1"/>
        </w:rPr>
        <w:t xml:space="preserve">effective </w:t>
      </w:r>
      <w:r w:rsidR="001F5847">
        <w:rPr>
          <w:color w:val="000000" w:themeColor="text1"/>
        </w:rPr>
        <w:t xml:space="preserve">and a proper use of judicial resources </w:t>
      </w:r>
      <w:r>
        <w:rPr>
          <w:color w:val="000000" w:themeColor="text1"/>
        </w:rPr>
        <w:t xml:space="preserve">for the </w:t>
      </w:r>
      <w:r w:rsidR="00322151">
        <w:rPr>
          <w:color w:val="000000" w:themeColor="text1"/>
        </w:rPr>
        <w:t>c</w:t>
      </w:r>
      <w:r>
        <w:rPr>
          <w:color w:val="000000" w:themeColor="text1"/>
        </w:rPr>
        <w:t xml:space="preserve">ourt to hear a trial which only involves 2 out of the 5 respondents; </w:t>
      </w:r>
    </w:p>
    <w:p w14:paraId="2AEA1208" w14:textId="629080E9" w:rsidR="00F76C96" w:rsidRDefault="0010643C" w:rsidP="00780BC6">
      <w:pPr>
        <w:pStyle w:val="points"/>
        <w:tabs>
          <w:tab w:val="clear" w:pos="1400"/>
        </w:tabs>
        <w:rPr>
          <w:color w:val="000000" w:themeColor="text1"/>
        </w:rPr>
      </w:pPr>
      <w:r>
        <w:rPr>
          <w:color w:val="000000" w:themeColor="text1"/>
        </w:rPr>
        <w:t>(</w:t>
      </w:r>
      <w:r w:rsidR="00C73EF7">
        <w:rPr>
          <w:color w:val="000000" w:themeColor="text1"/>
        </w:rPr>
        <w:t>4</w:t>
      </w:r>
      <w:r>
        <w:rPr>
          <w:color w:val="000000" w:themeColor="text1"/>
        </w:rPr>
        <w:t xml:space="preserve">) </w:t>
      </w:r>
      <w:r w:rsidR="00F76C96">
        <w:rPr>
          <w:color w:val="000000" w:themeColor="text1"/>
        </w:rPr>
        <w:tab/>
      </w:r>
      <w:r w:rsidR="00A47734">
        <w:rPr>
          <w:color w:val="000000" w:themeColor="text1"/>
        </w:rPr>
        <w:t xml:space="preserve">whether </w:t>
      </w:r>
      <w:r w:rsidR="00816718">
        <w:rPr>
          <w:color w:val="000000" w:themeColor="text1"/>
        </w:rPr>
        <w:t>it is appropriate to a</w:t>
      </w:r>
      <w:r w:rsidR="002D083C">
        <w:rPr>
          <w:color w:val="000000" w:themeColor="text1"/>
        </w:rPr>
        <w:t xml:space="preserve">dmit </w:t>
      </w:r>
      <w:r w:rsidR="00816718">
        <w:rPr>
          <w:color w:val="000000" w:themeColor="text1"/>
        </w:rPr>
        <w:t xml:space="preserve">the ROIs </w:t>
      </w:r>
      <w:r w:rsidR="00B0552D">
        <w:rPr>
          <w:color w:val="000000" w:themeColor="text1"/>
        </w:rPr>
        <w:t>as evidence without requiring the interviewees to attend trial for cross-examination</w:t>
      </w:r>
      <w:r w:rsidR="00D14EBD">
        <w:rPr>
          <w:color w:val="000000" w:themeColor="text1"/>
        </w:rPr>
        <w:t xml:space="preserve">; </w:t>
      </w:r>
    </w:p>
    <w:p w14:paraId="33A57DA1" w14:textId="5CAE46A8" w:rsidR="00F76C96" w:rsidRDefault="00D14EBD" w:rsidP="00780BC6">
      <w:pPr>
        <w:pStyle w:val="points"/>
        <w:tabs>
          <w:tab w:val="clear" w:pos="1400"/>
        </w:tabs>
        <w:rPr>
          <w:color w:val="000000" w:themeColor="text1"/>
        </w:rPr>
      </w:pPr>
      <w:r>
        <w:rPr>
          <w:color w:val="000000" w:themeColor="text1"/>
        </w:rPr>
        <w:t>(</w:t>
      </w:r>
      <w:r w:rsidR="00C73EF7">
        <w:rPr>
          <w:color w:val="000000" w:themeColor="text1"/>
        </w:rPr>
        <w:t>5</w:t>
      </w:r>
      <w:r>
        <w:rPr>
          <w:color w:val="000000" w:themeColor="text1"/>
        </w:rPr>
        <w:t>)</w:t>
      </w:r>
      <w:r w:rsidR="00BC45A0">
        <w:rPr>
          <w:color w:val="000000" w:themeColor="text1"/>
        </w:rPr>
        <w:t xml:space="preserve"> </w:t>
      </w:r>
      <w:r w:rsidR="00F76C96">
        <w:rPr>
          <w:color w:val="000000" w:themeColor="text1"/>
        </w:rPr>
        <w:t xml:space="preserve"> </w:t>
      </w:r>
      <w:r w:rsidR="00F76C96">
        <w:rPr>
          <w:color w:val="000000" w:themeColor="text1"/>
        </w:rPr>
        <w:tab/>
      </w:r>
      <w:r w:rsidR="00BC45A0">
        <w:rPr>
          <w:color w:val="000000" w:themeColor="text1"/>
        </w:rPr>
        <w:t xml:space="preserve">whether the </w:t>
      </w:r>
      <w:r w:rsidR="00BC45A0" w:rsidRPr="00780BC6">
        <w:t>SFC</w:t>
      </w:r>
      <w:r w:rsidR="00BC45A0">
        <w:rPr>
          <w:color w:val="000000" w:themeColor="text1"/>
        </w:rPr>
        <w:t xml:space="preserve"> will call any of the interviewees to attend trial for cross-examination</w:t>
      </w:r>
      <w:r w:rsidR="0022244B">
        <w:rPr>
          <w:color w:val="000000" w:themeColor="text1"/>
        </w:rPr>
        <w:t>;</w:t>
      </w:r>
      <w:r w:rsidR="00BE40FD">
        <w:rPr>
          <w:color w:val="000000" w:themeColor="text1"/>
        </w:rPr>
        <w:t xml:space="preserve"> </w:t>
      </w:r>
    </w:p>
    <w:p w14:paraId="456C0FBE" w14:textId="3FF913EC" w:rsidR="005D76B1" w:rsidRDefault="00CD0F34" w:rsidP="00780BC6">
      <w:pPr>
        <w:pStyle w:val="points"/>
        <w:tabs>
          <w:tab w:val="clear" w:pos="1400"/>
        </w:tabs>
        <w:rPr>
          <w:color w:val="000000" w:themeColor="text1"/>
        </w:rPr>
      </w:pPr>
      <w:r>
        <w:rPr>
          <w:color w:val="000000" w:themeColor="text1"/>
        </w:rPr>
        <w:t>(</w:t>
      </w:r>
      <w:r w:rsidR="00C73EF7">
        <w:rPr>
          <w:color w:val="000000" w:themeColor="text1"/>
        </w:rPr>
        <w:t>6</w:t>
      </w:r>
      <w:r>
        <w:rPr>
          <w:color w:val="000000" w:themeColor="text1"/>
        </w:rPr>
        <w:t>)</w:t>
      </w:r>
      <w:r w:rsidR="0022244B">
        <w:rPr>
          <w:color w:val="000000" w:themeColor="text1"/>
        </w:rPr>
        <w:t xml:space="preserve"> </w:t>
      </w:r>
      <w:r w:rsidR="00F76C96">
        <w:rPr>
          <w:color w:val="000000" w:themeColor="text1"/>
        </w:rPr>
        <w:t xml:space="preserve"> </w:t>
      </w:r>
      <w:r w:rsidR="00F76C96">
        <w:rPr>
          <w:color w:val="000000" w:themeColor="text1"/>
        </w:rPr>
        <w:tab/>
      </w:r>
      <w:r w:rsidR="00BC45A0">
        <w:rPr>
          <w:color w:val="000000" w:themeColor="text1"/>
        </w:rPr>
        <w:t xml:space="preserve">whether </w:t>
      </w:r>
      <w:r w:rsidR="001B39A6">
        <w:rPr>
          <w:color w:val="000000" w:themeColor="text1"/>
        </w:rPr>
        <w:t xml:space="preserve">Mr </w:t>
      </w:r>
      <w:r w:rsidR="00326170" w:rsidRPr="00780BC6">
        <w:t>Wen</w:t>
      </w:r>
      <w:r w:rsidR="00326170">
        <w:rPr>
          <w:color w:val="000000" w:themeColor="text1"/>
        </w:rPr>
        <w:t xml:space="preserve"> intends to cross-</w:t>
      </w:r>
      <w:r>
        <w:rPr>
          <w:color w:val="000000" w:themeColor="text1"/>
        </w:rPr>
        <w:t>examine</w:t>
      </w:r>
      <w:r w:rsidR="00326170">
        <w:rPr>
          <w:color w:val="000000" w:themeColor="text1"/>
        </w:rPr>
        <w:t xml:space="preserve"> </w:t>
      </w:r>
      <w:r>
        <w:rPr>
          <w:color w:val="000000" w:themeColor="text1"/>
        </w:rPr>
        <w:t>any of the interviewees</w:t>
      </w:r>
      <w:r w:rsidR="00635657">
        <w:rPr>
          <w:color w:val="000000" w:themeColor="text1"/>
        </w:rPr>
        <w:t>,</w:t>
      </w:r>
      <w:r w:rsidR="00FB0A34">
        <w:rPr>
          <w:color w:val="000000" w:themeColor="text1"/>
        </w:rPr>
        <w:t xml:space="preserve"> which has </w:t>
      </w:r>
      <w:r>
        <w:rPr>
          <w:color w:val="000000" w:themeColor="text1"/>
        </w:rPr>
        <w:t>a bearing on the length of trial</w:t>
      </w:r>
      <w:r w:rsidR="00145919">
        <w:rPr>
          <w:color w:val="000000" w:themeColor="text1"/>
        </w:rPr>
        <w:t xml:space="preserve">; and </w:t>
      </w:r>
    </w:p>
    <w:p w14:paraId="3B55731D" w14:textId="2E3DE082" w:rsidR="00EC6765" w:rsidRDefault="00145919" w:rsidP="00780BC6">
      <w:pPr>
        <w:pStyle w:val="points"/>
        <w:tabs>
          <w:tab w:val="clear" w:pos="1400"/>
        </w:tabs>
        <w:rPr>
          <w:color w:val="000000" w:themeColor="text1"/>
        </w:rPr>
      </w:pPr>
      <w:r>
        <w:rPr>
          <w:color w:val="000000" w:themeColor="text1"/>
        </w:rPr>
        <w:t>(</w:t>
      </w:r>
      <w:r w:rsidR="00C73EF7">
        <w:rPr>
          <w:color w:val="000000" w:themeColor="text1"/>
        </w:rPr>
        <w:t>7</w:t>
      </w:r>
      <w:r>
        <w:rPr>
          <w:color w:val="000000" w:themeColor="text1"/>
        </w:rPr>
        <w:t xml:space="preserve">) </w:t>
      </w:r>
      <w:r w:rsidR="005D76B1">
        <w:rPr>
          <w:color w:val="000000" w:themeColor="text1"/>
        </w:rPr>
        <w:tab/>
      </w:r>
      <w:r>
        <w:rPr>
          <w:color w:val="000000" w:themeColor="text1"/>
        </w:rPr>
        <w:t>the time table</w:t>
      </w:r>
      <w:r w:rsidR="002E110F">
        <w:rPr>
          <w:color w:val="000000" w:themeColor="text1"/>
        </w:rPr>
        <w:t xml:space="preserve">, </w:t>
      </w:r>
      <w:r>
        <w:rPr>
          <w:color w:val="000000" w:themeColor="text1"/>
        </w:rPr>
        <w:t xml:space="preserve">directions on </w:t>
      </w:r>
      <w:r w:rsidR="002E110F">
        <w:rPr>
          <w:color w:val="000000" w:themeColor="text1"/>
        </w:rPr>
        <w:t xml:space="preserve">trial bundles and </w:t>
      </w:r>
      <w:r>
        <w:rPr>
          <w:color w:val="000000" w:themeColor="text1"/>
        </w:rPr>
        <w:t xml:space="preserve">the documents to be submitted </w:t>
      </w:r>
      <w:r w:rsidR="002E110F">
        <w:rPr>
          <w:color w:val="000000" w:themeColor="text1"/>
        </w:rPr>
        <w:t xml:space="preserve">for </w:t>
      </w:r>
      <w:r>
        <w:rPr>
          <w:color w:val="000000" w:themeColor="text1"/>
        </w:rPr>
        <w:t>trial</w:t>
      </w:r>
      <w:r w:rsidR="00AE6CFF">
        <w:rPr>
          <w:color w:val="000000" w:themeColor="text1"/>
        </w:rPr>
        <w:t xml:space="preserve">.  </w:t>
      </w:r>
    </w:p>
    <w:p w14:paraId="3AE515BA" w14:textId="63A67AF7" w:rsidR="00B36211" w:rsidRDefault="00A05532">
      <w:pPr>
        <w:pStyle w:val="Final"/>
        <w:numPr>
          <w:ilvl w:val="0"/>
          <w:numId w:val="2"/>
        </w:numPr>
        <w:tabs>
          <w:tab w:val="clear" w:pos="720"/>
          <w:tab w:val="num" w:pos="0"/>
        </w:tabs>
        <w:ind w:left="0" w:firstLine="0"/>
        <w:rPr>
          <w:color w:val="000000" w:themeColor="text1"/>
        </w:rPr>
      </w:pPr>
      <w:r w:rsidRPr="0058122D">
        <w:rPr>
          <w:color w:val="000000" w:themeColor="text1"/>
        </w:rPr>
        <w:lastRenderedPageBreak/>
        <w:t>Had the</w:t>
      </w:r>
      <w:r w:rsidR="00F65B59">
        <w:rPr>
          <w:color w:val="000000" w:themeColor="text1"/>
        </w:rPr>
        <w:t xml:space="preserve"> </w:t>
      </w:r>
      <w:r w:rsidR="001E4702">
        <w:rPr>
          <w:color w:val="000000" w:themeColor="text1"/>
        </w:rPr>
        <w:t xml:space="preserve">parties pursued the Petition </w:t>
      </w:r>
      <w:r w:rsidR="00F65B59">
        <w:rPr>
          <w:color w:val="000000" w:themeColor="text1"/>
        </w:rPr>
        <w:t xml:space="preserve">in the </w:t>
      </w:r>
      <w:r w:rsidR="00635657">
        <w:rPr>
          <w:color w:val="000000" w:themeColor="text1"/>
        </w:rPr>
        <w:t xml:space="preserve">same </w:t>
      </w:r>
      <w:r w:rsidR="00F65B59">
        <w:rPr>
          <w:color w:val="000000" w:themeColor="text1"/>
        </w:rPr>
        <w:t>way</w:t>
      </w:r>
      <w:r w:rsidR="00BB4D07">
        <w:rPr>
          <w:color w:val="000000" w:themeColor="text1"/>
        </w:rPr>
        <w:t xml:space="preserve"> as </w:t>
      </w:r>
      <w:r w:rsidR="00635657">
        <w:rPr>
          <w:color w:val="000000" w:themeColor="text1"/>
        </w:rPr>
        <w:t xml:space="preserve">a </w:t>
      </w:r>
      <w:r w:rsidR="001E4702">
        <w:rPr>
          <w:color w:val="000000" w:themeColor="text1"/>
        </w:rPr>
        <w:t xml:space="preserve">petition </w:t>
      </w:r>
      <w:r w:rsidR="00EC55B6">
        <w:rPr>
          <w:color w:val="000000" w:themeColor="text1"/>
        </w:rPr>
        <w:t xml:space="preserve">concerning </w:t>
      </w:r>
      <w:r w:rsidR="00635657">
        <w:rPr>
          <w:color w:val="000000" w:themeColor="text1"/>
        </w:rPr>
        <w:t xml:space="preserve">a </w:t>
      </w:r>
      <w:r w:rsidR="00EC55B6">
        <w:rPr>
          <w:color w:val="000000" w:themeColor="text1"/>
        </w:rPr>
        <w:t>compan</w:t>
      </w:r>
      <w:r w:rsidR="00635657">
        <w:rPr>
          <w:color w:val="000000" w:themeColor="text1"/>
        </w:rPr>
        <w:t>y</w:t>
      </w:r>
      <w:r w:rsidR="0012705D">
        <w:rPr>
          <w:rStyle w:val="FootnoteReference"/>
          <w:color w:val="000000" w:themeColor="text1"/>
        </w:rPr>
        <w:footnoteReference w:id="3"/>
      </w:r>
      <w:r w:rsidR="001E4702">
        <w:rPr>
          <w:color w:val="000000" w:themeColor="text1"/>
        </w:rPr>
        <w:t>,</w:t>
      </w:r>
      <w:r w:rsidR="00F65B59">
        <w:rPr>
          <w:color w:val="000000" w:themeColor="text1"/>
        </w:rPr>
        <w:t xml:space="preserve"> the </w:t>
      </w:r>
      <w:r w:rsidR="00322151">
        <w:rPr>
          <w:color w:val="000000" w:themeColor="text1"/>
        </w:rPr>
        <w:t>c</w:t>
      </w:r>
      <w:r w:rsidR="00F65B59">
        <w:rPr>
          <w:color w:val="000000" w:themeColor="text1"/>
        </w:rPr>
        <w:t xml:space="preserve">ourt </w:t>
      </w:r>
      <w:r w:rsidR="00FF7067">
        <w:rPr>
          <w:color w:val="000000" w:themeColor="text1"/>
        </w:rPr>
        <w:t xml:space="preserve">would </w:t>
      </w:r>
      <w:r w:rsidR="000E254B">
        <w:rPr>
          <w:color w:val="000000" w:themeColor="text1"/>
        </w:rPr>
        <w:t xml:space="preserve">have </w:t>
      </w:r>
      <w:r w:rsidR="001A2001">
        <w:rPr>
          <w:color w:val="000000" w:themeColor="text1"/>
        </w:rPr>
        <w:t>required the parties to address the aforesaid questions</w:t>
      </w:r>
      <w:r w:rsidR="00DF3026">
        <w:rPr>
          <w:color w:val="000000" w:themeColor="text1"/>
        </w:rPr>
        <w:t xml:space="preserve"> and </w:t>
      </w:r>
      <w:r w:rsidR="000E254B">
        <w:rPr>
          <w:color w:val="000000" w:themeColor="text1"/>
        </w:rPr>
        <w:t xml:space="preserve">give appropriate directions </w:t>
      </w:r>
      <w:r w:rsidR="005D20EE">
        <w:rPr>
          <w:color w:val="000000" w:themeColor="text1"/>
        </w:rPr>
        <w:t>at an early stage</w:t>
      </w:r>
      <w:r w:rsidR="00AE6CFF">
        <w:rPr>
          <w:color w:val="000000" w:themeColor="text1"/>
        </w:rPr>
        <w:t xml:space="preserve">.  </w:t>
      </w:r>
      <w:r w:rsidR="00EC6765">
        <w:rPr>
          <w:color w:val="000000" w:themeColor="text1"/>
        </w:rPr>
        <w:t>In particular</w:t>
      </w:r>
      <w:r w:rsidR="00B36211">
        <w:rPr>
          <w:color w:val="000000" w:themeColor="text1"/>
        </w:rPr>
        <w:t>:</w:t>
      </w:r>
    </w:p>
    <w:p w14:paraId="5B3D2601" w14:textId="5D2711A8" w:rsidR="00BD691D" w:rsidRDefault="00BD691D" w:rsidP="005C174D">
      <w:pPr>
        <w:pStyle w:val="points"/>
        <w:numPr>
          <w:ilvl w:val="0"/>
          <w:numId w:val="16"/>
        </w:numPr>
        <w:tabs>
          <w:tab w:val="clear" w:pos="1400"/>
        </w:tabs>
      </w:pPr>
      <w:r>
        <w:t xml:space="preserve">The Petition is brought </w:t>
      </w:r>
      <w:r w:rsidR="00A41607">
        <w:t xml:space="preserve">by the SFC </w:t>
      </w:r>
      <w:r>
        <w:t>to redress the wrongs allegedly done to the Company and the relief is sought for the benefit of the Company</w:t>
      </w:r>
      <w:r w:rsidR="00AE6CFF">
        <w:t xml:space="preserve">.  </w:t>
      </w:r>
      <w:r w:rsidR="005249B4">
        <w:t>I</w:t>
      </w:r>
      <w:r>
        <w:t xml:space="preserve">t is difficult to </w:t>
      </w:r>
      <w:r w:rsidR="005A7392">
        <w:t xml:space="preserve">see </w:t>
      </w:r>
      <w:r w:rsidR="00322151">
        <w:t xml:space="preserve">why the Company should </w:t>
      </w:r>
      <w:r w:rsidR="00540066">
        <w:t xml:space="preserve">incur legal </w:t>
      </w:r>
      <w:r w:rsidR="00D85214">
        <w:t xml:space="preserve">costs in </w:t>
      </w:r>
      <w:r w:rsidR="007068E3">
        <w:t xml:space="preserve">filing affirmation </w:t>
      </w:r>
      <w:r w:rsidR="007068E3" w:rsidRPr="00FF67EB">
        <w:t xml:space="preserve">in </w:t>
      </w:r>
      <w:r w:rsidR="00B12F0B" w:rsidRPr="00FF67EB">
        <w:t xml:space="preserve">response </w:t>
      </w:r>
      <w:r w:rsidR="007068E3" w:rsidRPr="00FF67EB">
        <w:t>to the Petition</w:t>
      </w:r>
      <w:r w:rsidR="007068E3">
        <w:t xml:space="preserve"> and </w:t>
      </w:r>
      <w:r w:rsidR="00B86C7B">
        <w:t>engag</w:t>
      </w:r>
      <w:r w:rsidR="005B428F">
        <w:t>ing</w:t>
      </w:r>
      <w:r w:rsidR="00B86C7B">
        <w:t xml:space="preserve"> solicitors and counsel to appear at trial</w:t>
      </w:r>
      <w:r w:rsidR="00AE6CFF">
        <w:t xml:space="preserve">.  </w:t>
      </w:r>
    </w:p>
    <w:p w14:paraId="70367379" w14:textId="0EE6DF16" w:rsidR="00012A62" w:rsidRDefault="00EC6765" w:rsidP="005C174D">
      <w:pPr>
        <w:pStyle w:val="points"/>
        <w:numPr>
          <w:ilvl w:val="0"/>
          <w:numId w:val="16"/>
        </w:numPr>
        <w:tabs>
          <w:tab w:val="clear" w:pos="1400"/>
        </w:tabs>
        <w:rPr>
          <w:color w:val="000000" w:themeColor="text1"/>
        </w:rPr>
      </w:pPr>
      <w:r>
        <w:rPr>
          <w:color w:val="000000" w:themeColor="text1"/>
        </w:rPr>
        <w:t>I</w:t>
      </w:r>
      <w:r w:rsidR="005B428F">
        <w:rPr>
          <w:color w:val="000000" w:themeColor="text1"/>
        </w:rPr>
        <w:t xml:space="preserve">t does not </w:t>
      </w:r>
      <w:r w:rsidR="005B428F" w:rsidRPr="00780BC6">
        <w:t>appear</w:t>
      </w:r>
      <w:r w:rsidR="005B428F">
        <w:rPr>
          <w:color w:val="000000" w:themeColor="text1"/>
        </w:rPr>
        <w:t xml:space="preserve"> that </w:t>
      </w:r>
      <w:r w:rsidR="005B428F" w:rsidRPr="00780BC6">
        <w:t>there</w:t>
      </w:r>
      <w:r w:rsidR="005B428F">
        <w:rPr>
          <w:color w:val="000000" w:themeColor="text1"/>
        </w:rPr>
        <w:t xml:space="preserve"> is any </w:t>
      </w:r>
      <w:r>
        <w:rPr>
          <w:color w:val="000000" w:themeColor="text1"/>
        </w:rPr>
        <w:t xml:space="preserve">basis for the Petition to be fixed before a bilingual </w:t>
      </w:r>
      <w:r w:rsidR="00B922C4">
        <w:rPr>
          <w:color w:val="000000" w:themeColor="text1"/>
        </w:rPr>
        <w:t>j</w:t>
      </w:r>
      <w:r>
        <w:rPr>
          <w:color w:val="000000" w:themeColor="text1"/>
        </w:rPr>
        <w:t>udge</w:t>
      </w:r>
      <w:r w:rsidR="00AE6CFF">
        <w:rPr>
          <w:color w:val="000000" w:themeColor="text1"/>
        </w:rPr>
        <w:t xml:space="preserve">.  </w:t>
      </w:r>
      <w:r w:rsidR="006B124D">
        <w:rPr>
          <w:color w:val="000000" w:themeColor="text1"/>
        </w:rPr>
        <w:t xml:space="preserve">Given the prevalence of companies </w:t>
      </w:r>
      <w:r w:rsidR="00DF673A">
        <w:rPr>
          <w:color w:val="000000" w:themeColor="text1"/>
        </w:rPr>
        <w:t>whose shares are listed on The Stock Exchange of Hong Kong Limited (“</w:t>
      </w:r>
      <w:r w:rsidR="00DF673A" w:rsidRPr="002178CE">
        <w:rPr>
          <w:b/>
          <w:bCs/>
          <w:color w:val="000000" w:themeColor="text1"/>
        </w:rPr>
        <w:t>SEHK</w:t>
      </w:r>
      <w:r w:rsidR="00DF673A">
        <w:rPr>
          <w:color w:val="000000" w:themeColor="text1"/>
        </w:rPr>
        <w:t xml:space="preserve">”) </w:t>
      </w:r>
      <w:r w:rsidR="005B428F">
        <w:rPr>
          <w:color w:val="000000" w:themeColor="text1"/>
        </w:rPr>
        <w:t xml:space="preserve">with </w:t>
      </w:r>
      <w:r w:rsidR="00A409F1">
        <w:rPr>
          <w:color w:val="000000" w:themeColor="text1"/>
        </w:rPr>
        <w:t>business</w:t>
      </w:r>
      <w:r w:rsidR="005D20EE">
        <w:rPr>
          <w:color w:val="000000" w:themeColor="text1"/>
        </w:rPr>
        <w:t>es</w:t>
      </w:r>
      <w:r w:rsidR="00A409F1">
        <w:rPr>
          <w:color w:val="000000" w:themeColor="text1"/>
        </w:rPr>
        <w:t xml:space="preserve"> and investment</w:t>
      </w:r>
      <w:r w:rsidR="005D20EE">
        <w:rPr>
          <w:color w:val="000000" w:themeColor="text1"/>
        </w:rPr>
        <w:t>s</w:t>
      </w:r>
      <w:r w:rsidR="00A409F1">
        <w:rPr>
          <w:color w:val="000000" w:themeColor="text1"/>
        </w:rPr>
        <w:t xml:space="preserve"> located in the Mainland</w:t>
      </w:r>
      <w:r w:rsidR="001C68EA">
        <w:rPr>
          <w:color w:val="000000" w:themeColor="text1"/>
        </w:rPr>
        <w:t xml:space="preserve">, it is inevitable that </w:t>
      </w:r>
      <w:r w:rsidR="00945855">
        <w:rPr>
          <w:color w:val="000000" w:themeColor="text1"/>
        </w:rPr>
        <w:t xml:space="preserve">most of the </w:t>
      </w:r>
      <w:r w:rsidR="00563EA1">
        <w:rPr>
          <w:color w:val="000000" w:themeColor="text1"/>
        </w:rPr>
        <w:t xml:space="preserve">documentary and oral evidence </w:t>
      </w:r>
      <w:r w:rsidR="00945855">
        <w:rPr>
          <w:color w:val="000000" w:themeColor="text1"/>
        </w:rPr>
        <w:t>concerning these companies are in Chinese</w:t>
      </w:r>
      <w:r w:rsidR="00AE6CFF">
        <w:rPr>
          <w:color w:val="000000" w:themeColor="text1"/>
        </w:rPr>
        <w:t xml:space="preserve">.  </w:t>
      </w:r>
      <w:r w:rsidR="001534E1">
        <w:rPr>
          <w:color w:val="000000" w:themeColor="text1"/>
        </w:rPr>
        <w:t xml:space="preserve">The </w:t>
      </w:r>
      <w:r w:rsidR="00715861">
        <w:rPr>
          <w:color w:val="000000" w:themeColor="text1"/>
        </w:rPr>
        <w:t xml:space="preserve">savings in time and </w:t>
      </w:r>
      <w:r w:rsidR="001534E1">
        <w:rPr>
          <w:color w:val="000000" w:themeColor="text1"/>
        </w:rPr>
        <w:t xml:space="preserve">costs </w:t>
      </w:r>
      <w:r w:rsidR="009263E5">
        <w:rPr>
          <w:color w:val="000000" w:themeColor="text1"/>
        </w:rPr>
        <w:t>involve</w:t>
      </w:r>
      <w:r w:rsidR="001534E1">
        <w:rPr>
          <w:color w:val="000000" w:themeColor="text1"/>
        </w:rPr>
        <w:t xml:space="preserve">d in translating documents and evidence </w:t>
      </w:r>
      <w:r w:rsidR="000C7563" w:rsidRPr="00DF2919">
        <w:rPr>
          <w:i/>
          <w:iCs/>
          <w:color w:val="000000" w:themeColor="text1"/>
        </w:rPr>
        <w:t>per se</w:t>
      </w:r>
      <w:r w:rsidR="000C7563">
        <w:rPr>
          <w:color w:val="000000" w:themeColor="text1"/>
        </w:rPr>
        <w:t xml:space="preserve"> </w:t>
      </w:r>
      <w:r w:rsidR="001534E1">
        <w:rPr>
          <w:color w:val="000000" w:themeColor="text1"/>
        </w:rPr>
        <w:t xml:space="preserve">are </w:t>
      </w:r>
      <w:r w:rsidR="00FB4801">
        <w:rPr>
          <w:color w:val="000000" w:themeColor="text1"/>
        </w:rPr>
        <w:t xml:space="preserve">not </w:t>
      </w:r>
      <w:r w:rsidR="00543A1F">
        <w:rPr>
          <w:color w:val="000000" w:themeColor="text1"/>
        </w:rPr>
        <w:t xml:space="preserve">sufficient </w:t>
      </w:r>
      <w:r w:rsidR="007F6B3B">
        <w:rPr>
          <w:color w:val="000000" w:themeColor="text1"/>
        </w:rPr>
        <w:t>justif</w:t>
      </w:r>
      <w:r w:rsidR="001E4FC7">
        <w:rPr>
          <w:color w:val="000000" w:themeColor="text1"/>
        </w:rPr>
        <w:t>ication</w:t>
      </w:r>
      <w:r w:rsidR="000E0F14">
        <w:rPr>
          <w:color w:val="000000" w:themeColor="text1"/>
        </w:rPr>
        <w:t>s</w:t>
      </w:r>
      <w:r w:rsidR="001E4FC7">
        <w:rPr>
          <w:color w:val="000000" w:themeColor="text1"/>
        </w:rPr>
        <w:t xml:space="preserve"> for </w:t>
      </w:r>
      <w:r w:rsidR="001534E1">
        <w:rPr>
          <w:color w:val="000000" w:themeColor="text1"/>
        </w:rPr>
        <w:t xml:space="preserve">the matter to be </w:t>
      </w:r>
      <w:r w:rsidR="00DF2919">
        <w:rPr>
          <w:color w:val="000000" w:themeColor="text1"/>
        </w:rPr>
        <w:t xml:space="preserve">fixed </w:t>
      </w:r>
      <w:r w:rsidR="001534E1">
        <w:rPr>
          <w:color w:val="000000" w:themeColor="text1"/>
        </w:rPr>
        <w:t xml:space="preserve">before a </w:t>
      </w:r>
      <w:r w:rsidR="00FB4801">
        <w:rPr>
          <w:color w:val="000000" w:themeColor="text1"/>
        </w:rPr>
        <w:t xml:space="preserve">bilingual </w:t>
      </w:r>
      <w:r w:rsidR="002425F5">
        <w:rPr>
          <w:color w:val="000000" w:themeColor="text1"/>
        </w:rPr>
        <w:t>j</w:t>
      </w:r>
      <w:r w:rsidR="00FB4801">
        <w:rPr>
          <w:color w:val="000000" w:themeColor="text1"/>
        </w:rPr>
        <w:t>udge</w:t>
      </w:r>
      <w:r w:rsidR="00AE6CFF">
        <w:rPr>
          <w:color w:val="000000" w:themeColor="text1"/>
        </w:rPr>
        <w:t xml:space="preserve">.  </w:t>
      </w:r>
      <w:r w:rsidR="00FB4801">
        <w:rPr>
          <w:color w:val="000000" w:themeColor="text1"/>
        </w:rPr>
        <w:t xml:space="preserve">It is </w:t>
      </w:r>
      <w:r w:rsidR="00DD7EBD">
        <w:rPr>
          <w:color w:val="000000" w:themeColor="text1"/>
        </w:rPr>
        <w:t xml:space="preserve">also </w:t>
      </w:r>
      <w:r w:rsidR="00FB4801">
        <w:rPr>
          <w:color w:val="000000" w:themeColor="text1"/>
        </w:rPr>
        <w:t xml:space="preserve">wrong for the parties to assume that </w:t>
      </w:r>
      <w:r w:rsidR="005B428F">
        <w:rPr>
          <w:color w:val="000000" w:themeColor="text1"/>
        </w:rPr>
        <w:t xml:space="preserve">if </w:t>
      </w:r>
      <w:r w:rsidR="00FB4801">
        <w:rPr>
          <w:color w:val="000000" w:themeColor="text1"/>
        </w:rPr>
        <w:t xml:space="preserve">the matter is to be heard before a bilingual </w:t>
      </w:r>
      <w:r w:rsidR="002425F5">
        <w:rPr>
          <w:color w:val="000000" w:themeColor="text1"/>
        </w:rPr>
        <w:t>j</w:t>
      </w:r>
      <w:r w:rsidR="00FB4801">
        <w:rPr>
          <w:color w:val="000000" w:themeColor="text1"/>
        </w:rPr>
        <w:t xml:space="preserve">udge </w:t>
      </w:r>
      <w:r w:rsidR="00685484">
        <w:rPr>
          <w:color w:val="000000" w:themeColor="text1"/>
        </w:rPr>
        <w:t xml:space="preserve">it would not be necessary to </w:t>
      </w:r>
      <w:r w:rsidR="00FB4801">
        <w:rPr>
          <w:color w:val="000000" w:themeColor="text1"/>
        </w:rPr>
        <w:t>translat</w:t>
      </w:r>
      <w:r w:rsidR="00685484">
        <w:rPr>
          <w:color w:val="000000" w:themeColor="text1"/>
        </w:rPr>
        <w:t>e the documents essential to their case</w:t>
      </w:r>
      <w:r w:rsidR="00AE6CFF">
        <w:rPr>
          <w:color w:val="000000" w:themeColor="text1"/>
        </w:rPr>
        <w:t xml:space="preserve">.  </w:t>
      </w:r>
      <w:r w:rsidR="00685484">
        <w:rPr>
          <w:color w:val="000000" w:themeColor="text1"/>
        </w:rPr>
        <w:t xml:space="preserve">This is particularly so when </w:t>
      </w:r>
      <w:r w:rsidR="002D433A">
        <w:rPr>
          <w:color w:val="000000" w:themeColor="text1"/>
        </w:rPr>
        <w:t xml:space="preserve">the substantive hearing </w:t>
      </w:r>
      <w:r w:rsidR="00685484">
        <w:rPr>
          <w:color w:val="000000" w:themeColor="text1"/>
        </w:rPr>
        <w:t xml:space="preserve">is to be </w:t>
      </w:r>
      <w:r w:rsidR="002D433A">
        <w:rPr>
          <w:color w:val="000000" w:themeColor="text1"/>
        </w:rPr>
        <w:t>conducted in English</w:t>
      </w:r>
      <w:r w:rsidR="00B922C4">
        <w:rPr>
          <w:color w:val="000000" w:themeColor="text1"/>
        </w:rPr>
        <w:t xml:space="preserve"> and </w:t>
      </w:r>
      <w:r w:rsidR="00313901">
        <w:rPr>
          <w:color w:val="000000" w:themeColor="text1"/>
        </w:rPr>
        <w:t>w</w:t>
      </w:r>
      <w:r w:rsidR="00653D9F">
        <w:rPr>
          <w:color w:val="000000" w:themeColor="text1"/>
        </w:rPr>
        <w:t xml:space="preserve">ithout translation, </w:t>
      </w:r>
      <w:r w:rsidR="002D433A">
        <w:rPr>
          <w:color w:val="000000" w:themeColor="text1"/>
        </w:rPr>
        <w:t xml:space="preserve">the </w:t>
      </w:r>
      <w:r w:rsidR="005B428F">
        <w:rPr>
          <w:color w:val="000000" w:themeColor="text1"/>
        </w:rPr>
        <w:t>j</w:t>
      </w:r>
      <w:r w:rsidR="002D433A">
        <w:rPr>
          <w:color w:val="000000" w:themeColor="text1"/>
        </w:rPr>
        <w:t xml:space="preserve">udge </w:t>
      </w:r>
      <w:r w:rsidR="002D433A">
        <w:rPr>
          <w:color w:val="000000" w:themeColor="text1"/>
        </w:rPr>
        <w:lastRenderedPageBreak/>
        <w:t xml:space="preserve">will have to </w:t>
      </w:r>
      <w:r w:rsidR="00225BB3">
        <w:rPr>
          <w:color w:val="000000" w:themeColor="text1"/>
        </w:rPr>
        <w:t xml:space="preserve">do </w:t>
      </w:r>
      <w:r w:rsidR="00313901">
        <w:rPr>
          <w:color w:val="000000" w:themeColor="text1"/>
        </w:rPr>
        <w:t xml:space="preserve">his/her </w:t>
      </w:r>
      <w:proofErr w:type="gramStart"/>
      <w:r w:rsidR="00313901">
        <w:rPr>
          <w:color w:val="000000" w:themeColor="text1"/>
        </w:rPr>
        <w:t xml:space="preserve">own </w:t>
      </w:r>
      <w:r w:rsidR="00225BB3">
        <w:rPr>
          <w:color w:val="000000" w:themeColor="text1"/>
        </w:rPr>
        <w:t xml:space="preserve"> </w:t>
      </w:r>
      <w:r w:rsidR="002D433A">
        <w:rPr>
          <w:color w:val="000000" w:themeColor="text1"/>
        </w:rPr>
        <w:t>translat</w:t>
      </w:r>
      <w:r w:rsidR="00225BB3">
        <w:rPr>
          <w:color w:val="000000" w:themeColor="text1"/>
        </w:rPr>
        <w:t>ion</w:t>
      </w:r>
      <w:proofErr w:type="gramEnd"/>
      <w:r w:rsidR="00225BB3">
        <w:rPr>
          <w:color w:val="000000" w:themeColor="text1"/>
        </w:rPr>
        <w:t xml:space="preserve"> when it comes to writing </w:t>
      </w:r>
      <w:r w:rsidR="009D479F">
        <w:rPr>
          <w:color w:val="000000" w:themeColor="text1"/>
        </w:rPr>
        <w:t>judgment</w:t>
      </w:r>
      <w:r w:rsidR="00AE6CFF">
        <w:rPr>
          <w:color w:val="000000" w:themeColor="text1"/>
        </w:rPr>
        <w:t xml:space="preserve">.  </w:t>
      </w:r>
      <w:r w:rsidR="002D433A">
        <w:rPr>
          <w:color w:val="000000" w:themeColor="text1"/>
        </w:rPr>
        <w:t xml:space="preserve"> </w:t>
      </w:r>
    </w:p>
    <w:p w14:paraId="66E9C296" w14:textId="0C393374" w:rsidR="00727B74" w:rsidRDefault="002F4299" w:rsidP="005C174D">
      <w:pPr>
        <w:pStyle w:val="points"/>
        <w:numPr>
          <w:ilvl w:val="0"/>
          <w:numId w:val="16"/>
        </w:numPr>
        <w:tabs>
          <w:tab w:val="clear" w:pos="1400"/>
        </w:tabs>
        <w:rPr>
          <w:color w:val="000000" w:themeColor="text1"/>
        </w:rPr>
      </w:pPr>
      <w:r>
        <w:rPr>
          <w:color w:val="000000" w:themeColor="text1"/>
        </w:rPr>
        <w:t xml:space="preserve">It does not </w:t>
      </w:r>
      <w:proofErr w:type="gramStart"/>
      <w:r w:rsidRPr="00780BC6">
        <w:t>seem</w:t>
      </w:r>
      <w:r w:rsidR="00961A66" w:rsidRPr="00780BC6">
        <w:t>s</w:t>
      </w:r>
      <w:proofErr w:type="gramEnd"/>
      <w:r>
        <w:rPr>
          <w:color w:val="000000" w:themeColor="text1"/>
        </w:rPr>
        <w:t xml:space="preserve"> to me that there is </w:t>
      </w:r>
      <w:r w:rsidR="005B428F">
        <w:rPr>
          <w:color w:val="000000" w:themeColor="text1"/>
        </w:rPr>
        <w:t xml:space="preserve">any </w:t>
      </w:r>
      <w:r>
        <w:rPr>
          <w:color w:val="000000" w:themeColor="text1"/>
        </w:rPr>
        <w:t>justification for the</w:t>
      </w:r>
      <w:r w:rsidR="00727B74">
        <w:rPr>
          <w:color w:val="000000" w:themeColor="text1"/>
        </w:rPr>
        <w:t xml:space="preserve"> SFC </w:t>
      </w:r>
      <w:r w:rsidR="00290C6F">
        <w:rPr>
          <w:color w:val="000000" w:themeColor="text1"/>
        </w:rPr>
        <w:t xml:space="preserve">not to ask its witnesses to prepare </w:t>
      </w:r>
      <w:r w:rsidR="00200386">
        <w:rPr>
          <w:color w:val="000000" w:themeColor="text1"/>
        </w:rPr>
        <w:t xml:space="preserve">and adduce </w:t>
      </w:r>
      <w:r w:rsidR="00290C6F">
        <w:rPr>
          <w:color w:val="000000" w:themeColor="text1"/>
        </w:rPr>
        <w:t>affirmations as evidence</w:t>
      </w:r>
      <w:r w:rsidR="00AE6CFF">
        <w:rPr>
          <w:color w:val="000000" w:themeColor="text1"/>
        </w:rPr>
        <w:t xml:space="preserve">.  </w:t>
      </w:r>
      <w:r w:rsidR="00AC3F28">
        <w:rPr>
          <w:color w:val="000000" w:themeColor="text1"/>
        </w:rPr>
        <w:t xml:space="preserve">While it </w:t>
      </w:r>
      <w:r w:rsidR="001A2685">
        <w:rPr>
          <w:color w:val="000000" w:themeColor="text1"/>
        </w:rPr>
        <w:t>may be</w:t>
      </w:r>
      <w:r w:rsidR="00AC3F28">
        <w:rPr>
          <w:color w:val="000000" w:themeColor="text1"/>
        </w:rPr>
        <w:t xml:space="preserve"> convenient </w:t>
      </w:r>
      <w:r w:rsidR="0077004F">
        <w:rPr>
          <w:color w:val="000000" w:themeColor="text1"/>
        </w:rPr>
        <w:t xml:space="preserve">and cost-effective </w:t>
      </w:r>
      <w:r w:rsidR="00AC3F28">
        <w:rPr>
          <w:color w:val="000000" w:themeColor="text1"/>
        </w:rPr>
        <w:t xml:space="preserve">for the SFC to </w:t>
      </w:r>
      <w:r w:rsidR="009009A9">
        <w:rPr>
          <w:color w:val="000000" w:themeColor="text1"/>
        </w:rPr>
        <w:t xml:space="preserve">adduce </w:t>
      </w:r>
      <w:r w:rsidR="00AC3F28">
        <w:rPr>
          <w:color w:val="000000" w:themeColor="text1"/>
        </w:rPr>
        <w:t>ROIs as evidence,</w:t>
      </w:r>
      <w:r w:rsidR="001A2685">
        <w:rPr>
          <w:color w:val="000000" w:themeColor="text1"/>
        </w:rPr>
        <w:t xml:space="preserve"> </w:t>
      </w:r>
      <w:r w:rsidR="00E60310">
        <w:rPr>
          <w:color w:val="000000" w:themeColor="text1"/>
        </w:rPr>
        <w:t>when it comes to trial, m</w:t>
      </w:r>
      <w:r w:rsidR="00486DB4">
        <w:rPr>
          <w:color w:val="000000" w:themeColor="text1"/>
        </w:rPr>
        <w:t xml:space="preserve">any </w:t>
      </w:r>
      <w:r w:rsidR="00E60310">
        <w:rPr>
          <w:color w:val="000000" w:themeColor="text1"/>
        </w:rPr>
        <w:t xml:space="preserve">of the answers recorded in the ROIs </w:t>
      </w:r>
      <w:r w:rsidR="008E0F08">
        <w:rPr>
          <w:color w:val="000000" w:themeColor="text1"/>
        </w:rPr>
        <w:t xml:space="preserve">are no longer </w:t>
      </w:r>
      <w:r w:rsidR="00E60310">
        <w:rPr>
          <w:color w:val="000000" w:themeColor="text1"/>
        </w:rPr>
        <w:t>relevan</w:t>
      </w:r>
      <w:r w:rsidR="0060463E">
        <w:rPr>
          <w:color w:val="000000" w:themeColor="text1"/>
        </w:rPr>
        <w:t>t</w:t>
      </w:r>
      <w:r w:rsidR="00E60310">
        <w:rPr>
          <w:color w:val="000000" w:themeColor="text1"/>
        </w:rPr>
        <w:t xml:space="preserve"> to the issues </w:t>
      </w:r>
      <w:r w:rsidR="00D32E6B">
        <w:rPr>
          <w:color w:val="000000" w:themeColor="text1"/>
        </w:rPr>
        <w:t>between the parties</w:t>
      </w:r>
      <w:r w:rsidR="00AE6CFF">
        <w:rPr>
          <w:color w:val="000000" w:themeColor="text1"/>
        </w:rPr>
        <w:t xml:space="preserve">.  </w:t>
      </w:r>
      <w:r w:rsidR="00D41F99">
        <w:rPr>
          <w:color w:val="000000" w:themeColor="text1"/>
        </w:rPr>
        <w:t xml:space="preserve">It is also unfair to </w:t>
      </w:r>
      <w:r w:rsidR="001264E8">
        <w:rPr>
          <w:color w:val="000000" w:themeColor="text1"/>
        </w:rPr>
        <w:t xml:space="preserve">require </w:t>
      </w:r>
      <w:r w:rsidR="00AC3F28">
        <w:rPr>
          <w:color w:val="000000" w:themeColor="text1"/>
        </w:rPr>
        <w:t xml:space="preserve">the respondents and the </w:t>
      </w:r>
      <w:r w:rsidR="0003316A">
        <w:rPr>
          <w:color w:val="000000" w:themeColor="text1"/>
        </w:rPr>
        <w:t>c</w:t>
      </w:r>
      <w:r w:rsidR="00AC3F28">
        <w:rPr>
          <w:color w:val="000000" w:themeColor="text1"/>
        </w:rPr>
        <w:t xml:space="preserve">ourt to trawl through </w:t>
      </w:r>
      <w:r w:rsidR="00C4640F">
        <w:rPr>
          <w:color w:val="000000" w:themeColor="text1"/>
        </w:rPr>
        <w:t xml:space="preserve">voluminous </w:t>
      </w:r>
      <w:r w:rsidR="00AC3F28">
        <w:rPr>
          <w:color w:val="000000" w:themeColor="text1"/>
        </w:rPr>
        <w:t>ROIs</w:t>
      </w:r>
      <w:r w:rsidR="00C4640F">
        <w:rPr>
          <w:color w:val="000000" w:themeColor="text1"/>
        </w:rPr>
        <w:t xml:space="preserve"> to </w:t>
      </w:r>
      <w:r w:rsidR="00F05866">
        <w:rPr>
          <w:color w:val="000000" w:themeColor="text1"/>
        </w:rPr>
        <w:t>ascertain which parts are</w:t>
      </w:r>
      <w:r w:rsidR="00C4640F">
        <w:rPr>
          <w:color w:val="000000" w:themeColor="text1"/>
        </w:rPr>
        <w:t xml:space="preserve"> relevant to the issues</w:t>
      </w:r>
      <w:r w:rsidR="00992960">
        <w:rPr>
          <w:color w:val="000000" w:themeColor="text1"/>
        </w:rPr>
        <w:t xml:space="preserve"> </w:t>
      </w:r>
      <w:r w:rsidR="0045256F">
        <w:rPr>
          <w:color w:val="000000" w:themeColor="text1"/>
        </w:rPr>
        <w:t xml:space="preserve">or </w:t>
      </w:r>
      <w:r w:rsidR="00992960">
        <w:rPr>
          <w:color w:val="000000" w:themeColor="text1"/>
        </w:rPr>
        <w:t>will be relied on by the SFC</w:t>
      </w:r>
      <w:r w:rsidR="0045256F">
        <w:rPr>
          <w:color w:val="000000" w:themeColor="text1"/>
        </w:rPr>
        <w:t xml:space="preserve"> at trial</w:t>
      </w:r>
      <w:r w:rsidR="00AE6CFF">
        <w:rPr>
          <w:color w:val="000000" w:themeColor="text1"/>
        </w:rPr>
        <w:t xml:space="preserve">.  </w:t>
      </w:r>
      <w:r w:rsidR="009D7488">
        <w:rPr>
          <w:color w:val="000000" w:themeColor="text1"/>
        </w:rPr>
        <w:t xml:space="preserve"> </w:t>
      </w:r>
      <w:r w:rsidR="00727B74">
        <w:rPr>
          <w:color w:val="000000" w:themeColor="text1"/>
        </w:rPr>
        <w:t xml:space="preserve"> </w:t>
      </w:r>
    </w:p>
    <w:p w14:paraId="23F49699" w14:textId="0FE5532F" w:rsidR="00B36211" w:rsidRDefault="008F1909" w:rsidP="005C174D">
      <w:pPr>
        <w:pStyle w:val="points"/>
        <w:numPr>
          <w:ilvl w:val="0"/>
          <w:numId w:val="16"/>
        </w:numPr>
        <w:tabs>
          <w:tab w:val="clear" w:pos="1400"/>
        </w:tabs>
        <w:rPr>
          <w:color w:val="000000" w:themeColor="text1"/>
        </w:rPr>
      </w:pPr>
      <w:r>
        <w:rPr>
          <w:color w:val="000000" w:themeColor="text1"/>
        </w:rPr>
        <w:t xml:space="preserve">The SFC has not </w:t>
      </w:r>
      <w:r w:rsidRPr="00780BC6">
        <w:t>identified</w:t>
      </w:r>
      <w:r>
        <w:rPr>
          <w:color w:val="000000" w:themeColor="text1"/>
        </w:rPr>
        <w:t xml:space="preserve"> the basis for asking the </w:t>
      </w:r>
      <w:r w:rsidR="00D43DD6">
        <w:rPr>
          <w:color w:val="000000" w:themeColor="text1"/>
        </w:rPr>
        <w:t>c</w:t>
      </w:r>
      <w:r>
        <w:rPr>
          <w:color w:val="000000" w:themeColor="text1"/>
        </w:rPr>
        <w:t>ourt to give a special status to ROIs</w:t>
      </w:r>
      <w:r w:rsidR="00D86B36">
        <w:rPr>
          <w:color w:val="000000" w:themeColor="text1"/>
        </w:rPr>
        <w:t xml:space="preserve"> or why the </w:t>
      </w:r>
      <w:r w:rsidR="006017DB">
        <w:rPr>
          <w:color w:val="000000" w:themeColor="text1"/>
        </w:rPr>
        <w:t>c</w:t>
      </w:r>
      <w:r w:rsidR="00D86B36">
        <w:rPr>
          <w:color w:val="000000" w:themeColor="text1"/>
        </w:rPr>
        <w:t>ourt’s hands should be tied in the manner suggested</w:t>
      </w:r>
      <w:r w:rsidR="002632A8">
        <w:rPr>
          <w:color w:val="000000" w:themeColor="text1"/>
        </w:rPr>
        <w:t xml:space="preserve"> in §</w:t>
      </w:r>
      <w:r w:rsidR="00D71529">
        <w:rPr>
          <w:color w:val="000000" w:themeColor="text1"/>
        </w:rPr>
        <w:t>8</w:t>
      </w:r>
      <w:r w:rsidR="002632A8">
        <w:rPr>
          <w:color w:val="000000" w:themeColor="text1"/>
        </w:rPr>
        <w:t xml:space="preserve"> of the Directions</w:t>
      </w:r>
      <w:r w:rsidR="00AE6CFF">
        <w:rPr>
          <w:color w:val="000000" w:themeColor="text1"/>
        </w:rPr>
        <w:t xml:space="preserve">.  </w:t>
      </w:r>
      <w:r w:rsidR="00E073F8">
        <w:rPr>
          <w:color w:val="000000" w:themeColor="text1"/>
        </w:rPr>
        <w:t xml:space="preserve">As </w:t>
      </w:r>
      <w:r w:rsidR="0092312A">
        <w:rPr>
          <w:color w:val="000000" w:themeColor="text1"/>
        </w:rPr>
        <w:t>ROIs</w:t>
      </w:r>
      <w:r>
        <w:rPr>
          <w:color w:val="000000" w:themeColor="text1"/>
        </w:rPr>
        <w:t xml:space="preserve"> are not affidavits or affirmations</w:t>
      </w:r>
      <w:r w:rsidR="00F63F43">
        <w:rPr>
          <w:color w:val="000000" w:themeColor="text1"/>
        </w:rPr>
        <w:t xml:space="preserve">, §7 of the Directions (which require the </w:t>
      </w:r>
      <w:r w:rsidR="008607FD">
        <w:rPr>
          <w:color w:val="000000" w:themeColor="text1"/>
        </w:rPr>
        <w:t>deponents</w:t>
      </w:r>
      <w:r w:rsidR="00F63F43">
        <w:rPr>
          <w:color w:val="000000" w:themeColor="text1"/>
        </w:rPr>
        <w:t xml:space="preserve"> to </w:t>
      </w:r>
      <w:r>
        <w:rPr>
          <w:color w:val="000000" w:themeColor="text1"/>
        </w:rPr>
        <w:t>attend trial for cross-examination</w:t>
      </w:r>
      <w:r w:rsidR="00027838">
        <w:rPr>
          <w:color w:val="000000" w:themeColor="text1"/>
        </w:rPr>
        <w:t>)</w:t>
      </w:r>
      <w:r w:rsidR="008607FD">
        <w:rPr>
          <w:color w:val="000000" w:themeColor="text1"/>
        </w:rPr>
        <w:t xml:space="preserve"> does not apply</w:t>
      </w:r>
      <w:r w:rsidR="00AE6CFF">
        <w:rPr>
          <w:color w:val="000000" w:themeColor="text1"/>
        </w:rPr>
        <w:t xml:space="preserve">.  </w:t>
      </w:r>
      <w:r w:rsidR="00FB1243">
        <w:rPr>
          <w:color w:val="000000" w:themeColor="text1"/>
        </w:rPr>
        <w:t>§</w:t>
      </w:r>
      <w:r w:rsidR="005E1E7D">
        <w:rPr>
          <w:color w:val="000000" w:themeColor="text1"/>
        </w:rPr>
        <w:t>8</w:t>
      </w:r>
      <w:r w:rsidR="00FB1243">
        <w:rPr>
          <w:color w:val="000000" w:themeColor="text1"/>
        </w:rPr>
        <w:t xml:space="preserve"> </w:t>
      </w:r>
      <w:r w:rsidR="000E54FC">
        <w:rPr>
          <w:color w:val="000000" w:themeColor="text1"/>
        </w:rPr>
        <w:t xml:space="preserve">states </w:t>
      </w:r>
      <w:r w:rsidR="00FB1243">
        <w:rPr>
          <w:color w:val="000000" w:themeColor="text1"/>
        </w:rPr>
        <w:t xml:space="preserve">that ROIs </w:t>
      </w:r>
      <w:r>
        <w:rPr>
          <w:color w:val="000000" w:themeColor="text1"/>
        </w:rPr>
        <w:t>shall be admitted as evidence at trial</w:t>
      </w:r>
      <w:r w:rsidR="00404D33">
        <w:rPr>
          <w:color w:val="000000" w:themeColor="text1"/>
        </w:rPr>
        <w:t xml:space="preserve">, </w:t>
      </w:r>
      <w:r w:rsidR="00411D7B">
        <w:rPr>
          <w:color w:val="000000" w:themeColor="text1"/>
        </w:rPr>
        <w:t>but</w:t>
      </w:r>
      <w:r w:rsidR="00404D33">
        <w:rPr>
          <w:color w:val="000000" w:themeColor="text1"/>
        </w:rPr>
        <w:t xml:space="preserve"> </w:t>
      </w:r>
      <w:r w:rsidR="00E2010C">
        <w:rPr>
          <w:color w:val="000000" w:themeColor="text1"/>
        </w:rPr>
        <w:t xml:space="preserve">the question of admissibility of evidence is a matter </w:t>
      </w:r>
      <w:r w:rsidR="00D32E6B">
        <w:rPr>
          <w:color w:val="000000" w:themeColor="text1"/>
        </w:rPr>
        <w:t>for</w:t>
      </w:r>
      <w:r w:rsidR="00E2010C">
        <w:rPr>
          <w:color w:val="000000" w:themeColor="text1"/>
        </w:rPr>
        <w:t xml:space="preserve"> the </w:t>
      </w:r>
      <w:r w:rsidR="00CE2216">
        <w:rPr>
          <w:color w:val="000000" w:themeColor="text1"/>
        </w:rPr>
        <w:t>c</w:t>
      </w:r>
      <w:r w:rsidR="00E2010C">
        <w:rPr>
          <w:color w:val="000000" w:themeColor="text1"/>
        </w:rPr>
        <w:t>ourt</w:t>
      </w:r>
      <w:r w:rsidR="00AE6CFF">
        <w:rPr>
          <w:color w:val="000000" w:themeColor="text1"/>
        </w:rPr>
        <w:t xml:space="preserve">.  </w:t>
      </w:r>
      <w:r w:rsidR="00E2010C">
        <w:rPr>
          <w:color w:val="000000" w:themeColor="text1"/>
        </w:rPr>
        <w:t xml:space="preserve"> </w:t>
      </w:r>
    </w:p>
    <w:p w14:paraId="780A5FF6" w14:textId="0F2F0049" w:rsidR="00DF58B4" w:rsidRPr="00340B5E" w:rsidRDefault="008F1B16">
      <w:pPr>
        <w:pStyle w:val="Final"/>
        <w:numPr>
          <w:ilvl w:val="0"/>
          <w:numId w:val="2"/>
        </w:numPr>
        <w:tabs>
          <w:tab w:val="clear" w:pos="720"/>
          <w:tab w:val="num" w:pos="0"/>
        </w:tabs>
        <w:ind w:left="0" w:firstLine="0"/>
        <w:rPr>
          <w:color w:val="000000" w:themeColor="text1"/>
        </w:rPr>
      </w:pPr>
      <w:r>
        <w:rPr>
          <w:color w:val="000000" w:themeColor="text1"/>
        </w:rPr>
        <w:t xml:space="preserve">It was only </w:t>
      </w:r>
      <w:r w:rsidR="00B90DB5">
        <w:rPr>
          <w:color w:val="000000" w:themeColor="text1"/>
        </w:rPr>
        <w:t>when</w:t>
      </w:r>
      <w:r>
        <w:rPr>
          <w:color w:val="000000" w:themeColor="text1"/>
        </w:rPr>
        <w:t xml:space="preserve"> the parties </w:t>
      </w:r>
      <w:r w:rsidR="00CF3110">
        <w:rPr>
          <w:color w:val="000000" w:themeColor="text1"/>
        </w:rPr>
        <w:t xml:space="preserve">applied by consent on </w:t>
      </w:r>
      <w:r w:rsidR="005A7392">
        <w:rPr>
          <w:color w:val="000000" w:themeColor="text1"/>
        </w:rPr>
        <w:t xml:space="preserve">19 April 2022 </w:t>
      </w:r>
      <w:r w:rsidR="00CF3110">
        <w:rPr>
          <w:color w:val="000000" w:themeColor="text1"/>
        </w:rPr>
        <w:t xml:space="preserve">for an extension of time to </w:t>
      </w:r>
      <w:r w:rsidR="00B01829">
        <w:rPr>
          <w:color w:val="000000" w:themeColor="text1"/>
        </w:rPr>
        <w:t xml:space="preserve">comply with some of the Directions that on 22 April 2022, </w:t>
      </w:r>
      <w:r w:rsidR="00CF3110">
        <w:rPr>
          <w:color w:val="000000" w:themeColor="text1"/>
        </w:rPr>
        <w:t xml:space="preserve">this Court </w:t>
      </w:r>
      <w:r w:rsidR="00B01829">
        <w:rPr>
          <w:color w:val="000000" w:themeColor="text1"/>
        </w:rPr>
        <w:t xml:space="preserve">gave </w:t>
      </w:r>
      <w:r w:rsidR="00F3640E">
        <w:rPr>
          <w:color w:val="000000" w:themeColor="text1"/>
        </w:rPr>
        <w:t xml:space="preserve">the usual </w:t>
      </w:r>
      <w:r w:rsidR="00CF3110">
        <w:rPr>
          <w:color w:val="000000" w:themeColor="text1"/>
        </w:rPr>
        <w:t xml:space="preserve">directions </w:t>
      </w:r>
      <w:r w:rsidR="00F3640E">
        <w:rPr>
          <w:color w:val="000000" w:themeColor="text1"/>
        </w:rPr>
        <w:t>requiring the</w:t>
      </w:r>
      <w:r w:rsidR="00B01829">
        <w:rPr>
          <w:color w:val="000000" w:themeColor="text1"/>
        </w:rPr>
        <w:t xml:space="preserve"> parties</w:t>
      </w:r>
      <w:r w:rsidR="00F3640E">
        <w:rPr>
          <w:color w:val="000000" w:themeColor="text1"/>
        </w:rPr>
        <w:t xml:space="preserve"> to file trial bundles, </w:t>
      </w:r>
      <w:r w:rsidR="00A1242F">
        <w:rPr>
          <w:color w:val="000000" w:themeColor="text1"/>
        </w:rPr>
        <w:t xml:space="preserve">Agreed List of Issues, Statement of Agreed Facts, Agreed Chronology and Agreed Dramatis Personae and Abbreviations </w:t>
      </w:r>
      <w:r w:rsidR="00AF59AF">
        <w:rPr>
          <w:color w:val="000000" w:themeColor="text1"/>
        </w:rPr>
        <w:t>for use at trial</w:t>
      </w:r>
      <w:r w:rsidR="00AE6CFF">
        <w:rPr>
          <w:color w:val="000000" w:themeColor="text1"/>
        </w:rPr>
        <w:t xml:space="preserve">.  </w:t>
      </w:r>
      <w:r w:rsidR="00340B5E">
        <w:rPr>
          <w:color w:val="000000" w:themeColor="text1"/>
        </w:rPr>
        <w:t>As for t</w:t>
      </w:r>
      <w:r w:rsidR="00AF59AF">
        <w:rPr>
          <w:color w:val="000000" w:themeColor="text1"/>
        </w:rPr>
        <w:t xml:space="preserve">he other issues </w:t>
      </w:r>
      <w:r w:rsidR="00736E55">
        <w:rPr>
          <w:color w:val="000000" w:themeColor="text1"/>
        </w:rPr>
        <w:t xml:space="preserve">identified in </w:t>
      </w:r>
      <w:r w:rsidR="006D7679" w:rsidRPr="00347463">
        <w:rPr>
          <w:color w:val="000000" w:themeColor="text1"/>
        </w:rPr>
        <w:t>§5</w:t>
      </w:r>
      <w:r w:rsidR="006D7679">
        <w:rPr>
          <w:color w:val="000000" w:themeColor="text1"/>
        </w:rPr>
        <w:t xml:space="preserve"> above</w:t>
      </w:r>
      <w:r w:rsidR="00340B5E">
        <w:rPr>
          <w:color w:val="000000" w:themeColor="text1"/>
        </w:rPr>
        <w:t>, t</w:t>
      </w:r>
      <w:r w:rsidR="006D7679" w:rsidRPr="00340B5E">
        <w:rPr>
          <w:color w:val="000000" w:themeColor="text1"/>
        </w:rPr>
        <w:t xml:space="preserve">he position of the SFC </w:t>
      </w:r>
      <w:r w:rsidR="006F4CE2">
        <w:rPr>
          <w:color w:val="000000" w:themeColor="text1"/>
        </w:rPr>
        <w:t>is</w:t>
      </w:r>
      <w:r w:rsidR="006D7679" w:rsidRPr="00340B5E">
        <w:rPr>
          <w:color w:val="000000" w:themeColor="text1"/>
        </w:rPr>
        <w:t xml:space="preserve"> as follows:</w:t>
      </w:r>
    </w:p>
    <w:p w14:paraId="05B2F57E" w14:textId="1B798C46" w:rsidR="006D7679" w:rsidRDefault="00373D62" w:rsidP="005C174D">
      <w:pPr>
        <w:pStyle w:val="points"/>
        <w:numPr>
          <w:ilvl w:val="0"/>
          <w:numId w:val="17"/>
        </w:numPr>
        <w:tabs>
          <w:tab w:val="clear" w:pos="1400"/>
        </w:tabs>
      </w:pPr>
      <w:r>
        <w:lastRenderedPageBreak/>
        <w:t>U</w:t>
      </w:r>
      <w:r w:rsidR="006D7679">
        <w:t>nless there is any change of circumstances, the SFC does not envisage that it will pursue the Petition against the 3</w:t>
      </w:r>
      <w:r w:rsidR="006D7679" w:rsidRPr="006D7679">
        <w:rPr>
          <w:vertAlign w:val="superscript"/>
        </w:rPr>
        <w:t>rd</w:t>
      </w:r>
      <w:r w:rsidR="006D7679">
        <w:t xml:space="preserve"> to 5</w:t>
      </w:r>
      <w:r w:rsidR="006D7679" w:rsidRPr="006D7679">
        <w:rPr>
          <w:vertAlign w:val="superscript"/>
        </w:rPr>
        <w:t>th</w:t>
      </w:r>
      <w:r w:rsidR="006D7679">
        <w:t xml:space="preserve"> respondents; </w:t>
      </w:r>
    </w:p>
    <w:p w14:paraId="7824C150" w14:textId="4E2C5744" w:rsidR="00F626AC" w:rsidRPr="008B182A" w:rsidRDefault="0096547A" w:rsidP="005C174D">
      <w:pPr>
        <w:pStyle w:val="points"/>
        <w:numPr>
          <w:ilvl w:val="0"/>
          <w:numId w:val="17"/>
        </w:numPr>
        <w:tabs>
          <w:tab w:val="clear" w:pos="1400"/>
        </w:tabs>
        <w:rPr>
          <w:color w:val="000000" w:themeColor="text1"/>
        </w:rPr>
      </w:pPr>
      <w:r>
        <w:rPr>
          <w:color w:val="000000" w:themeColor="text1"/>
        </w:rPr>
        <w:t xml:space="preserve">The SFC </w:t>
      </w:r>
      <w:r w:rsidRPr="00780BC6">
        <w:t>has</w:t>
      </w:r>
      <w:r>
        <w:rPr>
          <w:color w:val="000000" w:themeColor="text1"/>
        </w:rPr>
        <w:t xml:space="preserve"> </w:t>
      </w:r>
      <w:r w:rsidR="00821798">
        <w:rPr>
          <w:color w:val="000000" w:themeColor="text1"/>
        </w:rPr>
        <w:t>procured</w:t>
      </w:r>
      <w:r>
        <w:rPr>
          <w:color w:val="000000" w:themeColor="text1"/>
        </w:rPr>
        <w:t xml:space="preserve"> 4 interviewees to attend trial for cross-examination (see </w:t>
      </w:r>
      <w:r w:rsidRPr="00347463">
        <w:rPr>
          <w:color w:val="000000" w:themeColor="text1"/>
        </w:rPr>
        <w:t>§</w:t>
      </w:r>
      <w:r w:rsidR="005C68F2" w:rsidRPr="00347463">
        <w:rPr>
          <w:color w:val="000000" w:themeColor="text1"/>
        </w:rPr>
        <w:t>10</w:t>
      </w:r>
      <w:r w:rsidR="00C84DCF" w:rsidRPr="00347463">
        <w:rPr>
          <w:color w:val="000000" w:themeColor="text1"/>
        </w:rPr>
        <w:t>(1)-(4)</w:t>
      </w:r>
      <w:r>
        <w:rPr>
          <w:color w:val="000000" w:themeColor="text1"/>
        </w:rPr>
        <w:t xml:space="preserve"> </w:t>
      </w:r>
      <w:r>
        <w:t xml:space="preserve">below); </w:t>
      </w:r>
      <w:r w:rsidR="007D5FB4">
        <w:t>and</w:t>
      </w:r>
    </w:p>
    <w:p w14:paraId="0E71B783" w14:textId="0E99F1BB" w:rsidR="008B182A" w:rsidRPr="00650172" w:rsidRDefault="008B182A" w:rsidP="005C174D">
      <w:pPr>
        <w:pStyle w:val="points"/>
        <w:numPr>
          <w:ilvl w:val="0"/>
          <w:numId w:val="17"/>
        </w:numPr>
        <w:tabs>
          <w:tab w:val="clear" w:pos="1400"/>
        </w:tabs>
        <w:rPr>
          <w:color w:val="000000" w:themeColor="text1"/>
        </w:rPr>
      </w:pPr>
      <w:r>
        <w:t xml:space="preserve">There are 7 interviewees whose ROIs are in the trial bundles but will not attend trial for cross-examination </w:t>
      </w:r>
      <w:r w:rsidR="005E7C76">
        <w:t xml:space="preserve">(see </w:t>
      </w:r>
      <w:r w:rsidR="005E7C76" w:rsidRPr="00347463">
        <w:t>§</w:t>
      </w:r>
      <w:r w:rsidR="00F81F3D" w:rsidRPr="00347463">
        <w:t>1</w:t>
      </w:r>
      <w:r w:rsidR="005C68F2" w:rsidRPr="00347463">
        <w:t>2</w:t>
      </w:r>
      <w:r w:rsidR="005E7C76">
        <w:t xml:space="preserve"> below)</w:t>
      </w:r>
      <w:r w:rsidR="00AE6CFF">
        <w:t xml:space="preserve">.  </w:t>
      </w:r>
      <w:r w:rsidR="007B436D">
        <w:t>The SFC adduces the</w:t>
      </w:r>
      <w:r w:rsidR="001F6893">
        <w:t>ir</w:t>
      </w:r>
      <w:r w:rsidR="007B436D">
        <w:t xml:space="preserve"> ROIs as hearsay evidence, </w:t>
      </w:r>
      <w:r w:rsidR="001F6893">
        <w:t xml:space="preserve">and accepts that </w:t>
      </w:r>
      <w:r w:rsidR="007B436D">
        <w:t xml:space="preserve">it is for the </w:t>
      </w:r>
      <w:r w:rsidR="00E777E8">
        <w:t>c</w:t>
      </w:r>
      <w:r w:rsidR="007B436D">
        <w:t xml:space="preserve">ourt to decide what weight should be </w:t>
      </w:r>
      <w:r w:rsidR="001F6893">
        <w:t>given</w:t>
      </w:r>
      <w:r w:rsidR="007B436D">
        <w:t xml:space="preserve"> to </w:t>
      </w:r>
      <w:r w:rsidR="001F6893">
        <w:t xml:space="preserve">such </w:t>
      </w:r>
      <w:r w:rsidR="007B436D">
        <w:t>ROIs</w:t>
      </w:r>
      <w:r w:rsidR="00367E17">
        <w:t>.</w:t>
      </w:r>
    </w:p>
    <w:p w14:paraId="5A1143D8" w14:textId="21DEBA20" w:rsidR="00650172" w:rsidRPr="00160566" w:rsidRDefault="00650172" w:rsidP="0089369D">
      <w:pPr>
        <w:pStyle w:val="H-1"/>
        <w:tabs>
          <w:tab w:val="left" w:pos="720"/>
        </w:tabs>
        <w:rPr>
          <w:color w:val="000000" w:themeColor="text1"/>
        </w:rPr>
      </w:pPr>
      <w:r w:rsidRPr="00160566">
        <w:t>A2.</w:t>
      </w:r>
      <w:r w:rsidRPr="00160566">
        <w:tab/>
      </w:r>
      <w:r w:rsidR="009E3E52">
        <w:t>Role of the Company</w:t>
      </w:r>
    </w:p>
    <w:p w14:paraId="692A7F4B" w14:textId="72417C5F" w:rsidR="005F3BA2" w:rsidRDefault="00E777E8">
      <w:pPr>
        <w:pStyle w:val="Final"/>
        <w:numPr>
          <w:ilvl w:val="0"/>
          <w:numId w:val="2"/>
        </w:numPr>
        <w:tabs>
          <w:tab w:val="clear" w:pos="720"/>
          <w:tab w:val="num" w:pos="0"/>
        </w:tabs>
        <w:ind w:left="0" w:firstLine="0"/>
        <w:rPr>
          <w:color w:val="000000" w:themeColor="text1"/>
        </w:rPr>
      </w:pPr>
      <w:r>
        <w:rPr>
          <w:color w:val="000000" w:themeColor="text1"/>
        </w:rPr>
        <w:t>T</w:t>
      </w:r>
      <w:r w:rsidR="002E3553">
        <w:rPr>
          <w:color w:val="000000" w:themeColor="text1"/>
        </w:rPr>
        <w:t>he Company engaged Messrs</w:t>
      </w:r>
      <w:r w:rsidR="00AE6CFF">
        <w:rPr>
          <w:color w:val="000000" w:themeColor="text1"/>
        </w:rPr>
        <w:t xml:space="preserve">. </w:t>
      </w:r>
      <w:r w:rsidR="00321F30">
        <w:rPr>
          <w:color w:val="000000" w:themeColor="text1"/>
        </w:rPr>
        <w:t>Steven</w:t>
      </w:r>
      <w:r w:rsidR="005A7392">
        <w:rPr>
          <w:color w:val="000000" w:themeColor="text1"/>
        </w:rPr>
        <w:t>son,</w:t>
      </w:r>
      <w:r w:rsidR="00321F30">
        <w:rPr>
          <w:color w:val="000000" w:themeColor="text1"/>
        </w:rPr>
        <w:t xml:space="preserve"> Wong &amp; Co </w:t>
      </w:r>
      <w:r w:rsidR="00C52ACD">
        <w:rPr>
          <w:color w:val="000000" w:themeColor="text1"/>
        </w:rPr>
        <w:t>(“</w:t>
      </w:r>
      <w:r w:rsidR="00C52ACD" w:rsidRPr="009B3836">
        <w:rPr>
          <w:b/>
          <w:bCs/>
          <w:color w:val="000000" w:themeColor="text1"/>
        </w:rPr>
        <w:t>SWC</w:t>
      </w:r>
      <w:r w:rsidR="00C52ACD">
        <w:rPr>
          <w:color w:val="000000" w:themeColor="text1"/>
        </w:rPr>
        <w:t xml:space="preserve">”) </w:t>
      </w:r>
      <w:r w:rsidR="00321F30">
        <w:rPr>
          <w:color w:val="000000" w:themeColor="text1"/>
        </w:rPr>
        <w:t xml:space="preserve">and counsel </w:t>
      </w:r>
      <w:r w:rsidR="005F3BA2">
        <w:rPr>
          <w:color w:val="000000" w:themeColor="text1"/>
        </w:rPr>
        <w:t>Mr Thomas WK Wong</w:t>
      </w:r>
      <w:r w:rsidR="00984BFC">
        <w:rPr>
          <w:color w:val="000000" w:themeColor="text1"/>
        </w:rPr>
        <w:t xml:space="preserve"> to attend trial</w:t>
      </w:r>
      <w:r w:rsidR="00AE6CFF">
        <w:rPr>
          <w:color w:val="000000" w:themeColor="text1"/>
        </w:rPr>
        <w:t xml:space="preserve">.  </w:t>
      </w:r>
      <w:r w:rsidR="00984BFC">
        <w:rPr>
          <w:color w:val="000000" w:themeColor="text1"/>
        </w:rPr>
        <w:t xml:space="preserve">In his </w:t>
      </w:r>
      <w:r w:rsidR="005F3BA2">
        <w:rPr>
          <w:color w:val="000000" w:themeColor="text1"/>
        </w:rPr>
        <w:t xml:space="preserve">Opening, </w:t>
      </w:r>
      <w:r w:rsidR="00714DCF">
        <w:rPr>
          <w:color w:val="000000" w:themeColor="text1"/>
        </w:rPr>
        <w:t xml:space="preserve">Mr Wong </w:t>
      </w:r>
      <w:r w:rsidR="005F3BA2">
        <w:rPr>
          <w:color w:val="000000" w:themeColor="text1"/>
        </w:rPr>
        <w:t>state</w:t>
      </w:r>
      <w:r w:rsidR="005C4C5D">
        <w:rPr>
          <w:color w:val="000000" w:themeColor="text1"/>
        </w:rPr>
        <w:t>d</w:t>
      </w:r>
      <w:r w:rsidR="005F3BA2">
        <w:rPr>
          <w:color w:val="000000" w:themeColor="text1"/>
        </w:rPr>
        <w:t xml:space="preserve"> that the Company “does not contest” the relief sought in §3 of the prayer and “stays neutral” to the rest of the Petition</w:t>
      </w:r>
      <w:r w:rsidR="00AE6CFF">
        <w:rPr>
          <w:color w:val="000000" w:themeColor="text1"/>
        </w:rPr>
        <w:t xml:space="preserve">.  </w:t>
      </w:r>
      <w:r w:rsidR="005F3BA2">
        <w:rPr>
          <w:color w:val="000000" w:themeColor="text1"/>
        </w:rPr>
        <w:t>He points to the Affirmation of Feng Ji (“</w:t>
      </w:r>
      <w:r w:rsidR="005F3BA2" w:rsidRPr="00F13C50">
        <w:rPr>
          <w:b/>
          <w:bCs/>
          <w:color w:val="000000" w:themeColor="text1"/>
        </w:rPr>
        <w:t>Mr</w:t>
      </w:r>
      <w:r w:rsidR="005F3BA2">
        <w:rPr>
          <w:color w:val="000000" w:themeColor="text1"/>
        </w:rPr>
        <w:t xml:space="preserve"> </w:t>
      </w:r>
      <w:r w:rsidR="005F3BA2" w:rsidRPr="00D02493">
        <w:rPr>
          <w:b/>
          <w:color w:val="000000" w:themeColor="text1"/>
        </w:rPr>
        <w:t>Feng</w:t>
      </w:r>
      <w:r w:rsidR="005F3BA2">
        <w:rPr>
          <w:color w:val="000000" w:themeColor="text1"/>
        </w:rPr>
        <w:t xml:space="preserve">”) dated 24 December 2019 </w:t>
      </w:r>
      <w:r w:rsidR="00E16B8B">
        <w:rPr>
          <w:color w:val="000000" w:themeColor="text1"/>
        </w:rPr>
        <w:t xml:space="preserve">filed on behalf of the Company </w:t>
      </w:r>
      <w:r>
        <w:rPr>
          <w:color w:val="000000" w:themeColor="text1"/>
        </w:rPr>
        <w:t>(“</w:t>
      </w:r>
      <w:r w:rsidRPr="00B803E7">
        <w:rPr>
          <w:b/>
          <w:bCs/>
          <w:color w:val="000000" w:themeColor="text1"/>
        </w:rPr>
        <w:t xml:space="preserve">Feng </w:t>
      </w:r>
      <w:r>
        <w:rPr>
          <w:b/>
          <w:bCs/>
          <w:color w:val="000000" w:themeColor="text1"/>
        </w:rPr>
        <w:t>1</w:t>
      </w:r>
      <w:r w:rsidRPr="00FB1680">
        <w:rPr>
          <w:b/>
          <w:bCs/>
          <w:color w:val="000000" w:themeColor="text1"/>
          <w:vertAlign w:val="superscript"/>
        </w:rPr>
        <w:t>st</w:t>
      </w:r>
      <w:r>
        <w:rPr>
          <w:color w:val="000000" w:themeColor="text1"/>
        </w:rPr>
        <w:t>”)</w:t>
      </w:r>
      <w:r w:rsidR="005F3BA2">
        <w:rPr>
          <w:b/>
          <w:bCs/>
          <w:color w:val="000000" w:themeColor="text1"/>
        </w:rPr>
        <w:t xml:space="preserve"> </w:t>
      </w:r>
      <w:r w:rsidR="005F3BA2">
        <w:rPr>
          <w:color w:val="000000" w:themeColor="text1"/>
        </w:rPr>
        <w:t>and submit</w:t>
      </w:r>
      <w:r w:rsidR="005C4C5D">
        <w:rPr>
          <w:color w:val="000000" w:themeColor="text1"/>
        </w:rPr>
        <w:t>ted</w:t>
      </w:r>
      <w:r w:rsidR="005F3BA2">
        <w:rPr>
          <w:color w:val="000000" w:themeColor="text1"/>
        </w:rPr>
        <w:t xml:space="preserve"> that the Company “is not in a position to confirm / agree” to the various facts stated in the Statement of Agreed Facts because (1) the relevant financial records </w:t>
      </w:r>
      <w:r w:rsidR="004B5D0E">
        <w:rPr>
          <w:color w:val="000000" w:themeColor="text1"/>
        </w:rPr>
        <w:t xml:space="preserve">had been </w:t>
      </w:r>
      <w:r w:rsidR="005F3BA2">
        <w:rPr>
          <w:color w:val="000000" w:themeColor="text1"/>
        </w:rPr>
        <w:t xml:space="preserve">destroyed in fire; (2) the relevant banks </w:t>
      </w:r>
      <w:r w:rsidR="004B5D0E">
        <w:rPr>
          <w:color w:val="000000" w:themeColor="text1"/>
        </w:rPr>
        <w:t>had</w:t>
      </w:r>
      <w:r w:rsidR="005F3BA2">
        <w:rPr>
          <w:color w:val="000000" w:themeColor="text1"/>
        </w:rPr>
        <w:t xml:space="preserve"> not respond</w:t>
      </w:r>
      <w:r w:rsidR="004B5D0E">
        <w:rPr>
          <w:color w:val="000000" w:themeColor="text1"/>
        </w:rPr>
        <w:t>ed</w:t>
      </w:r>
      <w:r w:rsidR="005F3BA2">
        <w:rPr>
          <w:color w:val="000000" w:themeColor="text1"/>
        </w:rPr>
        <w:t xml:space="preserve"> to letters of enquiry or could not print out bank statements for the relevant period; and (3) the relevant personnel </w:t>
      </w:r>
      <w:r w:rsidR="004B5D0E">
        <w:rPr>
          <w:color w:val="000000" w:themeColor="text1"/>
        </w:rPr>
        <w:t xml:space="preserve">had </w:t>
      </w:r>
      <w:r w:rsidR="005F3BA2">
        <w:rPr>
          <w:color w:val="000000" w:themeColor="text1"/>
        </w:rPr>
        <w:t xml:space="preserve">left the Company and </w:t>
      </w:r>
      <w:r w:rsidR="004B5D0E">
        <w:rPr>
          <w:color w:val="000000" w:themeColor="text1"/>
        </w:rPr>
        <w:t xml:space="preserve">were </w:t>
      </w:r>
      <w:r w:rsidR="005F3BA2">
        <w:rPr>
          <w:color w:val="000000" w:themeColor="text1"/>
        </w:rPr>
        <w:t>untraceable</w:t>
      </w:r>
      <w:r w:rsidR="00AE6CFF">
        <w:rPr>
          <w:color w:val="000000" w:themeColor="text1"/>
        </w:rPr>
        <w:t xml:space="preserve">.  </w:t>
      </w:r>
    </w:p>
    <w:p w14:paraId="10A5D645" w14:textId="6F16CA94" w:rsidR="00BC7166" w:rsidRDefault="006853EB">
      <w:pPr>
        <w:pStyle w:val="Final"/>
        <w:numPr>
          <w:ilvl w:val="0"/>
          <w:numId w:val="2"/>
        </w:numPr>
        <w:tabs>
          <w:tab w:val="clear" w:pos="720"/>
          <w:tab w:val="num" w:pos="0"/>
        </w:tabs>
        <w:ind w:left="0" w:firstLine="0"/>
        <w:rPr>
          <w:color w:val="000000" w:themeColor="text1"/>
        </w:rPr>
      </w:pPr>
      <w:r>
        <w:rPr>
          <w:color w:val="000000" w:themeColor="text1"/>
        </w:rPr>
        <w:t xml:space="preserve">On the first day of trial, this Court </w:t>
      </w:r>
      <w:r w:rsidR="00A30471">
        <w:rPr>
          <w:color w:val="000000" w:themeColor="text1"/>
        </w:rPr>
        <w:t>observe</w:t>
      </w:r>
      <w:r w:rsidR="005C4C5D">
        <w:rPr>
          <w:color w:val="000000" w:themeColor="text1"/>
        </w:rPr>
        <w:t>d</w:t>
      </w:r>
      <w:r w:rsidR="00A30471">
        <w:rPr>
          <w:color w:val="000000" w:themeColor="text1"/>
        </w:rPr>
        <w:t xml:space="preserve"> </w:t>
      </w:r>
      <w:r w:rsidR="00BC7166">
        <w:rPr>
          <w:color w:val="000000" w:themeColor="text1"/>
        </w:rPr>
        <w:t xml:space="preserve">that the allegations made by the SFC are all directed </w:t>
      </w:r>
      <w:r w:rsidR="007F53E2">
        <w:rPr>
          <w:color w:val="000000" w:themeColor="text1"/>
        </w:rPr>
        <w:t xml:space="preserve">against </w:t>
      </w:r>
      <w:r w:rsidR="00BC7166">
        <w:rPr>
          <w:color w:val="000000" w:themeColor="text1"/>
        </w:rPr>
        <w:t xml:space="preserve">the </w:t>
      </w:r>
      <w:r w:rsidR="005E6AC9">
        <w:rPr>
          <w:color w:val="000000" w:themeColor="text1"/>
        </w:rPr>
        <w:t>2</w:t>
      </w:r>
      <w:r w:rsidR="005E6AC9" w:rsidRPr="005E6AC9">
        <w:rPr>
          <w:color w:val="000000" w:themeColor="text1"/>
          <w:vertAlign w:val="superscript"/>
        </w:rPr>
        <w:t>nd</w:t>
      </w:r>
      <w:r w:rsidR="005E6AC9">
        <w:rPr>
          <w:color w:val="000000" w:themeColor="text1"/>
        </w:rPr>
        <w:t xml:space="preserve"> to 5</w:t>
      </w:r>
      <w:r w:rsidR="005E6AC9" w:rsidRPr="005E6AC9">
        <w:rPr>
          <w:color w:val="000000" w:themeColor="text1"/>
          <w:vertAlign w:val="superscript"/>
        </w:rPr>
        <w:t>th</w:t>
      </w:r>
      <w:r w:rsidR="005E6AC9">
        <w:rPr>
          <w:color w:val="000000" w:themeColor="text1"/>
        </w:rPr>
        <w:t xml:space="preserve"> </w:t>
      </w:r>
      <w:r w:rsidR="00BC7166">
        <w:rPr>
          <w:color w:val="000000" w:themeColor="text1"/>
        </w:rPr>
        <w:lastRenderedPageBreak/>
        <w:t>respondents, who are former directors of the Company</w:t>
      </w:r>
      <w:r w:rsidR="00843BBA">
        <w:rPr>
          <w:color w:val="000000" w:themeColor="text1"/>
        </w:rPr>
        <w:t>,</w:t>
      </w:r>
      <w:r w:rsidR="00BC7166">
        <w:rPr>
          <w:color w:val="000000" w:themeColor="text1"/>
        </w:rPr>
        <w:t xml:space="preserve"> and the relief is sought for the benefit of the Company</w:t>
      </w:r>
      <w:r w:rsidR="00AE6CFF">
        <w:rPr>
          <w:color w:val="000000" w:themeColor="text1"/>
        </w:rPr>
        <w:t xml:space="preserve">.  </w:t>
      </w:r>
      <w:r w:rsidR="00A30471">
        <w:rPr>
          <w:color w:val="000000" w:themeColor="text1"/>
        </w:rPr>
        <w:t>As the Company is neutral and does not seek to cross-examine any of the witnesses</w:t>
      </w:r>
      <w:r w:rsidR="00CA52C7">
        <w:rPr>
          <w:color w:val="000000" w:themeColor="text1"/>
        </w:rPr>
        <w:t xml:space="preserve"> </w:t>
      </w:r>
      <w:r w:rsidR="00CA52C7" w:rsidRPr="006D6AA5">
        <w:rPr>
          <w:color w:val="000000" w:themeColor="text1"/>
        </w:rPr>
        <w:t>or make any submissions on the relief sought</w:t>
      </w:r>
      <w:r w:rsidR="005F459B" w:rsidRPr="006D6AA5">
        <w:rPr>
          <w:color w:val="000000" w:themeColor="text1"/>
        </w:rPr>
        <w:t xml:space="preserve"> </w:t>
      </w:r>
      <w:r w:rsidR="00CC3FC1">
        <w:rPr>
          <w:color w:val="000000" w:themeColor="text1"/>
        </w:rPr>
        <w:t>in the Petition</w:t>
      </w:r>
      <w:r w:rsidR="00A30471">
        <w:rPr>
          <w:color w:val="000000" w:themeColor="text1"/>
        </w:rPr>
        <w:t xml:space="preserve">, it is not clear why the directors considered </w:t>
      </w:r>
      <w:r w:rsidR="00316F0C">
        <w:rPr>
          <w:color w:val="000000" w:themeColor="text1"/>
        </w:rPr>
        <w:t xml:space="preserve">that </w:t>
      </w:r>
      <w:r w:rsidR="00A30471">
        <w:rPr>
          <w:color w:val="000000" w:themeColor="text1"/>
        </w:rPr>
        <w:t xml:space="preserve">it </w:t>
      </w:r>
      <w:r w:rsidR="00316F0C">
        <w:rPr>
          <w:color w:val="000000" w:themeColor="text1"/>
        </w:rPr>
        <w:t>would be</w:t>
      </w:r>
      <w:r w:rsidR="00A30471">
        <w:rPr>
          <w:color w:val="000000" w:themeColor="text1"/>
        </w:rPr>
        <w:t xml:space="preserve"> in the interests of the Company to engage SWC and counsel to attend trial</w:t>
      </w:r>
      <w:r w:rsidR="00AE6CFF">
        <w:rPr>
          <w:color w:val="000000" w:themeColor="text1"/>
        </w:rPr>
        <w:t xml:space="preserve">.  </w:t>
      </w:r>
      <w:r w:rsidR="009B3AE5">
        <w:rPr>
          <w:color w:val="000000" w:themeColor="text1"/>
        </w:rPr>
        <w:t xml:space="preserve">If the </w:t>
      </w:r>
      <w:r w:rsidR="00CC3FC1">
        <w:rPr>
          <w:color w:val="000000" w:themeColor="text1"/>
        </w:rPr>
        <w:t>c</w:t>
      </w:r>
      <w:r w:rsidR="009B3AE5">
        <w:rPr>
          <w:color w:val="000000" w:themeColor="text1"/>
        </w:rPr>
        <w:t xml:space="preserve">ourt </w:t>
      </w:r>
      <w:r w:rsidR="00246E48">
        <w:rPr>
          <w:color w:val="000000" w:themeColor="text1"/>
        </w:rPr>
        <w:t xml:space="preserve">is not satisfied that </w:t>
      </w:r>
      <w:r w:rsidR="009B3AE5">
        <w:rPr>
          <w:color w:val="000000" w:themeColor="text1"/>
        </w:rPr>
        <w:t xml:space="preserve">the attendance of solicitors and counsel at </w:t>
      </w:r>
      <w:r w:rsidR="00D72D2C">
        <w:rPr>
          <w:color w:val="000000" w:themeColor="text1"/>
        </w:rPr>
        <w:t>trial i</w:t>
      </w:r>
      <w:r w:rsidR="009B3AE5">
        <w:rPr>
          <w:color w:val="000000" w:themeColor="text1"/>
        </w:rPr>
        <w:t>s necessary</w:t>
      </w:r>
      <w:r w:rsidR="00D72D2C">
        <w:rPr>
          <w:color w:val="000000" w:themeColor="text1"/>
        </w:rPr>
        <w:t xml:space="preserve"> for the fair disposal of the Petition</w:t>
      </w:r>
      <w:r w:rsidR="009B3AE5">
        <w:rPr>
          <w:color w:val="000000" w:themeColor="text1"/>
        </w:rPr>
        <w:t xml:space="preserve">, </w:t>
      </w:r>
      <w:r w:rsidR="00AB52A9">
        <w:rPr>
          <w:color w:val="000000" w:themeColor="text1"/>
        </w:rPr>
        <w:t xml:space="preserve">it may </w:t>
      </w:r>
      <w:r w:rsidR="00494250">
        <w:rPr>
          <w:color w:val="000000" w:themeColor="text1"/>
        </w:rPr>
        <w:t>consider ordering the costs incurred by the Company to be paid by the directors</w:t>
      </w:r>
      <w:r w:rsidR="00AE6CFF">
        <w:rPr>
          <w:color w:val="000000" w:themeColor="text1"/>
        </w:rPr>
        <w:t xml:space="preserve">.  </w:t>
      </w:r>
      <w:r w:rsidR="007E0C30">
        <w:rPr>
          <w:color w:val="000000" w:themeColor="text1"/>
        </w:rPr>
        <w:t xml:space="preserve">Before the commencement of Day 2 of trial, SWC </w:t>
      </w:r>
      <w:r w:rsidR="00E16B8B">
        <w:rPr>
          <w:color w:val="000000" w:themeColor="text1"/>
        </w:rPr>
        <w:t>conf</w:t>
      </w:r>
      <w:r w:rsidR="00E16B8B" w:rsidRPr="000F3BE5">
        <w:rPr>
          <w:color w:val="000000" w:themeColor="text1"/>
        </w:rPr>
        <w:t>irmed</w:t>
      </w:r>
      <w:r w:rsidR="00E16B8B">
        <w:rPr>
          <w:color w:val="000000" w:themeColor="text1"/>
        </w:rPr>
        <w:t xml:space="preserve"> </w:t>
      </w:r>
      <w:r w:rsidR="007E0C30">
        <w:rPr>
          <w:color w:val="000000" w:themeColor="text1"/>
        </w:rPr>
        <w:t xml:space="preserve">that </w:t>
      </w:r>
      <w:r w:rsidR="00C86D7A" w:rsidRPr="00347463">
        <w:rPr>
          <w:color w:val="000000" w:themeColor="text1"/>
        </w:rPr>
        <w:t xml:space="preserve">they </w:t>
      </w:r>
      <w:r w:rsidR="007E0C30" w:rsidRPr="00347463">
        <w:rPr>
          <w:color w:val="000000" w:themeColor="text1"/>
        </w:rPr>
        <w:t xml:space="preserve">would not </w:t>
      </w:r>
      <w:r w:rsidR="00E16B8B" w:rsidRPr="00347463">
        <w:rPr>
          <w:color w:val="000000" w:themeColor="text1"/>
        </w:rPr>
        <w:t xml:space="preserve">attend the remaining days of </w:t>
      </w:r>
      <w:r w:rsidR="007E0C30" w:rsidRPr="00347463">
        <w:rPr>
          <w:color w:val="000000" w:themeColor="text1"/>
        </w:rPr>
        <w:t>trial</w:t>
      </w:r>
      <w:r w:rsidR="00E16B8B" w:rsidRPr="00347463">
        <w:rPr>
          <w:color w:val="000000" w:themeColor="text1"/>
        </w:rPr>
        <w:t xml:space="preserve"> unless otherwise directed by the </w:t>
      </w:r>
      <w:r w:rsidR="0068094E">
        <w:rPr>
          <w:color w:val="000000" w:themeColor="text1"/>
        </w:rPr>
        <w:t>c</w:t>
      </w:r>
      <w:r w:rsidR="00E16B8B" w:rsidRPr="00347463">
        <w:rPr>
          <w:color w:val="000000" w:themeColor="text1"/>
        </w:rPr>
        <w:t>ourt</w:t>
      </w:r>
      <w:r w:rsidR="007E0C30">
        <w:rPr>
          <w:color w:val="000000" w:themeColor="text1"/>
        </w:rPr>
        <w:t>.</w:t>
      </w:r>
    </w:p>
    <w:p w14:paraId="792BB0D7" w14:textId="636B6937" w:rsidR="00566F9F" w:rsidRPr="00D60754" w:rsidRDefault="00331B9B" w:rsidP="00F07B94">
      <w:pPr>
        <w:pStyle w:val="H-1"/>
        <w:tabs>
          <w:tab w:val="left" w:pos="720"/>
        </w:tabs>
      </w:pPr>
      <w:r>
        <w:t>A3</w:t>
      </w:r>
      <w:r w:rsidR="00D60754" w:rsidRPr="00D60754">
        <w:t>.</w:t>
      </w:r>
      <w:r w:rsidR="00D60754" w:rsidRPr="00D60754">
        <w:tab/>
      </w:r>
      <w:r>
        <w:t>Factual Witnesses</w:t>
      </w:r>
    </w:p>
    <w:p w14:paraId="558B45B5" w14:textId="51E2E16B" w:rsidR="00A1242F" w:rsidRDefault="00A1242F" w:rsidP="00CA2D2C">
      <w:pPr>
        <w:pStyle w:val="Final"/>
        <w:numPr>
          <w:ilvl w:val="0"/>
          <w:numId w:val="2"/>
        </w:numPr>
        <w:tabs>
          <w:tab w:val="clear" w:pos="720"/>
          <w:tab w:val="num" w:pos="0"/>
        </w:tabs>
        <w:ind w:left="0" w:firstLine="0"/>
        <w:rPr>
          <w:color w:val="000000" w:themeColor="text1"/>
        </w:rPr>
      </w:pPr>
      <w:r>
        <w:rPr>
          <w:color w:val="000000" w:themeColor="text1"/>
        </w:rPr>
        <w:t xml:space="preserve">The </w:t>
      </w:r>
      <w:r w:rsidR="00232A22">
        <w:rPr>
          <w:color w:val="000000" w:themeColor="text1"/>
        </w:rPr>
        <w:t>SFC</w:t>
      </w:r>
      <w:r w:rsidR="006010D6">
        <w:rPr>
          <w:color w:val="000000" w:themeColor="text1"/>
        </w:rPr>
        <w:t xml:space="preserve"> call</w:t>
      </w:r>
      <w:r w:rsidR="005C4C5D">
        <w:rPr>
          <w:color w:val="000000" w:themeColor="text1"/>
        </w:rPr>
        <w:t>ed</w:t>
      </w:r>
      <w:r w:rsidR="006010D6">
        <w:rPr>
          <w:color w:val="000000" w:themeColor="text1"/>
        </w:rPr>
        <w:t xml:space="preserve"> </w:t>
      </w:r>
      <w:r w:rsidR="00644800">
        <w:rPr>
          <w:color w:val="000000" w:themeColor="text1"/>
        </w:rPr>
        <w:t xml:space="preserve">the following factual </w:t>
      </w:r>
      <w:r w:rsidR="006010D6">
        <w:rPr>
          <w:color w:val="000000" w:themeColor="text1"/>
        </w:rPr>
        <w:t>witnesses</w:t>
      </w:r>
      <w:r>
        <w:rPr>
          <w:color w:val="000000" w:themeColor="text1"/>
        </w:rPr>
        <w:t>:</w:t>
      </w:r>
    </w:p>
    <w:p w14:paraId="64C4662C" w14:textId="0AFCE640" w:rsidR="008A5678" w:rsidRPr="00CE1BFF" w:rsidRDefault="00CE3E05" w:rsidP="008556B7">
      <w:pPr>
        <w:pStyle w:val="points"/>
        <w:numPr>
          <w:ilvl w:val="0"/>
          <w:numId w:val="56"/>
        </w:numPr>
        <w:tabs>
          <w:tab w:val="clear" w:pos="1400"/>
        </w:tabs>
      </w:pPr>
      <w:r>
        <w:rPr>
          <w:color w:val="000000" w:themeColor="text1"/>
        </w:rPr>
        <w:t xml:space="preserve">Ms Wang </w:t>
      </w:r>
      <w:proofErr w:type="spellStart"/>
      <w:r>
        <w:rPr>
          <w:color w:val="000000" w:themeColor="text1"/>
        </w:rPr>
        <w:t>Linlin</w:t>
      </w:r>
      <w:proofErr w:type="spellEnd"/>
      <w:r>
        <w:rPr>
          <w:color w:val="000000" w:themeColor="text1"/>
        </w:rPr>
        <w:t xml:space="preserve"> Freya (“</w:t>
      </w:r>
      <w:r w:rsidR="00367160" w:rsidRPr="0039229A">
        <w:rPr>
          <w:b/>
          <w:bCs/>
          <w:color w:val="000000" w:themeColor="text1"/>
        </w:rPr>
        <w:t xml:space="preserve">Ms </w:t>
      </w:r>
      <w:r w:rsidRPr="00D02493">
        <w:rPr>
          <w:b/>
          <w:color w:val="000000" w:themeColor="text1"/>
        </w:rPr>
        <w:t>Wang</w:t>
      </w:r>
      <w:r>
        <w:rPr>
          <w:color w:val="000000" w:themeColor="text1"/>
        </w:rPr>
        <w:t>”)</w:t>
      </w:r>
      <w:r w:rsidR="00554B04">
        <w:rPr>
          <w:color w:val="000000" w:themeColor="text1"/>
        </w:rPr>
        <w:t xml:space="preserve"> </w:t>
      </w:r>
      <w:r w:rsidR="009D2011">
        <w:rPr>
          <w:color w:val="000000" w:themeColor="text1"/>
        </w:rPr>
        <w:t xml:space="preserve">of </w:t>
      </w:r>
      <w:r>
        <w:rPr>
          <w:color w:val="000000" w:themeColor="text1"/>
        </w:rPr>
        <w:t xml:space="preserve">Deloitte </w:t>
      </w:r>
      <w:proofErr w:type="spellStart"/>
      <w:r>
        <w:rPr>
          <w:color w:val="000000" w:themeColor="text1"/>
        </w:rPr>
        <w:t>Touche</w:t>
      </w:r>
      <w:proofErr w:type="spellEnd"/>
      <w:r>
        <w:rPr>
          <w:color w:val="000000" w:themeColor="text1"/>
        </w:rPr>
        <w:t xml:space="preserve"> Tohmatsu Certified Public Accountants LLP</w:t>
      </w:r>
      <w:r w:rsidR="00554B04">
        <w:rPr>
          <w:color w:val="000000" w:themeColor="text1"/>
        </w:rPr>
        <w:t>, Beijing office</w:t>
      </w:r>
      <w:r>
        <w:rPr>
          <w:color w:val="000000" w:themeColor="text1"/>
        </w:rPr>
        <w:t xml:space="preserve"> (“</w:t>
      </w:r>
      <w:r>
        <w:rPr>
          <w:b/>
          <w:bCs/>
          <w:color w:val="000000" w:themeColor="text1"/>
        </w:rPr>
        <w:t>Deloitte B</w:t>
      </w:r>
      <w:r w:rsidR="00624FB2">
        <w:rPr>
          <w:b/>
          <w:bCs/>
          <w:color w:val="000000" w:themeColor="text1"/>
        </w:rPr>
        <w:t>J</w:t>
      </w:r>
      <w:r>
        <w:rPr>
          <w:color w:val="000000" w:themeColor="text1"/>
        </w:rPr>
        <w:t>”)</w:t>
      </w:r>
      <w:r w:rsidR="00AE6CFF">
        <w:rPr>
          <w:color w:val="000000" w:themeColor="text1"/>
        </w:rPr>
        <w:t xml:space="preserve">.  </w:t>
      </w:r>
      <w:r w:rsidR="006C7ED8">
        <w:rPr>
          <w:color w:val="000000" w:themeColor="text1"/>
        </w:rPr>
        <w:t xml:space="preserve">She was </w:t>
      </w:r>
      <w:r w:rsidR="00E3451E">
        <w:rPr>
          <w:color w:val="000000" w:themeColor="text1"/>
        </w:rPr>
        <w:t>interviewed by the China Securities Regulatory Commission (“</w:t>
      </w:r>
      <w:r w:rsidR="00E3451E" w:rsidRPr="00A512DE">
        <w:rPr>
          <w:b/>
          <w:bCs/>
          <w:color w:val="000000" w:themeColor="text1"/>
        </w:rPr>
        <w:t>CSRC</w:t>
      </w:r>
      <w:r w:rsidR="00E3451E">
        <w:rPr>
          <w:color w:val="000000" w:themeColor="text1"/>
        </w:rPr>
        <w:t xml:space="preserve">”) </w:t>
      </w:r>
      <w:r w:rsidR="00391AEF">
        <w:rPr>
          <w:color w:val="000000" w:themeColor="text1"/>
        </w:rPr>
        <w:t xml:space="preserve">in Beijing </w:t>
      </w:r>
      <w:r w:rsidR="00E3451E">
        <w:rPr>
          <w:color w:val="000000" w:themeColor="text1"/>
        </w:rPr>
        <w:t xml:space="preserve">on </w:t>
      </w:r>
      <w:r>
        <w:rPr>
          <w:color w:val="000000" w:themeColor="text1"/>
        </w:rPr>
        <w:t xml:space="preserve">26 April 2017 </w:t>
      </w:r>
      <w:r w:rsidR="00EF6530">
        <w:rPr>
          <w:color w:val="000000" w:themeColor="text1"/>
        </w:rPr>
        <w:t xml:space="preserve">and her answers were recorded in </w:t>
      </w:r>
      <w:r w:rsidR="00BC30F7">
        <w:rPr>
          <w:color w:val="000000" w:themeColor="text1"/>
        </w:rPr>
        <w:t>ROI</w:t>
      </w:r>
      <w:r w:rsidR="00826189">
        <w:rPr>
          <w:color w:val="000000" w:themeColor="text1"/>
        </w:rPr>
        <w:t xml:space="preserve"> </w:t>
      </w:r>
      <w:r w:rsidR="00EF6530">
        <w:rPr>
          <w:color w:val="000000" w:themeColor="text1"/>
        </w:rPr>
        <w:t>o</w:t>
      </w:r>
      <w:r w:rsidR="00F00003">
        <w:rPr>
          <w:color w:val="000000" w:themeColor="text1"/>
        </w:rPr>
        <w:t>f</w:t>
      </w:r>
      <w:r w:rsidR="00340EC1">
        <w:rPr>
          <w:color w:val="000000" w:themeColor="text1"/>
        </w:rPr>
        <w:t xml:space="preserve"> </w:t>
      </w:r>
      <w:r w:rsidR="00EF6530">
        <w:rPr>
          <w:color w:val="000000" w:themeColor="text1"/>
        </w:rPr>
        <w:t>the same da</w:t>
      </w:r>
      <w:r w:rsidR="00F00003">
        <w:rPr>
          <w:color w:val="000000" w:themeColor="text1"/>
        </w:rPr>
        <w:t>te</w:t>
      </w:r>
      <w:r w:rsidR="00AE6CFF" w:rsidRPr="00347463">
        <w:rPr>
          <w:color w:val="000000" w:themeColor="text1"/>
        </w:rPr>
        <w:t>.</w:t>
      </w:r>
      <w:r w:rsidR="00AE6CFF">
        <w:rPr>
          <w:b/>
          <w:color w:val="000000" w:themeColor="text1"/>
        </w:rPr>
        <w:t xml:space="preserve">  </w:t>
      </w:r>
      <w:r w:rsidR="00CE1BFF">
        <w:rPr>
          <w:color w:val="000000" w:themeColor="text1"/>
        </w:rPr>
        <w:t>From October 2013</w:t>
      </w:r>
      <w:r w:rsidR="00027A53">
        <w:rPr>
          <w:color w:val="000000" w:themeColor="text1"/>
        </w:rPr>
        <w:t xml:space="preserve"> onwards</w:t>
      </w:r>
      <w:r w:rsidR="00CE1BFF">
        <w:rPr>
          <w:color w:val="000000" w:themeColor="text1"/>
        </w:rPr>
        <w:t xml:space="preserve">, </w:t>
      </w:r>
      <w:r w:rsidR="00554B04">
        <w:rPr>
          <w:color w:val="000000" w:themeColor="text1"/>
        </w:rPr>
        <w:t xml:space="preserve">Ms </w:t>
      </w:r>
      <w:r w:rsidR="00CE1BFF">
        <w:rPr>
          <w:color w:val="000000" w:themeColor="text1"/>
        </w:rPr>
        <w:t xml:space="preserve">Wang </w:t>
      </w:r>
      <w:r w:rsidR="00706EA4">
        <w:rPr>
          <w:color w:val="000000" w:themeColor="text1"/>
        </w:rPr>
        <w:t xml:space="preserve">performed audit work in relation to the bank accounts, fixed assets and sales management fees of the companies within the “Group” (as defined </w:t>
      </w:r>
      <w:r w:rsidR="00706EA4" w:rsidRPr="00340EC1">
        <w:t>in</w:t>
      </w:r>
      <w:r w:rsidR="00706EA4">
        <w:t xml:space="preserve"> </w:t>
      </w:r>
      <w:r w:rsidR="00706EA4" w:rsidRPr="00347463">
        <w:t>§1</w:t>
      </w:r>
      <w:r w:rsidR="007E2818" w:rsidRPr="00347463">
        <w:t>2</w:t>
      </w:r>
      <w:r w:rsidR="00706EA4" w:rsidRPr="00347463">
        <w:t>(4)</w:t>
      </w:r>
      <w:r w:rsidR="00706EA4">
        <w:t xml:space="preserve"> </w:t>
      </w:r>
      <w:r w:rsidR="00706EA4" w:rsidRPr="00340EC1">
        <w:t>below</w:t>
      </w:r>
      <w:r w:rsidR="00706EA4">
        <w:rPr>
          <w:color w:val="000000" w:themeColor="text1"/>
        </w:rPr>
        <w:t xml:space="preserve">) as part of the </w:t>
      </w:r>
      <w:r w:rsidR="00CE1BFF">
        <w:rPr>
          <w:color w:val="000000" w:themeColor="text1"/>
        </w:rPr>
        <w:t xml:space="preserve">audit on the </w:t>
      </w:r>
      <w:r w:rsidR="00436224">
        <w:rPr>
          <w:color w:val="000000" w:themeColor="text1"/>
        </w:rPr>
        <w:t xml:space="preserve">consolidated </w:t>
      </w:r>
      <w:r w:rsidR="00CE1BFF">
        <w:rPr>
          <w:color w:val="000000" w:themeColor="text1"/>
        </w:rPr>
        <w:t xml:space="preserve">financial statements of </w:t>
      </w:r>
      <w:r w:rsidR="002B4AA0">
        <w:rPr>
          <w:color w:val="000000" w:themeColor="text1"/>
        </w:rPr>
        <w:t>t</w:t>
      </w:r>
      <w:r w:rsidR="00FA6553">
        <w:rPr>
          <w:color w:val="000000" w:themeColor="text1"/>
        </w:rPr>
        <w:t xml:space="preserve">he </w:t>
      </w:r>
      <w:r w:rsidR="00DE5282">
        <w:rPr>
          <w:color w:val="000000" w:themeColor="text1"/>
        </w:rPr>
        <w:t>Group</w:t>
      </w:r>
      <w:r w:rsidR="002B4AA0">
        <w:rPr>
          <w:color w:val="000000" w:themeColor="text1"/>
        </w:rPr>
        <w:t xml:space="preserve"> </w:t>
      </w:r>
      <w:r w:rsidR="00CE1BFF">
        <w:rPr>
          <w:color w:val="000000" w:themeColor="text1"/>
        </w:rPr>
        <w:t>for the year ended 31 December 2013 (“</w:t>
      </w:r>
      <w:r w:rsidR="00CE1BFF" w:rsidRPr="00CE1BFF">
        <w:rPr>
          <w:b/>
          <w:bCs/>
          <w:color w:val="000000" w:themeColor="text1"/>
        </w:rPr>
        <w:t>2013 AFS</w:t>
      </w:r>
      <w:r w:rsidR="00CE1BFF">
        <w:rPr>
          <w:color w:val="000000" w:themeColor="text1"/>
        </w:rPr>
        <w:t>”) and.</w:t>
      </w:r>
    </w:p>
    <w:p w14:paraId="76649439" w14:textId="705A2623" w:rsidR="00CE1BFF" w:rsidRDefault="00CE1BFF" w:rsidP="008556B7">
      <w:pPr>
        <w:pStyle w:val="points"/>
        <w:numPr>
          <w:ilvl w:val="0"/>
          <w:numId w:val="56"/>
        </w:numPr>
        <w:tabs>
          <w:tab w:val="clear" w:pos="1400"/>
        </w:tabs>
        <w:rPr>
          <w:color w:val="000000" w:themeColor="text1"/>
        </w:rPr>
      </w:pPr>
      <w:r>
        <w:rPr>
          <w:color w:val="000000" w:themeColor="text1"/>
        </w:rPr>
        <w:t xml:space="preserve">Mr Yu Man </w:t>
      </w:r>
      <w:proofErr w:type="gramStart"/>
      <w:r>
        <w:rPr>
          <w:color w:val="000000" w:themeColor="text1"/>
        </w:rPr>
        <w:t>To</w:t>
      </w:r>
      <w:proofErr w:type="gramEnd"/>
      <w:r>
        <w:rPr>
          <w:color w:val="000000" w:themeColor="text1"/>
        </w:rPr>
        <w:t xml:space="preserve"> Gerald Maximillian (“</w:t>
      </w:r>
      <w:r w:rsidR="001C18A3" w:rsidRPr="00F22F99">
        <w:rPr>
          <w:b/>
          <w:bCs/>
          <w:color w:val="000000" w:themeColor="text1"/>
        </w:rPr>
        <w:t xml:space="preserve">Mr </w:t>
      </w:r>
      <w:r w:rsidRPr="00D02493">
        <w:rPr>
          <w:b/>
          <w:color w:val="000000" w:themeColor="text1"/>
        </w:rPr>
        <w:t>Yu</w:t>
      </w:r>
      <w:r>
        <w:rPr>
          <w:color w:val="000000" w:themeColor="text1"/>
        </w:rPr>
        <w:t>”), the Chief Financial Officer (“</w:t>
      </w:r>
      <w:r w:rsidRPr="00D02493">
        <w:rPr>
          <w:b/>
          <w:color w:val="000000" w:themeColor="text1"/>
        </w:rPr>
        <w:t>CFO</w:t>
      </w:r>
      <w:r>
        <w:rPr>
          <w:color w:val="000000" w:themeColor="text1"/>
        </w:rPr>
        <w:t xml:space="preserve">”) and Joint Company Secretary of </w:t>
      </w:r>
      <w:r w:rsidR="002B4AA0">
        <w:rPr>
          <w:color w:val="000000" w:themeColor="text1"/>
        </w:rPr>
        <w:lastRenderedPageBreak/>
        <w:t>t</w:t>
      </w:r>
      <w:r w:rsidR="00FA6553">
        <w:rPr>
          <w:color w:val="000000" w:themeColor="text1"/>
        </w:rPr>
        <w:t>he Company</w:t>
      </w:r>
      <w:r w:rsidR="002B4AA0">
        <w:rPr>
          <w:color w:val="000000" w:themeColor="text1"/>
        </w:rPr>
        <w:t xml:space="preserve"> </w:t>
      </w:r>
      <w:r w:rsidR="004C0389">
        <w:rPr>
          <w:color w:val="000000" w:themeColor="text1"/>
        </w:rPr>
        <w:t>from 21 June 2011 to 28 February 2013</w:t>
      </w:r>
      <w:r w:rsidR="00AE6CFF">
        <w:rPr>
          <w:color w:val="000000" w:themeColor="text1"/>
        </w:rPr>
        <w:t xml:space="preserve">.  </w:t>
      </w:r>
      <w:r w:rsidR="000D7279">
        <w:rPr>
          <w:color w:val="000000" w:themeColor="text1"/>
        </w:rPr>
        <w:t xml:space="preserve">He was interviewed by the SFC </w:t>
      </w:r>
      <w:r w:rsidR="005A7392">
        <w:rPr>
          <w:color w:val="000000" w:themeColor="text1"/>
        </w:rPr>
        <w:t xml:space="preserve">on 18 May 2017 </w:t>
      </w:r>
      <w:r w:rsidR="000D7279">
        <w:rPr>
          <w:color w:val="000000" w:themeColor="text1"/>
        </w:rPr>
        <w:t>and his answers were recorded in ROI o</w:t>
      </w:r>
      <w:r w:rsidR="00F00003">
        <w:rPr>
          <w:color w:val="000000" w:themeColor="text1"/>
        </w:rPr>
        <w:t>f</w:t>
      </w:r>
      <w:r w:rsidR="000D7279">
        <w:rPr>
          <w:color w:val="000000" w:themeColor="text1"/>
        </w:rPr>
        <w:t xml:space="preserve"> the same </w:t>
      </w:r>
      <w:r>
        <w:rPr>
          <w:color w:val="000000" w:themeColor="text1"/>
        </w:rPr>
        <w:t>da</w:t>
      </w:r>
      <w:r w:rsidR="00F00003">
        <w:rPr>
          <w:color w:val="000000" w:themeColor="text1"/>
        </w:rPr>
        <w:t>te</w:t>
      </w:r>
      <w:r w:rsidR="00340EC1">
        <w:rPr>
          <w:color w:val="000000" w:themeColor="text1"/>
        </w:rPr>
        <w:t>.</w:t>
      </w:r>
    </w:p>
    <w:p w14:paraId="3DC92252" w14:textId="50882F8A" w:rsidR="00CE1BFF" w:rsidRDefault="002C619D" w:rsidP="008556B7">
      <w:pPr>
        <w:pStyle w:val="points"/>
        <w:numPr>
          <w:ilvl w:val="0"/>
          <w:numId w:val="56"/>
        </w:numPr>
        <w:tabs>
          <w:tab w:val="clear" w:pos="1400"/>
        </w:tabs>
      </w:pPr>
      <w:r>
        <w:t xml:space="preserve">Mr </w:t>
      </w:r>
      <w:proofErr w:type="spellStart"/>
      <w:r>
        <w:t>Seow</w:t>
      </w:r>
      <w:proofErr w:type="spellEnd"/>
      <w:r>
        <w:t xml:space="preserve"> Han Chiang Winston (“</w:t>
      </w:r>
      <w:r w:rsidR="004131EF" w:rsidRPr="001C18A3">
        <w:rPr>
          <w:b/>
          <w:bCs/>
        </w:rPr>
        <w:t xml:space="preserve">Mr </w:t>
      </w:r>
      <w:proofErr w:type="spellStart"/>
      <w:r w:rsidRPr="00D02493">
        <w:rPr>
          <w:b/>
        </w:rPr>
        <w:t>Seow</w:t>
      </w:r>
      <w:proofErr w:type="spellEnd"/>
      <w:r>
        <w:t>”), an Independent Non-Executive Director (“</w:t>
      </w:r>
      <w:r w:rsidRPr="00D02493">
        <w:rPr>
          <w:b/>
        </w:rPr>
        <w:t>INED</w:t>
      </w:r>
      <w:r>
        <w:t xml:space="preserve">”) of </w:t>
      </w:r>
      <w:r w:rsidR="002B4AA0">
        <w:t>t</w:t>
      </w:r>
      <w:r w:rsidR="00FA6553">
        <w:t>he Company</w:t>
      </w:r>
      <w:r w:rsidR="002B4AA0">
        <w:t xml:space="preserve"> </w:t>
      </w:r>
      <w:r w:rsidR="00446C6B">
        <w:t>from 24</w:t>
      </w:r>
      <w:r w:rsidR="005C68F2">
        <w:t xml:space="preserve"> </w:t>
      </w:r>
      <w:r w:rsidR="00446C6B">
        <w:t>August 2006 to 13 July 2015</w:t>
      </w:r>
      <w:r w:rsidR="00AE6CFF">
        <w:t xml:space="preserve">. </w:t>
      </w:r>
      <w:r w:rsidR="007E2818">
        <w:t xml:space="preserve"> Mr</w:t>
      </w:r>
      <w:r w:rsidR="00AE6CFF">
        <w:t xml:space="preserve"> </w:t>
      </w:r>
      <w:proofErr w:type="spellStart"/>
      <w:r w:rsidR="00446C6B">
        <w:t>Seow</w:t>
      </w:r>
      <w:proofErr w:type="spellEnd"/>
      <w:r w:rsidR="00446C6B">
        <w:t xml:space="preserve"> is a qualified lawyer </w:t>
      </w:r>
      <w:r w:rsidR="007D41CC">
        <w:t>and practices in merger, acquisition and corporate matters</w:t>
      </w:r>
      <w:r w:rsidR="00AE6CFF">
        <w:t xml:space="preserve">.  </w:t>
      </w:r>
      <w:r w:rsidR="00766A31">
        <w:t xml:space="preserve">He was interviewed by the SFC on </w:t>
      </w:r>
      <w:r>
        <w:t xml:space="preserve">13 March 2017 </w:t>
      </w:r>
      <w:r w:rsidR="00766A31">
        <w:t>and his answers were recorded in ROI of the same date</w:t>
      </w:r>
      <w:r w:rsidR="00766A31" w:rsidRPr="00347463">
        <w:t>.</w:t>
      </w:r>
    </w:p>
    <w:p w14:paraId="684508FD" w14:textId="6F204EB8" w:rsidR="00C73686" w:rsidRDefault="00C73686" w:rsidP="008556B7">
      <w:pPr>
        <w:pStyle w:val="points"/>
        <w:numPr>
          <w:ilvl w:val="0"/>
          <w:numId w:val="56"/>
        </w:numPr>
        <w:tabs>
          <w:tab w:val="clear" w:pos="1400"/>
        </w:tabs>
        <w:rPr>
          <w:color w:val="000000" w:themeColor="text1"/>
        </w:rPr>
      </w:pPr>
      <w:r w:rsidRPr="008556B7">
        <w:t>Mr</w:t>
      </w:r>
      <w:r>
        <w:rPr>
          <w:color w:val="000000" w:themeColor="text1"/>
        </w:rPr>
        <w:t xml:space="preserve"> Wong See Meng (“</w:t>
      </w:r>
      <w:r w:rsidR="00392DB0" w:rsidRPr="00474DD8">
        <w:rPr>
          <w:b/>
          <w:bCs/>
          <w:color w:val="000000" w:themeColor="text1"/>
        </w:rPr>
        <w:t xml:space="preserve">Mr </w:t>
      </w:r>
      <w:r w:rsidRPr="00D02493">
        <w:rPr>
          <w:b/>
          <w:color w:val="000000" w:themeColor="text1"/>
        </w:rPr>
        <w:t>Wong</w:t>
      </w:r>
      <w:r>
        <w:rPr>
          <w:color w:val="000000" w:themeColor="text1"/>
        </w:rPr>
        <w:t xml:space="preserve">”), an INED of </w:t>
      </w:r>
      <w:r w:rsidR="002B4AA0">
        <w:rPr>
          <w:color w:val="000000" w:themeColor="text1"/>
        </w:rPr>
        <w:t>t</w:t>
      </w:r>
      <w:r w:rsidR="00FA6553">
        <w:rPr>
          <w:color w:val="000000" w:themeColor="text1"/>
        </w:rPr>
        <w:t>he Company</w:t>
      </w:r>
      <w:r w:rsidR="002B4AA0">
        <w:rPr>
          <w:color w:val="000000" w:themeColor="text1"/>
        </w:rPr>
        <w:t xml:space="preserve"> </w:t>
      </w:r>
      <w:r w:rsidR="00EB4F81">
        <w:rPr>
          <w:color w:val="000000" w:themeColor="text1"/>
        </w:rPr>
        <w:t>from 19 May 2009 and 26 March 2015</w:t>
      </w:r>
      <w:r w:rsidR="00CE2470">
        <w:rPr>
          <w:color w:val="000000" w:themeColor="text1"/>
        </w:rPr>
        <w:t xml:space="preserve"> during which he acted as Chairman of the Audit Committee</w:t>
      </w:r>
      <w:r w:rsidR="00AE6CFF">
        <w:rPr>
          <w:color w:val="000000" w:themeColor="text1"/>
        </w:rPr>
        <w:t xml:space="preserve">.  </w:t>
      </w:r>
      <w:r w:rsidR="00EB4F81">
        <w:rPr>
          <w:color w:val="000000" w:themeColor="text1"/>
        </w:rPr>
        <w:t xml:space="preserve">He has </w:t>
      </w:r>
      <w:r w:rsidR="000B69FB">
        <w:rPr>
          <w:color w:val="000000" w:themeColor="text1"/>
        </w:rPr>
        <w:t xml:space="preserve">always </w:t>
      </w:r>
      <w:r w:rsidR="00EB4F81">
        <w:rPr>
          <w:color w:val="000000" w:themeColor="text1"/>
        </w:rPr>
        <w:t>been based in Singapore</w:t>
      </w:r>
      <w:r w:rsidR="00AE6CFF">
        <w:rPr>
          <w:color w:val="000000" w:themeColor="text1"/>
        </w:rPr>
        <w:t xml:space="preserve">.  </w:t>
      </w:r>
      <w:r w:rsidR="00191C07">
        <w:rPr>
          <w:color w:val="000000" w:themeColor="text1"/>
        </w:rPr>
        <w:t xml:space="preserve">He was interviewed by the SFC on </w:t>
      </w:r>
      <w:r>
        <w:rPr>
          <w:color w:val="000000" w:themeColor="text1"/>
        </w:rPr>
        <w:t xml:space="preserve">19 May 2017 </w:t>
      </w:r>
      <w:r w:rsidR="00191C07">
        <w:rPr>
          <w:color w:val="000000" w:themeColor="text1"/>
        </w:rPr>
        <w:t>and his answers were recorded in ROI of the same day</w:t>
      </w:r>
      <w:r w:rsidR="00CE2470" w:rsidRPr="00347463">
        <w:rPr>
          <w:color w:val="000000" w:themeColor="text1"/>
        </w:rPr>
        <w:t>.</w:t>
      </w:r>
    </w:p>
    <w:p w14:paraId="43F5B754" w14:textId="17333C8A" w:rsidR="005A4355" w:rsidRDefault="005A4355" w:rsidP="008556B7">
      <w:pPr>
        <w:pStyle w:val="points"/>
        <w:numPr>
          <w:ilvl w:val="0"/>
          <w:numId w:val="56"/>
        </w:numPr>
        <w:tabs>
          <w:tab w:val="clear" w:pos="1400"/>
        </w:tabs>
      </w:pPr>
      <w:r>
        <w:t xml:space="preserve">Mr Cheng </w:t>
      </w:r>
      <w:proofErr w:type="spellStart"/>
      <w:r>
        <w:t>Tak</w:t>
      </w:r>
      <w:proofErr w:type="spellEnd"/>
      <w:r>
        <w:t xml:space="preserve"> </w:t>
      </w:r>
      <w:proofErr w:type="spellStart"/>
      <w:r>
        <w:t>Ka</w:t>
      </w:r>
      <w:proofErr w:type="spellEnd"/>
      <w:r>
        <w:t xml:space="preserve"> (“</w:t>
      </w:r>
      <w:r w:rsidR="00ED6368" w:rsidRPr="00ED6368">
        <w:rPr>
          <w:b/>
          <w:bCs/>
        </w:rPr>
        <w:t xml:space="preserve">Mr </w:t>
      </w:r>
      <w:r w:rsidRPr="00D02493">
        <w:rPr>
          <w:b/>
        </w:rPr>
        <w:t>Cheng</w:t>
      </w:r>
      <w:r>
        <w:t>”)</w:t>
      </w:r>
      <w:r w:rsidR="00BC30F7">
        <w:t>, an associate director of the enforcement division of the SFC</w:t>
      </w:r>
      <w:r w:rsidR="00AE6CFF">
        <w:t xml:space="preserve">.  </w:t>
      </w:r>
      <w:r w:rsidR="00BC30F7">
        <w:t xml:space="preserve">He </w:t>
      </w:r>
      <w:r>
        <w:t>made an affirmation dated 14 June 2019 (“</w:t>
      </w:r>
      <w:r w:rsidRPr="002D11C5">
        <w:rPr>
          <w:b/>
          <w:bCs/>
        </w:rPr>
        <w:t>Cheng 1</w:t>
      </w:r>
      <w:r w:rsidRPr="002D11C5">
        <w:rPr>
          <w:b/>
          <w:bCs/>
          <w:vertAlign w:val="superscript"/>
        </w:rPr>
        <w:t>st</w:t>
      </w:r>
      <w:r>
        <w:t xml:space="preserve">”) </w:t>
      </w:r>
      <w:r w:rsidRPr="00655E8C">
        <w:t xml:space="preserve">and </w:t>
      </w:r>
      <w:r>
        <w:t xml:space="preserve">a </w:t>
      </w:r>
      <w:r>
        <w:rPr>
          <w:color w:val="000000" w:themeColor="text1"/>
        </w:rPr>
        <w:t>4</w:t>
      </w:r>
      <w:r w:rsidRPr="00D02493">
        <w:rPr>
          <w:color w:val="000000" w:themeColor="text1"/>
          <w:vertAlign w:val="superscript"/>
        </w:rPr>
        <w:t>th</w:t>
      </w:r>
      <w:r>
        <w:rPr>
          <w:color w:val="000000" w:themeColor="text1"/>
        </w:rPr>
        <w:t xml:space="preserve"> Affirmation dated 6 February 2020 </w:t>
      </w:r>
      <w:r w:rsidR="00D92F38">
        <w:rPr>
          <w:color w:val="000000" w:themeColor="text1"/>
        </w:rPr>
        <w:t>in support of the Petition</w:t>
      </w:r>
      <w:r>
        <w:t>.</w:t>
      </w:r>
    </w:p>
    <w:p w14:paraId="3AFADCEB" w14:textId="77322154" w:rsidR="003930E7" w:rsidRDefault="00A04106">
      <w:pPr>
        <w:pStyle w:val="Final"/>
        <w:numPr>
          <w:ilvl w:val="0"/>
          <w:numId w:val="2"/>
        </w:numPr>
        <w:tabs>
          <w:tab w:val="clear" w:pos="720"/>
          <w:tab w:val="clear" w:pos="1440"/>
          <w:tab w:val="left" w:pos="1418"/>
        </w:tabs>
        <w:ind w:left="0" w:firstLine="0"/>
        <w:rPr>
          <w:color w:val="000000" w:themeColor="text1"/>
        </w:rPr>
      </w:pPr>
      <w:r>
        <w:rPr>
          <w:color w:val="000000" w:themeColor="text1"/>
        </w:rPr>
        <w:t xml:space="preserve">Amongst them, </w:t>
      </w:r>
      <w:r w:rsidR="00F1556A">
        <w:rPr>
          <w:color w:val="000000" w:themeColor="text1"/>
        </w:rPr>
        <w:t xml:space="preserve">Mr </w:t>
      </w:r>
      <w:r w:rsidR="00A71E66">
        <w:rPr>
          <w:color w:val="000000" w:themeColor="text1"/>
        </w:rPr>
        <w:t>Che</w:t>
      </w:r>
      <w:r>
        <w:rPr>
          <w:color w:val="000000" w:themeColor="text1"/>
        </w:rPr>
        <w:t xml:space="preserve">ng and </w:t>
      </w:r>
      <w:r w:rsidR="00F1556A">
        <w:rPr>
          <w:color w:val="000000" w:themeColor="text1"/>
        </w:rPr>
        <w:t xml:space="preserve">Mr </w:t>
      </w:r>
      <w:r>
        <w:rPr>
          <w:color w:val="000000" w:themeColor="text1"/>
        </w:rPr>
        <w:t>Yu g</w:t>
      </w:r>
      <w:r w:rsidR="005C4C5D">
        <w:rPr>
          <w:color w:val="000000" w:themeColor="text1"/>
        </w:rPr>
        <w:t>a</w:t>
      </w:r>
      <w:r>
        <w:rPr>
          <w:color w:val="000000" w:themeColor="text1"/>
        </w:rPr>
        <w:t xml:space="preserve">ve </w:t>
      </w:r>
      <w:r w:rsidR="00D92F38" w:rsidRPr="001851F8">
        <w:rPr>
          <w:i/>
          <w:iCs/>
          <w:color w:val="000000" w:themeColor="text1"/>
        </w:rPr>
        <w:t>viva voce</w:t>
      </w:r>
      <w:r w:rsidR="00D92F38">
        <w:rPr>
          <w:color w:val="000000" w:themeColor="text1"/>
        </w:rPr>
        <w:t xml:space="preserve"> </w:t>
      </w:r>
      <w:r>
        <w:rPr>
          <w:color w:val="000000" w:themeColor="text1"/>
        </w:rPr>
        <w:t xml:space="preserve">evidence in </w:t>
      </w:r>
      <w:r w:rsidR="005C68F2">
        <w:rPr>
          <w:color w:val="000000" w:themeColor="text1"/>
        </w:rPr>
        <w:t xml:space="preserve">court, </w:t>
      </w:r>
      <w:r>
        <w:rPr>
          <w:color w:val="000000" w:themeColor="text1"/>
        </w:rPr>
        <w:t xml:space="preserve">while </w:t>
      </w:r>
      <w:r w:rsidR="00F1556A">
        <w:rPr>
          <w:color w:val="000000" w:themeColor="text1"/>
        </w:rPr>
        <w:t xml:space="preserve">Mr </w:t>
      </w:r>
      <w:proofErr w:type="spellStart"/>
      <w:r>
        <w:rPr>
          <w:color w:val="000000" w:themeColor="text1"/>
        </w:rPr>
        <w:t>Seow</w:t>
      </w:r>
      <w:proofErr w:type="spellEnd"/>
      <w:r>
        <w:rPr>
          <w:color w:val="000000" w:themeColor="text1"/>
        </w:rPr>
        <w:t xml:space="preserve">, </w:t>
      </w:r>
      <w:r w:rsidR="00F1556A">
        <w:rPr>
          <w:color w:val="000000" w:themeColor="text1"/>
        </w:rPr>
        <w:t xml:space="preserve">Mr </w:t>
      </w:r>
      <w:r>
        <w:rPr>
          <w:color w:val="000000" w:themeColor="text1"/>
        </w:rPr>
        <w:t xml:space="preserve">Wong and </w:t>
      </w:r>
      <w:r w:rsidR="00F1556A">
        <w:rPr>
          <w:color w:val="000000" w:themeColor="text1"/>
        </w:rPr>
        <w:t xml:space="preserve">Ms </w:t>
      </w:r>
      <w:r>
        <w:rPr>
          <w:color w:val="000000" w:themeColor="text1"/>
        </w:rPr>
        <w:t>Wang g</w:t>
      </w:r>
      <w:r w:rsidR="005C4C5D">
        <w:rPr>
          <w:color w:val="000000" w:themeColor="text1"/>
        </w:rPr>
        <w:t>a</w:t>
      </w:r>
      <w:r>
        <w:rPr>
          <w:color w:val="000000" w:themeColor="text1"/>
        </w:rPr>
        <w:t xml:space="preserve">ve evidence via </w:t>
      </w:r>
      <w:r w:rsidR="006D343F">
        <w:rPr>
          <w:color w:val="000000" w:themeColor="text1"/>
        </w:rPr>
        <w:t>VCF</w:t>
      </w:r>
      <w:r w:rsidR="00AE6CFF">
        <w:rPr>
          <w:color w:val="000000" w:themeColor="text1"/>
        </w:rPr>
        <w:t xml:space="preserve">.  </w:t>
      </w:r>
      <w:r w:rsidR="009A2B0F">
        <w:rPr>
          <w:color w:val="000000" w:themeColor="text1"/>
        </w:rPr>
        <w:t>They adopt</w:t>
      </w:r>
      <w:r w:rsidR="005C4C5D">
        <w:rPr>
          <w:color w:val="000000" w:themeColor="text1"/>
        </w:rPr>
        <w:t>ed</w:t>
      </w:r>
      <w:r w:rsidR="009A2B0F">
        <w:rPr>
          <w:color w:val="000000" w:themeColor="text1"/>
        </w:rPr>
        <w:t xml:space="preserve"> their ROIs as evidence in chief</w:t>
      </w:r>
      <w:r w:rsidR="00AE6CFF">
        <w:rPr>
          <w:color w:val="000000" w:themeColor="text1"/>
        </w:rPr>
        <w:t xml:space="preserve">.  </w:t>
      </w:r>
      <w:r w:rsidR="009A2B0F">
        <w:rPr>
          <w:color w:val="000000" w:themeColor="text1"/>
        </w:rPr>
        <w:t xml:space="preserve">Ms Tara Liao, counsel for Mr Wen, </w:t>
      </w:r>
      <w:r w:rsidR="001F1809">
        <w:rPr>
          <w:color w:val="000000" w:themeColor="text1"/>
        </w:rPr>
        <w:t xml:space="preserve">only </w:t>
      </w:r>
      <w:r w:rsidR="00E5548F">
        <w:rPr>
          <w:color w:val="000000" w:themeColor="text1"/>
        </w:rPr>
        <w:t>cross-examine</w:t>
      </w:r>
      <w:r w:rsidR="001F1809">
        <w:rPr>
          <w:color w:val="000000" w:themeColor="text1"/>
        </w:rPr>
        <w:t>d</w:t>
      </w:r>
      <w:r w:rsidR="00E5548F">
        <w:rPr>
          <w:color w:val="000000" w:themeColor="text1"/>
        </w:rPr>
        <w:t xml:space="preserve"> </w:t>
      </w:r>
      <w:r w:rsidR="001F1809">
        <w:rPr>
          <w:color w:val="000000" w:themeColor="text1"/>
        </w:rPr>
        <w:t>Mr Cheng briefly</w:t>
      </w:r>
      <w:r w:rsidR="00AE6CFF">
        <w:rPr>
          <w:color w:val="000000" w:themeColor="text1"/>
        </w:rPr>
        <w:t xml:space="preserve">.  </w:t>
      </w:r>
      <w:r w:rsidR="009A2B0F">
        <w:rPr>
          <w:color w:val="000000" w:themeColor="text1"/>
        </w:rPr>
        <w:t xml:space="preserve"> </w:t>
      </w:r>
    </w:p>
    <w:p w14:paraId="5CD41986" w14:textId="0BB76D06" w:rsidR="009C66AF" w:rsidRPr="009C66AF" w:rsidRDefault="009C66AF" w:rsidP="00725F58">
      <w:pPr>
        <w:pStyle w:val="H-1"/>
        <w:tabs>
          <w:tab w:val="left" w:pos="720"/>
        </w:tabs>
      </w:pPr>
      <w:r w:rsidRPr="009C66AF">
        <w:lastRenderedPageBreak/>
        <w:t>A4.</w:t>
      </w:r>
      <w:r w:rsidRPr="009C66AF">
        <w:tab/>
        <w:t xml:space="preserve">ROIs </w:t>
      </w:r>
    </w:p>
    <w:p w14:paraId="522DBC23" w14:textId="7CF9C791" w:rsidR="00A1242F" w:rsidRDefault="00F56358">
      <w:pPr>
        <w:pStyle w:val="Final"/>
        <w:numPr>
          <w:ilvl w:val="0"/>
          <w:numId w:val="2"/>
        </w:numPr>
        <w:tabs>
          <w:tab w:val="clear" w:pos="720"/>
          <w:tab w:val="num" w:pos="0"/>
        </w:tabs>
        <w:ind w:left="0" w:firstLine="0"/>
        <w:rPr>
          <w:color w:val="000000" w:themeColor="text1"/>
        </w:rPr>
      </w:pPr>
      <w:r>
        <w:rPr>
          <w:color w:val="000000" w:themeColor="text1"/>
        </w:rPr>
        <w:t>In addition, t</w:t>
      </w:r>
      <w:r w:rsidR="000F48F9">
        <w:rPr>
          <w:color w:val="000000" w:themeColor="text1"/>
        </w:rPr>
        <w:t>he SFC adduce</w:t>
      </w:r>
      <w:r w:rsidR="00297A51">
        <w:rPr>
          <w:color w:val="000000" w:themeColor="text1"/>
        </w:rPr>
        <w:t>d</w:t>
      </w:r>
      <w:r w:rsidR="000F48F9">
        <w:rPr>
          <w:color w:val="000000" w:themeColor="text1"/>
        </w:rPr>
        <w:t xml:space="preserve"> the </w:t>
      </w:r>
      <w:r w:rsidR="00A1242F">
        <w:rPr>
          <w:color w:val="000000" w:themeColor="text1"/>
        </w:rPr>
        <w:t xml:space="preserve">ROIs of the following </w:t>
      </w:r>
      <w:r w:rsidR="000F48F9">
        <w:rPr>
          <w:color w:val="000000" w:themeColor="text1"/>
        </w:rPr>
        <w:t xml:space="preserve">7 </w:t>
      </w:r>
      <w:r w:rsidR="00A1242F">
        <w:rPr>
          <w:color w:val="000000" w:themeColor="text1"/>
        </w:rPr>
        <w:t>persons</w:t>
      </w:r>
      <w:r>
        <w:rPr>
          <w:color w:val="000000" w:themeColor="text1"/>
        </w:rPr>
        <w:t xml:space="preserve"> without calling them to give oral evidence at </w:t>
      </w:r>
      <w:r w:rsidR="000F48F9">
        <w:rPr>
          <w:color w:val="000000" w:themeColor="text1"/>
        </w:rPr>
        <w:t>trial</w:t>
      </w:r>
      <w:r w:rsidR="00A1242F">
        <w:rPr>
          <w:color w:val="000000" w:themeColor="text1"/>
        </w:rPr>
        <w:t>:</w:t>
      </w:r>
    </w:p>
    <w:p w14:paraId="30077598" w14:textId="28B18611" w:rsidR="00A1242F" w:rsidRDefault="00250C97" w:rsidP="00250C97">
      <w:pPr>
        <w:pStyle w:val="points"/>
        <w:tabs>
          <w:tab w:val="clear" w:pos="1400"/>
        </w:tabs>
        <w:ind w:left="1418" w:hanging="698"/>
      </w:pPr>
      <w:r>
        <w:t>(1)</w:t>
      </w:r>
      <w:r>
        <w:tab/>
      </w:r>
      <w:r w:rsidR="00A1242F">
        <w:t xml:space="preserve">Ms Susan Su </w:t>
      </w:r>
      <w:proofErr w:type="spellStart"/>
      <w:r w:rsidR="00A1242F">
        <w:t>Xiulan</w:t>
      </w:r>
      <w:proofErr w:type="spellEnd"/>
      <w:r w:rsidR="00A1242F">
        <w:t xml:space="preserve"> (“</w:t>
      </w:r>
      <w:r w:rsidR="00A1242F" w:rsidRPr="00D02493">
        <w:rPr>
          <w:b/>
        </w:rPr>
        <w:t>Ms Su</w:t>
      </w:r>
      <w:r w:rsidR="00A1242F">
        <w:t xml:space="preserve">”), formerly a staff </w:t>
      </w:r>
      <w:r w:rsidR="005C4C5D">
        <w:t xml:space="preserve">of </w:t>
      </w:r>
      <w:r w:rsidR="00A1242F">
        <w:t>Deloitte B</w:t>
      </w:r>
      <w:r w:rsidR="00624FB2">
        <w:t>J</w:t>
      </w:r>
      <w:r w:rsidR="00AE6CFF">
        <w:t xml:space="preserve">.  </w:t>
      </w:r>
      <w:r w:rsidR="0036718D">
        <w:t xml:space="preserve">She was interviewed by </w:t>
      </w:r>
      <w:r w:rsidR="00487EEF">
        <w:t xml:space="preserve">the </w:t>
      </w:r>
      <w:r w:rsidR="0036718D">
        <w:t xml:space="preserve">CSRC on </w:t>
      </w:r>
      <w:r w:rsidR="00A1242F">
        <w:t xml:space="preserve">25 April 2017 </w:t>
      </w:r>
      <w:r w:rsidR="0036718D">
        <w:t>and her answers were recorded in ROI of the same day</w:t>
      </w:r>
      <w:r w:rsidR="00130F85">
        <w:t>.</w:t>
      </w:r>
    </w:p>
    <w:p w14:paraId="3F48777B" w14:textId="06792117" w:rsidR="00A1242F" w:rsidRDefault="00A1242F" w:rsidP="00BC134A">
      <w:pPr>
        <w:pStyle w:val="points"/>
        <w:numPr>
          <w:ilvl w:val="0"/>
          <w:numId w:val="6"/>
        </w:numPr>
        <w:tabs>
          <w:tab w:val="clear" w:pos="1400"/>
        </w:tabs>
        <w:ind w:left="1418" w:hanging="698"/>
        <w:rPr>
          <w:color w:val="000000" w:themeColor="text1"/>
        </w:rPr>
      </w:pPr>
      <w:r>
        <w:rPr>
          <w:color w:val="000000" w:themeColor="text1"/>
        </w:rPr>
        <w:t xml:space="preserve">Ms Viola Fang </w:t>
      </w:r>
      <w:proofErr w:type="spellStart"/>
      <w:r>
        <w:rPr>
          <w:color w:val="000000" w:themeColor="text1"/>
        </w:rPr>
        <w:t>Junqiu</w:t>
      </w:r>
      <w:proofErr w:type="spellEnd"/>
      <w:r>
        <w:rPr>
          <w:color w:val="000000" w:themeColor="text1"/>
        </w:rPr>
        <w:t xml:space="preserve"> (“</w:t>
      </w:r>
      <w:r w:rsidRPr="00D02493">
        <w:rPr>
          <w:b/>
          <w:color w:val="000000" w:themeColor="text1"/>
        </w:rPr>
        <w:t>Ms Fang</w:t>
      </w:r>
      <w:r>
        <w:rPr>
          <w:color w:val="000000" w:themeColor="text1"/>
        </w:rPr>
        <w:t xml:space="preserve">”), a </w:t>
      </w:r>
      <w:r w:rsidR="008C6A90">
        <w:rPr>
          <w:color w:val="000000" w:themeColor="text1"/>
        </w:rPr>
        <w:t xml:space="preserve">former </w:t>
      </w:r>
      <w:r>
        <w:rPr>
          <w:color w:val="000000" w:themeColor="text1"/>
        </w:rPr>
        <w:t xml:space="preserve">staff </w:t>
      </w:r>
      <w:r w:rsidR="00E33B34">
        <w:rPr>
          <w:color w:val="000000" w:themeColor="text1"/>
        </w:rPr>
        <w:t xml:space="preserve">of </w:t>
      </w:r>
      <w:r>
        <w:rPr>
          <w:color w:val="000000" w:themeColor="text1"/>
        </w:rPr>
        <w:t>Deloitte B</w:t>
      </w:r>
      <w:r w:rsidR="000E0F3C">
        <w:rPr>
          <w:color w:val="000000" w:themeColor="text1"/>
        </w:rPr>
        <w:t>J</w:t>
      </w:r>
      <w:r w:rsidR="00AE6CFF">
        <w:rPr>
          <w:color w:val="000000" w:themeColor="text1"/>
        </w:rPr>
        <w:t xml:space="preserve">.  </w:t>
      </w:r>
      <w:r w:rsidR="008B357B">
        <w:rPr>
          <w:color w:val="000000" w:themeColor="text1"/>
        </w:rPr>
        <w:t xml:space="preserve">She was interviewed by </w:t>
      </w:r>
      <w:r w:rsidR="00487EEF">
        <w:rPr>
          <w:color w:val="000000" w:themeColor="text1"/>
        </w:rPr>
        <w:t xml:space="preserve">the </w:t>
      </w:r>
      <w:r w:rsidR="008B357B">
        <w:rPr>
          <w:color w:val="000000" w:themeColor="text1"/>
        </w:rPr>
        <w:t xml:space="preserve">CSRC on </w:t>
      </w:r>
      <w:r>
        <w:rPr>
          <w:color w:val="000000" w:themeColor="text1"/>
        </w:rPr>
        <w:t xml:space="preserve">26 April 2017 </w:t>
      </w:r>
      <w:r w:rsidR="00427969">
        <w:rPr>
          <w:color w:val="000000" w:themeColor="text1"/>
        </w:rPr>
        <w:t>and her answers were recorded in ROI of the same date</w:t>
      </w:r>
      <w:r w:rsidR="00704D6D">
        <w:rPr>
          <w:color w:val="000000" w:themeColor="text1"/>
        </w:rPr>
        <w:t>.</w:t>
      </w:r>
    </w:p>
    <w:p w14:paraId="11FA2859" w14:textId="01D21116" w:rsidR="00A1242F" w:rsidRDefault="00A1242F" w:rsidP="00BC134A">
      <w:pPr>
        <w:pStyle w:val="points"/>
        <w:numPr>
          <w:ilvl w:val="0"/>
          <w:numId w:val="6"/>
        </w:numPr>
        <w:tabs>
          <w:tab w:val="clear" w:pos="1400"/>
        </w:tabs>
        <w:ind w:left="1418" w:hanging="698"/>
        <w:rPr>
          <w:color w:val="000000" w:themeColor="text1"/>
        </w:rPr>
      </w:pPr>
      <w:r>
        <w:rPr>
          <w:color w:val="000000" w:themeColor="text1"/>
        </w:rPr>
        <w:t>Ms Maggie Yu Han (“</w:t>
      </w:r>
      <w:r w:rsidRPr="00D02493">
        <w:rPr>
          <w:b/>
          <w:color w:val="000000" w:themeColor="text1"/>
        </w:rPr>
        <w:t>Ms Yu</w:t>
      </w:r>
      <w:r>
        <w:rPr>
          <w:color w:val="000000" w:themeColor="text1"/>
        </w:rPr>
        <w:t xml:space="preserve">”), formerly a staff </w:t>
      </w:r>
      <w:r w:rsidR="0009586A">
        <w:rPr>
          <w:color w:val="000000" w:themeColor="text1"/>
        </w:rPr>
        <w:t>of</w:t>
      </w:r>
      <w:r>
        <w:rPr>
          <w:color w:val="000000" w:themeColor="text1"/>
        </w:rPr>
        <w:t xml:space="preserve"> Deloitte B</w:t>
      </w:r>
      <w:r w:rsidR="000E0F3C">
        <w:rPr>
          <w:color w:val="000000" w:themeColor="text1"/>
        </w:rPr>
        <w:t>J</w:t>
      </w:r>
      <w:r w:rsidR="00AE6CFF">
        <w:rPr>
          <w:color w:val="000000" w:themeColor="text1"/>
        </w:rPr>
        <w:t xml:space="preserve">.  </w:t>
      </w:r>
      <w:r w:rsidR="00704D6D">
        <w:rPr>
          <w:color w:val="000000" w:themeColor="text1"/>
        </w:rPr>
        <w:t>She was interviewed by the CSRC on 26 April 2017 and her answers were recorded in ROI of the same date.</w:t>
      </w:r>
    </w:p>
    <w:p w14:paraId="7697DBFB" w14:textId="6A031BCF" w:rsidR="00A1242F" w:rsidRDefault="00A1242F" w:rsidP="00BC134A">
      <w:pPr>
        <w:pStyle w:val="points"/>
        <w:numPr>
          <w:ilvl w:val="0"/>
          <w:numId w:val="6"/>
        </w:numPr>
        <w:tabs>
          <w:tab w:val="clear" w:pos="1400"/>
        </w:tabs>
        <w:ind w:left="1418" w:hanging="698"/>
        <w:rPr>
          <w:color w:val="000000" w:themeColor="text1"/>
        </w:rPr>
      </w:pPr>
      <w:r>
        <w:rPr>
          <w:color w:val="000000" w:themeColor="text1"/>
        </w:rPr>
        <w:t xml:space="preserve">Mr Li </w:t>
      </w:r>
      <w:proofErr w:type="spellStart"/>
      <w:r>
        <w:rPr>
          <w:color w:val="000000" w:themeColor="text1"/>
        </w:rPr>
        <w:t>Fajun</w:t>
      </w:r>
      <w:proofErr w:type="spellEnd"/>
      <w:r>
        <w:rPr>
          <w:color w:val="000000" w:themeColor="text1"/>
        </w:rPr>
        <w:t xml:space="preserve"> (“</w:t>
      </w:r>
      <w:r w:rsidRPr="00D02493">
        <w:rPr>
          <w:b/>
          <w:color w:val="000000" w:themeColor="text1"/>
        </w:rPr>
        <w:t>Mr Li</w:t>
      </w:r>
      <w:r>
        <w:rPr>
          <w:color w:val="000000" w:themeColor="text1"/>
        </w:rPr>
        <w:t xml:space="preserve">”), contact person and relationship manager </w:t>
      </w:r>
      <w:r w:rsidR="00226862">
        <w:rPr>
          <w:color w:val="000000" w:themeColor="text1"/>
        </w:rPr>
        <w:t>of</w:t>
      </w:r>
      <w:r>
        <w:rPr>
          <w:color w:val="000000" w:themeColor="text1"/>
        </w:rPr>
        <w:t xml:space="preserve"> </w:t>
      </w:r>
      <w:r w:rsidR="00487EEF">
        <w:rPr>
          <w:color w:val="000000" w:themeColor="text1"/>
        </w:rPr>
        <w:t>t</w:t>
      </w:r>
      <w:r w:rsidR="00FA6553">
        <w:rPr>
          <w:color w:val="000000" w:themeColor="text1"/>
        </w:rPr>
        <w:t>he Company</w:t>
      </w:r>
      <w:r w:rsidR="00487EEF">
        <w:rPr>
          <w:color w:val="000000" w:themeColor="text1"/>
        </w:rPr>
        <w:t xml:space="preserve"> </w:t>
      </w:r>
      <w:r>
        <w:rPr>
          <w:color w:val="000000" w:themeColor="text1"/>
        </w:rPr>
        <w:t>and its subsidiaries (</w:t>
      </w:r>
      <w:r w:rsidR="00D20059">
        <w:rPr>
          <w:color w:val="000000" w:themeColor="text1"/>
        </w:rPr>
        <w:t>together</w:t>
      </w:r>
      <w:r w:rsidR="004D5F4D">
        <w:rPr>
          <w:color w:val="000000" w:themeColor="text1"/>
        </w:rPr>
        <w:t xml:space="preserve"> </w:t>
      </w:r>
      <w:r>
        <w:rPr>
          <w:color w:val="000000" w:themeColor="text1"/>
        </w:rPr>
        <w:t>“</w:t>
      </w:r>
      <w:r w:rsidRPr="00B803E7">
        <w:rPr>
          <w:b/>
          <w:bCs/>
          <w:color w:val="000000" w:themeColor="text1"/>
        </w:rPr>
        <w:t>Group</w:t>
      </w:r>
      <w:r>
        <w:rPr>
          <w:color w:val="000000" w:themeColor="text1"/>
        </w:rPr>
        <w:t xml:space="preserve">”) </w:t>
      </w:r>
      <w:r w:rsidR="000C5C51">
        <w:rPr>
          <w:color w:val="000000" w:themeColor="text1"/>
        </w:rPr>
        <w:t xml:space="preserve">who </w:t>
      </w:r>
      <w:r>
        <w:rPr>
          <w:color w:val="000000" w:themeColor="text1"/>
        </w:rPr>
        <w:t>work</w:t>
      </w:r>
      <w:r w:rsidR="000C5C51">
        <w:rPr>
          <w:color w:val="000000" w:themeColor="text1"/>
        </w:rPr>
        <w:t>ed</w:t>
      </w:r>
      <w:r>
        <w:rPr>
          <w:color w:val="000000" w:themeColor="text1"/>
        </w:rPr>
        <w:t xml:space="preserve"> at </w:t>
      </w:r>
      <w:proofErr w:type="spellStart"/>
      <w:r>
        <w:rPr>
          <w:color w:val="000000" w:themeColor="text1"/>
        </w:rPr>
        <w:t>Chegongzhuang</w:t>
      </w:r>
      <w:proofErr w:type="spellEnd"/>
      <w:r>
        <w:rPr>
          <w:color w:val="000000" w:themeColor="text1"/>
        </w:rPr>
        <w:t xml:space="preserve"> branch of Hua Xia Bank </w:t>
      </w:r>
      <w:r w:rsidR="001C58AB">
        <w:rPr>
          <w:color w:val="000000" w:themeColor="text1"/>
        </w:rPr>
        <w:t>(“</w:t>
      </w:r>
      <w:r w:rsidR="001C58AB" w:rsidRPr="00727AB5">
        <w:rPr>
          <w:b/>
          <w:bCs/>
          <w:color w:val="000000" w:themeColor="text1"/>
        </w:rPr>
        <w:t>HXB</w:t>
      </w:r>
      <w:r w:rsidR="001C58AB">
        <w:rPr>
          <w:color w:val="000000" w:themeColor="text1"/>
        </w:rPr>
        <w:t xml:space="preserve">”) </w:t>
      </w:r>
      <w:r>
        <w:rPr>
          <w:color w:val="000000" w:themeColor="text1"/>
        </w:rPr>
        <w:t>at the material time</w:t>
      </w:r>
      <w:r w:rsidR="00AE6CFF">
        <w:rPr>
          <w:color w:val="000000" w:themeColor="text1"/>
        </w:rPr>
        <w:t xml:space="preserve">.  </w:t>
      </w:r>
      <w:r w:rsidR="0028014F">
        <w:rPr>
          <w:color w:val="000000" w:themeColor="text1"/>
        </w:rPr>
        <w:t xml:space="preserve">He was interviewed by the CSRC on </w:t>
      </w:r>
      <w:r>
        <w:rPr>
          <w:color w:val="000000" w:themeColor="text1"/>
        </w:rPr>
        <w:t xml:space="preserve">25 April 2017 </w:t>
      </w:r>
      <w:r w:rsidR="0028014F">
        <w:rPr>
          <w:color w:val="000000" w:themeColor="text1"/>
        </w:rPr>
        <w:t>and his answers were recorded in ROI of the same date</w:t>
      </w:r>
      <w:r w:rsidR="00FD5746">
        <w:rPr>
          <w:color w:val="000000" w:themeColor="text1"/>
        </w:rPr>
        <w:t>.</w:t>
      </w:r>
    </w:p>
    <w:p w14:paraId="1B77E92A" w14:textId="259D5671" w:rsidR="00A1242F" w:rsidRDefault="00A1242F" w:rsidP="00BC134A">
      <w:pPr>
        <w:pStyle w:val="points"/>
        <w:numPr>
          <w:ilvl w:val="0"/>
          <w:numId w:val="6"/>
        </w:numPr>
        <w:tabs>
          <w:tab w:val="clear" w:pos="1400"/>
        </w:tabs>
        <w:ind w:left="1418" w:hanging="698"/>
        <w:rPr>
          <w:color w:val="000000" w:themeColor="text1"/>
        </w:rPr>
      </w:pPr>
      <w:r>
        <w:rPr>
          <w:color w:val="000000" w:themeColor="text1"/>
        </w:rPr>
        <w:t xml:space="preserve">Ms Huang </w:t>
      </w:r>
      <w:proofErr w:type="spellStart"/>
      <w:r>
        <w:rPr>
          <w:color w:val="000000" w:themeColor="text1"/>
        </w:rPr>
        <w:t>Qiong</w:t>
      </w:r>
      <w:proofErr w:type="spellEnd"/>
      <w:r>
        <w:rPr>
          <w:color w:val="000000" w:themeColor="text1"/>
        </w:rPr>
        <w:t xml:space="preserve"> (“</w:t>
      </w:r>
      <w:r w:rsidRPr="00D02493">
        <w:rPr>
          <w:b/>
          <w:color w:val="000000" w:themeColor="text1"/>
        </w:rPr>
        <w:t>Ms Huang</w:t>
      </w:r>
      <w:r>
        <w:rPr>
          <w:color w:val="000000" w:themeColor="text1"/>
        </w:rPr>
        <w:t xml:space="preserve">”), accounting manager of </w:t>
      </w:r>
      <w:proofErr w:type="spellStart"/>
      <w:r>
        <w:rPr>
          <w:color w:val="000000" w:themeColor="text1"/>
        </w:rPr>
        <w:t>Chegongzhuang</w:t>
      </w:r>
      <w:proofErr w:type="spellEnd"/>
      <w:r>
        <w:rPr>
          <w:color w:val="000000" w:themeColor="text1"/>
        </w:rPr>
        <w:t xml:space="preserve"> branch of H</w:t>
      </w:r>
      <w:r w:rsidR="00727AB5">
        <w:rPr>
          <w:color w:val="000000" w:themeColor="text1"/>
        </w:rPr>
        <w:t>XB</w:t>
      </w:r>
      <w:r w:rsidR="00AE6CFF">
        <w:rPr>
          <w:color w:val="000000" w:themeColor="text1"/>
        </w:rPr>
        <w:t xml:space="preserve">.  </w:t>
      </w:r>
      <w:r w:rsidR="004E391A">
        <w:rPr>
          <w:color w:val="000000" w:themeColor="text1"/>
        </w:rPr>
        <w:t xml:space="preserve">She was interviewed by the CSRC on </w:t>
      </w:r>
      <w:r>
        <w:rPr>
          <w:color w:val="000000" w:themeColor="text1"/>
        </w:rPr>
        <w:t xml:space="preserve">16 June 2017 </w:t>
      </w:r>
      <w:r w:rsidR="004E391A">
        <w:rPr>
          <w:color w:val="000000" w:themeColor="text1"/>
        </w:rPr>
        <w:t>and her answers were recorded in ROI of the same date</w:t>
      </w:r>
      <w:r w:rsidR="007137F9">
        <w:rPr>
          <w:color w:val="000000" w:themeColor="text1"/>
        </w:rPr>
        <w:t>.</w:t>
      </w:r>
    </w:p>
    <w:p w14:paraId="3435BAB7" w14:textId="37A7EBAC" w:rsidR="00A1242F" w:rsidRDefault="00A1242F" w:rsidP="00BC134A">
      <w:pPr>
        <w:pStyle w:val="points"/>
        <w:numPr>
          <w:ilvl w:val="0"/>
          <w:numId w:val="6"/>
        </w:numPr>
        <w:tabs>
          <w:tab w:val="clear" w:pos="1400"/>
        </w:tabs>
        <w:ind w:left="1418" w:hanging="698"/>
        <w:rPr>
          <w:color w:val="000000" w:themeColor="text1"/>
        </w:rPr>
      </w:pPr>
      <w:r>
        <w:rPr>
          <w:color w:val="000000" w:themeColor="text1"/>
        </w:rPr>
        <w:t xml:space="preserve">Ms He </w:t>
      </w:r>
      <w:proofErr w:type="spellStart"/>
      <w:r>
        <w:rPr>
          <w:color w:val="000000" w:themeColor="text1"/>
        </w:rPr>
        <w:t>Hufeng</w:t>
      </w:r>
      <w:proofErr w:type="spellEnd"/>
      <w:r>
        <w:rPr>
          <w:color w:val="000000" w:themeColor="text1"/>
        </w:rPr>
        <w:t xml:space="preserve"> (“</w:t>
      </w:r>
      <w:r w:rsidRPr="00D02493">
        <w:rPr>
          <w:b/>
          <w:color w:val="000000" w:themeColor="text1"/>
        </w:rPr>
        <w:t>Ms He</w:t>
      </w:r>
      <w:r>
        <w:rPr>
          <w:color w:val="000000" w:themeColor="text1"/>
        </w:rPr>
        <w:t xml:space="preserve">”), contact person and relationship manager for the Group at </w:t>
      </w:r>
      <w:proofErr w:type="spellStart"/>
      <w:r>
        <w:rPr>
          <w:color w:val="000000" w:themeColor="text1"/>
        </w:rPr>
        <w:t>Zhongguancun</w:t>
      </w:r>
      <w:proofErr w:type="spellEnd"/>
      <w:r>
        <w:rPr>
          <w:color w:val="000000" w:themeColor="text1"/>
        </w:rPr>
        <w:t xml:space="preserve"> branch of Ping </w:t>
      </w:r>
      <w:proofErr w:type="gramStart"/>
      <w:r>
        <w:rPr>
          <w:color w:val="000000" w:themeColor="text1"/>
        </w:rPr>
        <w:t>An</w:t>
      </w:r>
      <w:proofErr w:type="gramEnd"/>
      <w:r>
        <w:rPr>
          <w:color w:val="000000" w:themeColor="text1"/>
        </w:rPr>
        <w:t xml:space="preserve"> Bank </w:t>
      </w:r>
      <w:r w:rsidR="00727AB5">
        <w:rPr>
          <w:color w:val="000000" w:themeColor="text1"/>
        </w:rPr>
        <w:t>(“</w:t>
      </w:r>
      <w:r w:rsidR="00727AB5" w:rsidRPr="00727AB5">
        <w:rPr>
          <w:b/>
          <w:bCs/>
          <w:color w:val="000000" w:themeColor="text1"/>
        </w:rPr>
        <w:t>PAB</w:t>
      </w:r>
      <w:r w:rsidR="00727AB5">
        <w:rPr>
          <w:color w:val="000000" w:themeColor="text1"/>
        </w:rPr>
        <w:t xml:space="preserve">”) </w:t>
      </w:r>
      <w:r>
        <w:rPr>
          <w:color w:val="000000" w:themeColor="text1"/>
        </w:rPr>
        <w:t>at the material time</w:t>
      </w:r>
      <w:r w:rsidR="00AE6CFF">
        <w:rPr>
          <w:color w:val="000000" w:themeColor="text1"/>
        </w:rPr>
        <w:t xml:space="preserve">.  </w:t>
      </w:r>
      <w:r w:rsidR="008A1CEE">
        <w:rPr>
          <w:color w:val="000000" w:themeColor="text1"/>
        </w:rPr>
        <w:t xml:space="preserve">She was interviewed by </w:t>
      </w:r>
      <w:r w:rsidR="008A1CEE">
        <w:rPr>
          <w:color w:val="000000" w:themeColor="text1"/>
        </w:rPr>
        <w:lastRenderedPageBreak/>
        <w:t xml:space="preserve">the CSRC on </w:t>
      </w:r>
      <w:r>
        <w:rPr>
          <w:color w:val="000000" w:themeColor="text1"/>
        </w:rPr>
        <w:t>25 April 2017</w:t>
      </w:r>
      <w:r w:rsidR="00B51346">
        <w:rPr>
          <w:color w:val="000000" w:themeColor="text1"/>
        </w:rPr>
        <w:t xml:space="preserve"> and her answers were recorded in ROI of the same da</w:t>
      </w:r>
      <w:r w:rsidR="000C6AA4">
        <w:rPr>
          <w:color w:val="000000" w:themeColor="text1"/>
        </w:rPr>
        <w:t>te</w:t>
      </w:r>
      <w:r w:rsidR="00AE6CFF">
        <w:rPr>
          <w:color w:val="000000" w:themeColor="text1"/>
        </w:rPr>
        <w:t xml:space="preserve">.  </w:t>
      </w:r>
    </w:p>
    <w:p w14:paraId="62AAE76F" w14:textId="2194595B" w:rsidR="00A1242F" w:rsidRDefault="00A1242F" w:rsidP="00BC134A">
      <w:pPr>
        <w:pStyle w:val="points"/>
        <w:numPr>
          <w:ilvl w:val="0"/>
          <w:numId w:val="6"/>
        </w:numPr>
        <w:tabs>
          <w:tab w:val="clear" w:pos="1400"/>
        </w:tabs>
        <w:ind w:left="1418" w:hanging="698"/>
        <w:rPr>
          <w:color w:val="000000" w:themeColor="text1"/>
        </w:rPr>
      </w:pPr>
      <w:r>
        <w:rPr>
          <w:color w:val="000000" w:themeColor="text1"/>
        </w:rPr>
        <w:t xml:space="preserve">Ms Dong </w:t>
      </w:r>
      <w:proofErr w:type="spellStart"/>
      <w:r>
        <w:rPr>
          <w:color w:val="000000" w:themeColor="text1"/>
        </w:rPr>
        <w:t>Junyu</w:t>
      </w:r>
      <w:proofErr w:type="spellEnd"/>
      <w:r>
        <w:rPr>
          <w:color w:val="000000" w:themeColor="text1"/>
        </w:rPr>
        <w:t xml:space="preserve"> (“</w:t>
      </w:r>
      <w:r w:rsidRPr="00D02493">
        <w:rPr>
          <w:b/>
          <w:color w:val="000000" w:themeColor="text1"/>
        </w:rPr>
        <w:t>Ms Dong</w:t>
      </w:r>
      <w:r>
        <w:rPr>
          <w:color w:val="000000" w:themeColor="text1"/>
        </w:rPr>
        <w:t xml:space="preserve">”), internal control manager of </w:t>
      </w:r>
      <w:proofErr w:type="spellStart"/>
      <w:r>
        <w:rPr>
          <w:color w:val="000000" w:themeColor="text1"/>
        </w:rPr>
        <w:t>Zhongguancun</w:t>
      </w:r>
      <w:proofErr w:type="spellEnd"/>
      <w:r>
        <w:rPr>
          <w:color w:val="000000" w:themeColor="text1"/>
        </w:rPr>
        <w:t xml:space="preserve"> branch of PAB</w:t>
      </w:r>
      <w:r w:rsidR="00AE6CFF">
        <w:rPr>
          <w:color w:val="000000" w:themeColor="text1"/>
        </w:rPr>
        <w:t xml:space="preserve">.  </w:t>
      </w:r>
      <w:r w:rsidR="000C6AA4">
        <w:rPr>
          <w:color w:val="000000" w:themeColor="text1"/>
        </w:rPr>
        <w:t xml:space="preserve">She was interviewed by the CSRC on </w:t>
      </w:r>
      <w:r>
        <w:rPr>
          <w:color w:val="000000" w:themeColor="text1"/>
        </w:rPr>
        <w:t>6 June 2017</w:t>
      </w:r>
      <w:r w:rsidR="000C6AA4">
        <w:rPr>
          <w:color w:val="000000" w:themeColor="text1"/>
        </w:rPr>
        <w:t xml:space="preserve"> and her answers were recorded in ROI of the same date</w:t>
      </w:r>
      <w:r>
        <w:rPr>
          <w:color w:val="000000" w:themeColor="text1"/>
        </w:rPr>
        <w:t>.</w:t>
      </w:r>
    </w:p>
    <w:p w14:paraId="7A2C44B5" w14:textId="224F5C29" w:rsidR="00E52AFB" w:rsidRDefault="00940011">
      <w:pPr>
        <w:pStyle w:val="Final"/>
        <w:numPr>
          <w:ilvl w:val="0"/>
          <w:numId w:val="2"/>
        </w:numPr>
        <w:tabs>
          <w:tab w:val="clear" w:pos="720"/>
          <w:tab w:val="num" w:pos="0"/>
        </w:tabs>
        <w:ind w:left="0" w:firstLine="0"/>
        <w:rPr>
          <w:color w:val="000000" w:themeColor="text1"/>
        </w:rPr>
      </w:pPr>
      <w:r>
        <w:rPr>
          <w:color w:val="000000" w:themeColor="text1"/>
        </w:rPr>
        <w:t>Mr Jenkin Suen SC (leading Ms Sheena Wong), counsel for t</w:t>
      </w:r>
      <w:r w:rsidR="009D02D4">
        <w:rPr>
          <w:color w:val="000000" w:themeColor="text1"/>
        </w:rPr>
        <w:t>he SFC</w:t>
      </w:r>
      <w:r>
        <w:rPr>
          <w:color w:val="000000" w:themeColor="text1"/>
        </w:rPr>
        <w:t xml:space="preserve">, </w:t>
      </w:r>
      <w:r w:rsidR="008304FC">
        <w:rPr>
          <w:color w:val="000000" w:themeColor="text1"/>
        </w:rPr>
        <w:t>explain</w:t>
      </w:r>
      <w:r w:rsidR="00072DDA">
        <w:rPr>
          <w:color w:val="000000" w:themeColor="text1"/>
        </w:rPr>
        <w:t>ed</w:t>
      </w:r>
      <w:r w:rsidR="008304FC">
        <w:rPr>
          <w:color w:val="000000" w:themeColor="text1"/>
        </w:rPr>
        <w:t xml:space="preserve"> </w:t>
      </w:r>
      <w:r w:rsidR="009D02D4">
        <w:rPr>
          <w:color w:val="000000" w:themeColor="text1"/>
        </w:rPr>
        <w:t>that the reasons for not call</w:t>
      </w:r>
      <w:r>
        <w:rPr>
          <w:color w:val="000000" w:themeColor="text1"/>
        </w:rPr>
        <w:t>ing</w:t>
      </w:r>
      <w:r w:rsidR="009D02D4">
        <w:rPr>
          <w:color w:val="000000" w:themeColor="text1"/>
        </w:rPr>
        <w:t xml:space="preserve"> the a</w:t>
      </w:r>
      <w:r>
        <w:rPr>
          <w:color w:val="000000" w:themeColor="text1"/>
        </w:rPr>
        <w:t xml:space="preserve">foresaid </w:t>
      </w:r>
      <w:r w:rsidR="00007351">
        <w:rPr>
          <w:color w:val="000000" w:themeColor="text1"/>
        </w:rPr>
        <w:t xml:space="preserve">7 </w:t>
      </w:r>
      <w:r>
        <w:rPr>
          <w:color w:val="000000" w:themeColor="text1"/>
        </w:rPr>
        <w:t>interviewees t</w:t>
      </w:r>
      <w:r w:rsidR="009D02D4">
        <w:rPr>
          <w:color w:val="000000" w:themeColor="text1"/>
        </w:rPr>
        <w:t xml:space="preserve">o </w:t>
      </w:r>
      <w:r>
        <w:rPr>
          <w:color w:val="000000" w:themeColor="text1"/>
        </w:rPr>
        <w:t xml:space="preserve">give </w:t>
      </w:r>
      <w:r w:rsidRPr="00940011">
        <w:rPr>
          <w:i/>
          <w:iCs/>
          <w:color w:val="000000" w:themeColor="text1"/>
        </w:rPr>
        <w:t>viva voce</w:t>
      </w:r>
      <w:r>
        <w:rPr>
          <w:color w:val="000000" w:themeColor="text1"/>
        </w:rPr>
        <w:t xml:space="preserve"> evidence </w:t>
      </w:r>
      <w:r w:rsidR="00072DDA">
        <w:rPr>
          <w:color w:val="000000" w:themeColor="text1"/>
        </w:rPr>
        <w:t>were</w:t>
      </w:r>
      <w:r w:rsidR="009D02D4">
        <w:rPr>
          <w:color w:val="000000" w:themeColor="text1"/>
        </w:rPr>
        <w:t xml:space="preserve">: (1) Ms Su, Ms Fang and Ms Yu </w:t>
      </w:r>
      <w:r w:rsidR="00072DDA">
        <w:rPr>
          <w:color w:val="000000" w:themeColor="text1"/>
        </w:rPr>
        <w:t xml:space="preserve">were </w:t>
      </w:r>
      <w:r w:rsidR="009D02D4">
        <w:rPr>
          <w:color w:val="000000" w:themeColor="text1"/>
        </w:rPr>
        <w:t>no longer employed by Deloitte B</w:t>
      </w:r>
      <w:r w:rsidR="008304FC">
        <w:rPr>
          <w:color w:val="000000" w:themeColor="text1"/>
        </w:rPr>
        <w:t>J</w:t>
      </w:r>
      <w:r w:rsidR="009D02D4">
        <w:rPr>
          <w:color w:val="000000" w:themeColor="text1"/>
        </w:rPr>
        <w:t xml:space="preserve">; (2) Mr Li and Ms He </w:t>
      </w:r>
      <w:r w:rsidR="00072DDA">
        <w:rPr>
          <w:color w:val="000000" w:themeColor="text1"/>
        </w:rPr>
        <w:t xml:space="preserve">were </w:t>
      </w:r>
      <w:r w:rsidR="009D02D4">
        <w:rPr>
          <w:color w:val="000000" w:themeColor="text1"/>
        </w:rPr>
        <w:t>implicated in the wrongdoings complained of</w:t>
      </w:r>
      <w:r w:rsidR="008304FC">
        <w:rPr>
          <w:color w:val="000000" w:themeColor="text1"/>
        </w:rPr>
        <w:t xml:space="preserve"> in the Petition</w:t>
      </w:r>
      <w:r w:rsidR="0092296B">
        <w:rPr>
          <w:rStyle w:val="FootnoteReference"/>
          <w:color w:val="000000" w:themeColor="text1"/>
        </w:rPr>
        <w:footnoteReference w:id="4"/>
      </w:r>
      <w:r w:rsidR="0092296B">
        <w:rPr>
          <w:color w:val="000000" w:themeColor="text1"/>
        </w:rPr>
        <w:t>;</w:t>
      </w:r>
      <w:r w:rsidR="009D02D4">
        <w:rPr>
          <w:color w:val="000000" w:themeColor="text1"/>
        </w:rPr>
        <w:t xml:space="preserve"> </w:t>
      </w:r>
      <w:r w:rsidR="009C24A7">
        <w:rPr>
          <w:color w:val="000000" w:themeColor="text1"/>
        </w:rPr>
        <w:t xml:space="preserve">and </w:t>
      </w:r>
      <w:r w:rsidR="0092296B">
        <w:rPr>
          <w:color w:val="000000" w:themeColor="text1"/>
        </w:rPr>
        <w:t>(3)</w:t>
      </w:r>
      <w:r w:rsidR="009D02D4">
        <w:rPr>
          <w:color w:val="000000" w:themeColor="text1"/>
        </w:rPr>
        <w:t xml:space="preserve"> </w:t>
      </w:r>
      <w:r w:rsidR="009D02D4" w:rsidRPr="00B803E7">
        <w:rPr>
          <w:color w:val="000000" w:themeColor="text1"/>
        </w:rPr>
        <w:t>Ms Huang</w:t>
      </w:r>
      <w:r w:rsidR="009D02D4" w:rsidRPr="00591934">
        <w:rPr>
          <w:color w:val="000000" w:themeColor="text1"/>
        </w:rPr>
        <w:t xml:space="preserve"> and </w:t>
      </w:r>
      <w:r w:rsidR="009D02D4" w:rsidRPr="00B803E7">
        <w:rPr>
          <w:color w:val="000000" w:themeColor="text1"/>
        </w:rPr>
        <w:t>Ms Dong</w:t>
      </w:r>
      <w:r w:rsidR="009D02D4" w:rsidRPr="00591934">
        <w:rPr>
          <w:color w:val="000000" w:themeColor="text1"/>
        </w:rPr>
        <w:t xml:space="preserve"> </w:t>
      </w:r>
      <w:r w:rsidR="00072DDA">
        <w:rPr>
          <w:color w:val="000000" w:themeColor="text1"/>
        </w:rPr>
        <w:t xml:space="preserve">were </w:t>
      </w:r>
      <w:r w:rsidR="009D02D4" w:rsidRPr="00591934">
        <w:rPr>
          <w:color w:val="000000" w:themeColor="text1"/>
        </w:rPr>
        <w:t>colleagues of Mr Li and Ms He</w:t>
      </w:r>
      <w:r w:rsidR="009D02D4" w:rsidRPr="00B803E7">
        <w:rPr>
          <w:color w:val="000000" w:themeColor="text1"/>
        </w:rPr>
        <w:t xml:space="preserve"> </w:t>
      </w:r>
      <w:r w:rsidR="0092296B">
        <w:rPr>
          <w:color w:val="000000" w:themeColor="text1"/>
        </w:rPr>
        <w:t xml:space="preserve">at the </w:t>
      </w:r>
      <w:r w:rsidR="009D02D4" w:rsidRPr="00B803E7">
        <w:rPr>
          <w:color w:val="000000" w:themeColor="text1"/>
        </w:rPr>
        <w:t>respective branches,</w:t>
      </w:r>
      <w:r w:rsidR="009D02D4" w:rsidRPr="00591934">
        <w:rPr>
          <w:color w:val="000000" w:themeColor="text1"/>
        </w:rPr>
        <w:t xml:space="preserve"> </w:t>
      </w:r>
      <w:r w:rsidR="009D02D4" w:rsidRPr="00B803E7">
        <w:rPr>
          <w:color w:val="000000" w:themeColor="text1"/>
        </w:rPr>
        <w:t>and they show</w:t>
      </w:r>
      <w:r w:rsidR="009D02D4">
        <w:rPr>
          <w:color w:val="000000" w:themeColor="text1"/>
        </w:rPr>
        <w:t>ed</w:t>
      </w:r>
      <w:r w:rsidR="009D02D4" w:rsidRPr="00B803E7">
        <w:rPr>
          <w:color w:val="000000" w:themeColor="text1"/>
        </w:rPr>
        <w:t xml:space="preserve"> reluctance to give evidence in th</w:t>
      </w:r>
      <w:r w:rsidR="009D02D4">
        <w:rPr>
          <w:color w:val="000000" w:themeColor="text1"/>
        </w:rPr>
        <w:t>ese</w:t>
      </w:r>
      <w:r w:rsidR="009D02D4" w:rsidRPr="00B803E7">
        <w:rPr>
          <w:color w:val="000000" w:themeColor="text1"/>
        </w:rPr>
        <w:t xml:space="preserve"> proceedings</w:t>
      </w:r>
      <w:r w:rsidR="00AE6CFF">
        <w:rPr>
          <w:color w:val="000000" w:themeColor="text1"/>
        </w:rPr>
        <w:t xml:space="preserve">.  </w:t>
      </w:r>
      <w:r w:rsidR="00E42DEC" w:rsidRPr="005D413F">
        <w:rPr>
          <w:color w:val="000000" w:themeColor="text1"/>
        </w:rPr>
        <w:t>Given that th</w:t>
      </w:r>
      <w:r w:rsidR="00EE443F" w:rsidRPr="005D413F">
        <w:rPr>
          <w:color w:val="000000" w:themeColor="text1"/>
        </w:rPr>
        <w:t xml:space="preserve">e explanations </w:t>
      </w:r>
      <w:r w:rsidR="00072DDA">
        <w:rPr>
          <w:color w:val="000000" w:themeColor="text1"/>
        </w:rPr>
        <w:t>were</w:t>
      </w:r>
      <w:r w:rsidR="00072DDA" w:rsidRPr="005D413F">
        <w:rPr>
          <w:color w:val="000000" w:themeColor="text1"/>
        </w:rPr>
        <w:t xml:space="preserve"> </w:t>
      </w:r>
      <w:r w:rsidR="00EE443F" w:rsidRPr="005D413F">
        <w:rPr>
          <w:color w:val="000000" w:themeColor="text1"/>
        </w:rPr>
        <w:t xml:space="preserve">only provided at </w:t>
      </w:r>
      <w:proofErr w:type="gramStart"/>
      <w:r w:rsidR="00EE443F" w:rsidRPr="005D413F">
        <w:rPr>
          <w:color w:val="000000" w:themeColor="text1"/>
        </w:rPr>
        <w:t>trial,</w:t>
      </w:r>
      <w:proofErr w:type="gramEnd"/>
      <w:r w:rsidR="00EE443F" w:rsidRPr="005D413F">
        <w:rPr>
          <w:color w:val="000000" w:themeColor="text1"/>
        </w:rPr>
        <w:t xml:space="preserve"> the matter c</w:t>
      </w:r>
      <w:r w:rsidR="00072DDA">
        <w:rPr>
          <w:color w:val="000000" w:themeColor="text1"/>
        </w:rPr>
        <w:t xml:space="preserve">ould </w:t>
      </w:r>
      <w:r w:rsidR="00EE443F" w:rsidRPr="005D413F">
        <w:rPr>
          <w:color w:val="000000" w:themeColor="text1"/>
        </w:rPr>
        <w:t xml:space="preserve">not </w:t>
      </w:r>
      <w:r w:rsidR="00384FE3">
        <w:rPr>
          <w:color w:val="000000" w:themeColor="text1"/>
        </w:rPr>
        <w:t xml:space="preserve">properly </w:t>
      </w:r>
      <w:r w:rsidR="00EE443F" w:rsidRPr="005D413F">
        <w:rPr>
          <w:color w:val="000000" w:themeColor="text1"/>
        </w:rPr>
        <w:t>be explored</w:t>
      </w:r>
      <w:r w:rsidR="00AE6CFF">
        <w:rPr>
          <w:color w:val="000000" w:themeColor="text1"/>
        </w:rPr>
        <w:t xml:space="preserve">.  </w:t>
      </w:r>
    </w:p>
    <w:p w14:paraId="21519527" w14:textId="5AF8D7C7" w:rsidR="0040030D" w:rsidRDefault="00E52AFB">
      <w:pPr>
        <w:pStyle w:val="Final"/>
        <w:numPr>
          <w:ilvl w:val="0"/>
          <w:numId w:val="2"/>
        </w:numPr>
        <w:tabs>
          <w:tab w:val="clear" w:pos="720"/>
          <w:tab w:val="num" w:pos="0"/>
        </w:tabs>
        <w:ind w:left="0" w:firstLine="0"/>
        <w:rPr>
          <w:color w:val="000000" w:themeColor="text1"/>
        </w:rPr>
      </w:pPr>
      <w:r>
        <w:rPr>
          <w:color w:val="000000" w:themeColor="text1"/>
        </w:rPr>
        <w:t xml:space="preserve">Mr </w:t>
      </w:r>
      <w:proofErr w:type="spellStart"/>
      <w:r>
        <w:rPr>
          <w:color w:val="000000" w:themeColor="text1"/>
        </w:rPr>
        <w:t>Suen</w:t>
      </w:r>
      <w:proofErr w:type="spellEnd"/>
      <w:r>
        <w:rPr>
          <w:color w:val="000000" w:themeColor="text1"/>
        </w:rPr>
        <w:t xml:space="preserve"> submit</w:t>
      </w:r>
      <w:r w:rsidR="00072DDA">
        <w:rPr>
          <w:color w:val="000000" w:themeColor="text1"/>
        </w:rPr>
        <w:t>ted</w:t>
      </w:r>
      <w:r>
        <w:rPr>
          <w:color w:val="000000" w:themeColor="text1"/>
        </w:rPr>
        <w:t xml:space="preserve"> that ROIs are hearsay evidence</w:t>
      </w:r>
      <w:r w:rsidR="00CF0865" w:rsidRPr="00CF0865">
        <w:rPr>
          <w:color w:val="000000" w:themeColor="text1"/>
        </w:rPr>
        <w:t xml:space="preserve"> </w:t>
      </w:r>
      <w:r w:rsidR="00CF0865">
        <w:rPr>
          <w:color w:val="000000" w:themeColor="text1"/>
        </w:rPr>
        <w:t xml:space="preserve">and the parties </w:t>
      </w:r>
      <w:r w:rsidR="00F16110">
        <w:rPr>
          <w:color w:val="000000" w:themeColor="text1"/>
        </w:rPr>
        <w:t>have</w:t>
      </w:r>
      <w:r w:rsidR="00CF0865">
        <w:rPr>
          <w:color w:val="000000" w:themeColor="text1"/>
        </w:rPr>
        <w:t xml:space="preserve"> agreed to their admissi</w:t>
      </w:r>
      <w:r w:rsidR="00F16110">
        <w:rPr>
          <w:color w:val="000000" w:themeColor="text1"/>
        </w:rPr>
        <w:t>bility (</w:t>
      </w:r>
      <w:r w:rsidR="00CF0865">
        <w:rPr>
          <w:color w:val="000000" w:themeColor="text1"/>
        </w:rPr>
        <w:t>as reflected in §8 of the Directions</w:t>
      </w:r>
      <w:r w:rsidR="00F16110">
        <w:rPr>
          <w:color w:val="000000" w:themeColor="text1"/>
        </w:rPr>
        <w:t>)</w:t>
      </w:r>
      <w:r w:rsidR="00AE6CFF">
        <w:rPr>
          <w:color w:val="000000" w:themeColor="text1"/>
        </w:rPr>
        <w:t xml:space="preserve">.  </w:t>
      </w:r>
      <w:r w:rsidR="004219DD">
        <w:rPr>
          <w:color w:val="000000" w:themeColor="text1"/>
        </w:rPr>
        <w:t>There is no ground for exclu</w:t>
      </w:r>
      <w:r w:rsidR="00CF0865">
        <w:rPr>
          <w:color w:val="000000" w:themeColor="text1"/>
        </w:rPr>
        <w:t xml:space="preserve">ding the ROIs </w:t>
      </w:r>
      <w:r w:rsidR="004219DD">
        <w:rPr>
          <w:color w:val="000000" w:themeColor="text1"/>
        </w:rPr>
        <w:t>under s.47(1) of the Evidence Ordinance (Cap</w:t>
      </w:r>
      <w:r w:rsidR="00AE6CFF">
        <w:rPr>
          <w:color w:val="000000" w:themeColor="text1"/>
        </w:rPr>
        <w:t xml:space="preserve">. </w:t>
      </w:r>
      <w:r w:rsidR="004219DD">
        <w:rPr>
          <w:color w:val="000000" w:themeColor="text1"/>
        </w:rPr>
        <w:t>8)</w:t>
      </w:r>
      <w:r w:rsidR="00AE6CFF">
        <w:rPr>
          <w:color w:val="000000" w:themeColor="text1"/>
        </w:rPr>
        <w:t xml:space="preserve">.  </w:t>
      </w:r>
      <w:r w:rsidR="00F16110">
        <w:rPr>
          <w:color w:val="000000" w:themeColor="text1"/>
        </w:rPr>
        <w:t xml:space="preserve">Nor is there any </w:t>
      </w:r>
      <w:r w:rsidRPr="004219DD">
        <w:rPr>
          <w:color w:val="000000" w:themeColor="text1"/>
        </w:rPr>
        <w:t xml:space="preserve">rule against </w:t>
      </w:r>
      <w:r w:rsidR="00F16110">
        <w:rPr>
          <w:color w:val="000000" w:themeColor="text1"/>
        </w:rPr>
        <w:t xml:space="preserve">admitting ROIs </w:t>
      </w:r>
      <w:r w:rsidRPr="004219DD">
        <w:rPr>
          <w:color w:val="000000" w:themeColor="text1"/>
        </w:rPr>
        <w:t xml:space="preserve">in s.214 proceedings, </w:t>
      </w:r>
      <w:r w:rsidR="00F1113E">
        <w:rPr>
          <w:color w:val="000000" w:themeColor="text1"/>
        </w:rPr>
        <w:t xml:space="preserve">for </w:t>
      </w:r>
      <w:proofErr w:type="spellStart"/>
      <w:r w:rsidR="00F1113E">
        <w:rPr>
          <w:color w:val="000000" w:themeColor="text1"/>
        </w:rPr>
        <w:t>eg</w:t>
      </w:r>
      <w:proofErr w:type="spellEnd"/>
      <w:r w:rsidR="00F1113E">
        <w:rPr>
          <w:color w:val="000000" w:themeColor="text1"/>
        </w:rPr>
        <w:t xml:space="preserve">., </w:t>
      </w:r>
      <w:r w:rsidRPr="004219DD">
        <w:rPr>
          <w:i/>
          <w:iCs/>
          <w:color w:val="000000" w:themeColor="text1"/>
        </w:rPr>
        <w:t xml:space="preserve">SFC v Cheung </w:t>
      </w:r>
      <w:proofErr w:type="spellStart"/>
      <w:r w:rsidRPr="004219DD">
        <w:rPr>
          <w:i/>
          <w:iCs/>
          <w:color w:val="000000" w:themeColor="text1"/>
        </w:rPr>
        <w:t>Keng</w:t>
      </w:r>
      <w:proofErr w:type="spellEnd"/>
      <w:r w:rsidRPr="004219DD">
        <w:rPr>
          <w:i/>
          <w:iCs/>
          <w:color w:val="000000" w:themeColor="text1"/>
        </w:rPr>
        <w:t xml:space="preserve"> </w:t>
      </w:r>
      <w:proofErr w:type="spellStart"/>
      <w:r w:rsidRPr="004219DD">
        <w:rPr>
          <w:i/>
          <w:iCs/>
          <w:color w:val="000000" w:themeColor="text1"/>
        </w:rPr>
        <w:t>Ching</w:t>
      </w:r>
      <w:proofErr w:type="spellEnd"/>
      <w:r w:rsidR="00E753EC" w:rsidRPr="004219DD">
        <w:rPr>
          <w:i/>
          <w:iCs/>
          <w:color w:val="000000" w:themeColor="text1"/>
        </w:rPr>
        <w:t xml:space="preserve"> &amp; </w:t>
      </w:r>
      <w:proofErr w:type="spellStart"/>
      <w:r w:rsidR="00E753EC" w:rsidRPr="004219DD">
        <w:rPr>
          <w:i/>
          <w:iCs/>
          <w:color w:val="000000" w:themeColor="text1"/>
        </w:rPr>
        <w:t>ors</w:t>
      </w:r>
      <w:proofErr w:type="spellEnd"/>
      <w:r w:rsidRPr="004219DD">
        <w:rPr>
          <w:i/>
          <w:iCs/>
          <w:color w:val="000000" w:themeColor="text1"/>
        </w:rPr>
        <w:t>,</w:t>
      </w:r>
      <w:r w:rsidRPr="004219DD">
        <w:rPr>
          <w:color w:val="000000" w:themeColor="text1"/>
        </w:rPr>
        <w:t xml:space="preserve"> HCMP 1869/2008, 18 March 2010, §§10, 21, 41(3) &amp; 41(5) per Burrell J; </w:t>
      </w:r>
      <w:r w:rsidR="00E753EC" w:rsidRPr="004219DD">
        <w:rPr>
          <w:color w:val="000000" w:themeColor="text1"/>
        </w:rPr>
        <w:t xml:space="preserve">and the appeal therefrom [2011] 4 HKC 453, §§18(5) &amp; 18(7) per </w:t>
      </w:r>
      <w:proofErr w:type="spellStart"/>
      <w:r w:rsidR="00E753EC" w:rsidRPr="004219DD">
        <w:rPr>
          <w:color w:val="000000" w:themeColor="text1"/>
        </w:rPr>
        <w:t>Fok</w:t>
      </w:r>
      <w:proofErr w:type="spellEnd"/>
      <w:r w:rsidR="00E753EC" w:rsidRPr="004219DD">
        <w:rPr>
          <w:color w:val="000000" w:themeColor="text1"/>
        </w:rPr>
        <w:t xml:space="preserve"> JA</w:t>
      </w:r>
      <w:r w:rsidR="00AE6CFF">
        <w:rPr>
          <w:color w:val="000000" w:themeColor="text1"/>
        </w:rPr>
        <w:t xml:space="preserve">.  </w:t>
      </w:r>
      <w:r w:rsidR="00376683">
        <w:rPr>
          <w:color w:val="000000" w:themeColor="text1"/>
        </w:rPr>
        <w:t xml:space="preserve">Insofar as the </w:t>
      </w:r>
      <w:r w:rsidR="003F7670">
        <w:rPr>
          <w:color w:val="000000" w:themeColor="text1"/>
        </w:rPr>
        <w:t>c</w:t>
      </w:r>
      <w:r w:rsidR="00376683">
        <w:rPr>
          <w:color w:val="000000" w:themeColor="text1"/>
        </w:rPr>
        <w:t>ourt finds it appropriate to rely on such ROIs, it may have regard to the considerations as to weight as set out in s.49 of the Evidence Ordinance</w:t>
      </w:r>
      <w:r w:rsidR="00083239">
        <w:rPr>
          <w:color w:val="000000" w:themeColor="text1"/>
        </w:rPr>
        <w:t xml:space="preserve"> (</w:t>
      </w:r>
      <w:r w:rsidR="000C418A">
        <w:rPr>
          <w:color w:val="000000" w:themeColor="text1"/>
        </w:rPr>
        <w:t>C</w:t>
      </w:r>
      <w:r w:rsidR="00083239">
        <w:rPr>
          <w:color w:val="000000" w:themeColor="text1"/>
        </w:rPr>
        <w:t>ap</w:t>
      </w:r>
      <w:r w:rsidR="00AE6CFF">
        <w:rPr>
          <w:color w:val="000000" w:themeColor="text1"/>
        </w:rPr>
        <w:t xml:space="preserve">. </w:t>
      </w:r>
      <w:r w:rsidR="00083239">
        <w:rPr>
          <w:color w:val="000000" w:themeColor="text1"/>
        </w:rPr>
        <w:t>8)</w:t>
      </w:r>
      <w:r w:rsidR="00AE6CFF">
        <w:rPr>
          <w:color w:val="000000" w:themeColor="text1"/>
        </w:rPr>
        <w:t xml:space="preserve">.  </w:t>
      </w:r>
      <w:r w:rsidR="00376683">
        <w:rPr>
          <w:color w:val="000000" w:themeColor="text1"/>
        </w:rPr>
        <w:t xml:space="preserve"> </w:t>
      </w:r>
    </w:p>
    <w:p w14:paraId="2EDCEA85" w14:textId="28C7A806" w:rsidR="001239C3" w:rsidRDefault="001239C3">
      <w:pPr>
        <w:pStyle w:val="Final"/>
        <w:numPr>
          <w:ilvl w:val="0"/>
          <w:numId w:val="2"/>
        </w:numPr>
        <w:tabs>
          <w:tab w:val="clear" w:pos="720"/>
          <w:tab w:val="num" w:pos="0"/>
        </w:tabs>
        <w:ind w:left="0" w:firstLine="0"/>
        <w:rPr>
          <w:color w:val="000000" w:themeColor="text1"/>
        </w:rPr>
      </w:pPr>
      <w:r>
        <w:rPr>
          <w:color w:val="000000" w:themeColor="text1"/>
        </w:rPr>
        <w:lastRenderedPageBreak/>
        <w:t>I</w:t>
      </w:r>
      <w:r w:rsidR="006A6265">
        <w:rPr>
          <w:color w:val="000000" w:themeColor="text1"/>
        </w:rPr>
        <w:t xml:space="preserve"> </w:t>
      </w:r>
      <w:r>
        <w:rPr>
          <w:color w:val="000000" w:themeColor="text1"/>
        </w:rPr>
        <w:t xml:space="preserve">am unable to </w:t>
      </w:r>
      <w:r w:rsidR="008716FB">
        <w:rPr>
          <w:color w:val="000000" w:themeColor="text1"/>
        </w:rPr>
        <w:t>a</w:t>
      </w:r>
      <w:r w:rsidR="006A6265">
        <w:rPr>
          <w:color w:val="000000" w:themeColor="text1"/>
        </w:rPr>
        <w:t>ccept the approach of the SFC</w:t>
      </w:r>
      <w:r>
        <w:rPr>
          <w:color w:val="000000" w:themeColor="text1"/>
        </w:rPr>
        <w:t>:</w:t>
      </w:r>
      <w:r w:rsidR="005E73D6">
        <w:rPr>
          <w:color w:val="000000" w:themeColor="text1"/>
        </w:rPr>
        <w:t xml:space="preserve"> </w:t>
      </w:r>
    </w:p>
    <w:p w14:paraId="512EEB3D" w14:textId="4C1AC0F8" w:rsidR="00553BDE" w:rsidRDefault="00821A26" w:rsidP="005C174D">
      <w:pPr>
        <w:pStyle w:val="points"/>
        <w:numPr>
          <w:ilvl w:val="0"/>
          <w:numId w:val="18"/>
        </w:numPr>
        <w:tabs>
          <w:tab w:val="clear" w:pos="1400"/>
        </w:tabs>
      </w:pPr>
      <w:r>
        <w:t>The proceedings i</w:t>
      </w:r>
      <w:r w:rsidR="00AF42F2">
        <w:t xml:space="preserve">n </w:t>
      </w:r>
      <w:r w:rsidR="000926B7" w:rsidRPr="004219DD">
        <w:rPr>
          <w:i/>
          <w:iCs/>
        </w:rPr>
        <w:t xml:space="preserve">SFC v Cheung </w:t>
      </w:r>
      <w:proofErr w:type="spellStart"/>
      <w:r w:rsidR="000926B7" w:rsidRPr="004219DD">
        <w:rPr>
          <w:i/>
          <w:iCs/>
        </w:rPr>
        <w:t>Keng</w:t>
      </w:r>
      <w:proofErr w:type="spellEnd"/>
      <w:r w:rsidR="000926B7" w:rsidRPr="004219DD">
        <w:rPr>
          <w:i/>
          <w:iCs/>
        </w:rPr>
        <w:t xml:space="preserve"> </w:t>
      </w:r>
      <w:proofErr w:type="spellStart"/>
      <w:r w:rsidR="000926B7" w:rsidRPr="004219DD">
        <w:rPr>
          <w:i/>
          <w:iCs/>
        </w:rPr>
        <w:t>Ching</w:t>
      </w:r>
      <w:proofErr w:type="spellEnd"/>
      <w:r w:rsidR="000926B7" w:rsidRPr="004219DD">
        <w:rPr>
          <w:i/>
          <w:iCs/>
        </w:rPr>
        <w:t xml:space="preserve"> </w:t>
      </w:r>
      <w:r w:rsidR="007814C7" w:rsidRPr="004219DD">
        <w:t xml:space="preserve">were disposed of </w:t>
      </w:r>
      <w:r w:rsidR="00000245" w:rsidRPr="004219DD">
        <w:t xml:space="preserve">summarily </w:t>
      </w:r>
      <w:r w:rsidR="007814C7" w:rsidRPr="004219DD">
        <w:t xml:space="preserve">by way of </w:t>
      </w:r>
      <w:proofErr w:type="spellStart"/>
      <w:r w:rsidR="007814C7" w:rsidRPr="004219DD">
        <w:rPr>
          <w:i/>
          <w:iCs/>
        </w:rPr>
        <w:t>Carecraft</w:t>
      </w:r>
      <w:proofErr w:type="spellEnd"/>
      <w:r w:rsidR="007814C7" w:rsidRPr="004219DD">
        <w:rPr>
          <w:i/>
          <w:iCs/>
        </w:rPr>
        <w:t xml:space="preserve"> </w:t>
      </w:r>
      <w:r w:rsidR="007814C7" w:rsidRPr="004219DD">
        <w:t>procedure</w:t>
      </w:r>
      <w:r w:rsidR="00AE6CFF">
        <w:t xml:space="preserve">. </w:t>
      </w:r>
      <w:r w:rsidR="007814C7" w:rsidRPr="004219DD">
        <w:t xml:space="preserve"> </w:t>
      </w:r>
      <w:r w:rsidR="00003A25" w:rsidRPr="004219DD">
        <w:t xml:space="preserve">The court did not need to consider </w:t>
      </w:r>
      <w:r w:rsidR="00CF291A" w:rsidRPr="004219DD">
        <w:t xml:space="preserve">any </w:t>
      </w:r>
      <w:r w:rsidR="00003A25" w:rsidRPr="004219DD">
        <w:t>dispute</w:t>
      </w:r>
      <w:r w:rsidR="0079138F" w:rsidRPr="004219DD">
        <w:t>d evidence of fact</w:t>
      </w:r>
      <w:r w:rsidR="00CF291A" w:rsidRPr="004219DD">
        <w:t>s</w:t>
      </w:r>
      <w:r w:rsidR="00003A25" w:rsidRPr="004219DD">
        <w:t xml:space="preserve"> or make any findings </w:t>
      </w:r>
      <w:r w:rsidR="00CF291A" w:rsidRPr="004219DD">
        <w:t xml:space="preserve">for </w:t>
      </w:r>
      <w:r w:rsidR="00331686" w:rsidRPr="004219DD">
        <w:t xml:space="preserve">such </w:t>
      </w:r>
      <w:r w:rsidR="00CF291A" w:rsidRPr="004219DD">
        <w:t>purpose</w:t>
      </w:r>
      <w:r w:rsidR="00AE6CFF">
        <w:t xml:space="preserve">.  </w:t>
      </w:r>
      <w:r w:rsidR="00553BDE">
        <w:t xml:space="preserve">There was no discussion on </w:t>
      </w:r>
      <w:r w:rsidR="00770EE3">
        <w:t xml:space="preserve">any of </w:t>
      </w:r>
      <w:r w:rsidR="00553BDE">
        <w:t xml:space="preserve">the questions </w:t>
      </w:r>
      <w:r w:rsidR="00770EE3">
        <w:t xml:space="preserve">concerning the </w:t>
      </w:r>
      <w:r w:rsidR="00EB2823">
        <w:t xml:space="preserve">use of </w:t>
      </w:r>
      <w:r w:rsidR="00770EE3">
        <w:t xml:space="preserve">ROIs </w:t>
      </w:r>
      <w:r w:rsidR="00C049B1">
        <w:t xml:space="preserve">including those identified </w:t>
      </w:r>
      <w:r w:rsidR="00770EE3">
        <w:t xml:space="preserve">in </w:t>
      </w:r>
      <w:r w:rsidR="00770EE3" w:rsidRPr="00096B2B">
        <w:t>§</w:t>
      </w:r>
      <w:r w:rsidR="00B30FF4" w:rsidRPr="00096B2B">
        <w:t>5(4)</w:t>
      </w:r>
      <w:r w:rsidR="00770EE3">
        <w:t xml:space="preserve"> above.</w:t>
      </w:r>
    </w:p>
    <w:p w14:paraId="30B6B1EB" w14:textId="2AD784B6" w:rsidR="00D37E0B" w:rsidRDefault="005C1222" w:rsidP="005C174D">
      <w:pPr>
        <w:pStyle w:val="points"/>
        <w:numPr>
          <w:ilvl w:val="0"/>
          <w:numId w:val="18"/>
        </w:numPr>
        <w:tabs>
          <w:tab w:val="clear" w:pos="1400"/>
        </w:tabs>
        <w:rPr>
          <w:color w:val="000000" w:themeColor="text1"/>
        </w:rPr>
      </w:pPr>
      <w:r w:rsidRPr="004219DD">
        <w:rPr>
          <w:color w:val="000000" w:themeColor="text1"/>
        </w:rPr>
        <w:t xml:space="preserve">The </w:t>
      </w:r>
      <w:r w:rsidR="00553BDE" w:rsidRPr="00F034EB">
        <w:t>directions</w:t>
      </w:r>
      <w:r w:rsidR="00553BDE">
        <w:rPr>
          <w:color w:val="000000" w:themeColor="text1"/>
        </w:rPr>
        <w:t xml:space="preserve"> </w:t>
      </w:r>
      <w:r w:rsidR="00B543F2">
        <w:rPr>
          <w:color w:val="000000" w:themeColor="text1"/>
        </w:rPr>
        <w:t>i</w:t>
      </w:r>
      <w:r w:rsidR="00553BDE">
        <w:rPr>
          <w:color w:val="000000" w:themeColor="text1"/>
        </w:rPr>
        <w:t xml:space="preserve">n </w:t>
      </w:r>
      <w:r w:rsidR="00553BDE" w:rsidRPr="004219DD">
        <w:rPr>
          <w:i/>
          <w:iCs/>
          <w:color w:val="000000" w:themeColor="text1"/>
        </w:rPr>
        <w:t xml:space="preserve">SFC v Cheung </w:t>
      </w:r>
      <w:proofErr w:type="spellStart"/>
      <w:r w:rsidR="00553BDE" w:rsidRPr="004219DD">
        <w:rPr>
          <w:i/>
          <w:iCs/>
          <w:color w:val="000000" w:themeColor="text1"/>
        </w:rPr>
        <w:t>Keng</w:t>
      </w:r>
      <w:proofErr w:type="spellEnd"/>
      <w:r w:rsidR="00553BDE" w:rsidRPr="004219DD">
        <w:rPr>
          <w:i/>
          <w:iCs/>
          <w:color w:val="000000" w:themeColor="text1"/>
        </w:rPr>
        <w:t xml:space="preserve"> </w:t>
      </w:r>
      <w:proofErr w:type="spellStart"/>
      <w:r w:rsidR="00553BDE" w:rsidRPr="004219DD">
        <w:rPr>
          <w:i/>
          <w:iCs/>
          <w:color w:val="000000" w:themeColor="text1"/>
        </w:rPr>
        <w:t>Ching</w:t>
      </w:r>
      <w:proofErr w:type="spellEnd"/>
      <w:r w:rsidR="00553BDE" w:rsidRPr="004219DD">
        <w:rPr>
          <w:color w:val="000000" w:themeColor="text1"/>
        </w:rPr>
        <w:t xml:space="preserve"> </w:t>
      </w:r>
      <w:r w:rsidR="00B30FF4">
        <w:rPr>
          <w:color w:val="000000" w:themeColor="text1"/>
        </w:rPr>
        <w:t>(relied on by Mr Suen)</w:t>
      </w:r>
      <w:r w:rsidR="00451A4F">
        <w:rPr>
          <w:color w:val="000000" w:themeColor="text1"/>
        </w:rPr>
        <w:t>,</w:t>
      </w:r>
      <w:r w:rsidR="00B30FF4">
        <w:rPr>
          <w:color w:val="000000" w:themeColor="text1"/>
        </w:rPr>
        <w:t xml:space="preserve"> which </w:t>
      </w:r>
      <w:r w:rsidR="00331686" w:rsidRPr="004219DD">
        <w:rPr>
          <w:color w:val="000000" w:themeColor="text1"/>
        </w:rPr>
        <w:t xml:space="preserve">allowed the company to use </w:t>
      </w:r>
      <w:r w:rsidR="00902D43" w:rsidRPr="004219DD">
        <w:rPr>
          <w:color w:val="000000" w:themeColor="text1"/>
        </w:rPr>
        <w:t xml:space="preserve">the </w:t>
      </w:r>
      <w:r w:rsidR="00174D27" w:rsidRPr="004219DD">
        <w:rPr>
          <w:color w:val="000000" w:themeColor="text1"/>
        </w:rPr>
        <w:t xml:space="preserve">affirmations, statements, ROIs and other documents filed or disclosed by the parties in the </w:t>
      </w:r>
      <w:r w:rsidR="00B30FF4">
        <w:rPr>
          <w:color w:val="000000" w:themeColor="text1"/>
        </w:rPr>
        <w:t xml:space="preserve">s.214 </w:t>
      </w:r>
      <w:r w:rsidR="00174D27" w:rsidRPr="004219DD">
        <w:rPr>
          <w:color w:val="000000" w:themeColor="text1"/>
        </w:rPr>
        <w:t>proceedings</w:t>
      </w:r>
      <w:r w:rsidR="00140D82" w:rsidRPr="004219DD">
        <w:rPr>
          <w:color w:val="000000" w:themeColor="text1"/>
        </w:rPr>
        <w:t xml:space="preserve"> </w:t>
      </w:r>
      <w:r w:rsidR="005434F6" w:rsidRPr="004219DD">
        <w:rPr>
          <w:color w:val="000000" w:themeColor="text1"/>
        </w:rPr>
        <w:t>in the civil proceedings to be commenced</w:t>
      </w:r>
      <w:r w:rsidR="00A62329">
        <w:rPr>
          <w:rStyle w:val="FootnoteReference"/>
          <w:color w:val="000000" w:themeColor="text1"/>
        </w:rPr>
        <w:footnoteReference w:id="5"/>
      </w:r>
      <w:r w:rsidR="001A1F10">
        <w:rPr>
          <w:color w:val="000000" w:themeColor="text1"/>
        </w:rPr>
        <w:t xml:space="preserve"> against </w:t>
      </w:r>
      <w:r w:rsidR="001B5D9D">
        <w:rPr>
          <w:color w:val="000000" w:themeColor="text1"/>
        </w:rPr>
        <w:t>the 1</w:t>
      </w:r>
      <w:r w:rsidR="001B5D9D" w:rsidRPr="001B5D9D">
        <w:rPr>
          <w:color w:val="000000" w:themeColor="text1"/>
          <w:vertAlign w:val="superscript"/>
        </w:rPr>
        <w:t>st</w:t>
      </w:r>
      <w:r w:rsidR="001B5D9D">
        <w:rPr>
          <w:color w:val="000000" w:themeColor="text1"/>
        </w:rPr>
        <w:t xml:space="preserve"> to 3</w:t>
      </w:r>
      <w:r w:rsidR="001B5D9D" w:rsidRPr="001B5D9D">
        <w:rPr>
          <w:color w:val="000000" w:themeColor="text1"/>
          <w:vertAlign w:val="superscript"/>
        </w:rPr>
        <w:t>rd</w:t>
      </w:r>
      <w:r w:rsidR="001B5D9D">
        <w:rPr>
          <w:color w:val="000000" w:themeColor="text1"/>
        </w:rPr>
        <w:t xml:space="preserve"> respondents (</w:t>
      </w:r>
      <w:r w:rsidR="00CA063B">
        <w:rPr>
          <w:color w:val="000000" w:themeColor="text1"/>
        </w:rPr>
        <w:t>former directors</w:t>
      </w:r>
      <w:r w:rsidR="001A1F10">
        <w:rPr>
          <w:color w:val="000000" w:themeColor="text1"/>
        </w:rPr>
        <w:t xml:space="preserve"> </w:t>
      </w:r>
      <w:r w:rsidR="00260BEE">
        <w:rPr>
          <w:color w:val="000000" w:themeColor="text1"/>
        </w:rPr>
        <w:t xml:space="preserve">of the company </w:t>
      </w:r>
      <w:r w:rsidR="001B5D9D">
        <w:rPr>
          <w:color w:val="000000" w:themeColor="text1"/>
        </w:rPr>
        <w:t xml:space="preserve">against whom the court made </w:t>
      </w:r>
      <w:r w:rsidR="00B30FF4">
        <w:rPr>
          <w:color w:val="000000" w:themeColor="text1"/>
        </w:rPr>
        <w:t xml:space="preserve">the </w:t>
      </w:r>
      <w:r w:rsidR="001B5D9D">
        <w:rPr>
          <w:color w:val="000000" w:themeColor="text1"/>
        </w:rPr>
        <w:t>disqualification orders</w:t>
      </w:r>
      <w:r w:rsidR="00CA063B">
        <w:rPr>
          <w:color w:val="000000" w:themeColor="text1"/>
        </w:rPr>
        <w:t>)</w:t>
      </w:r>
      <w:r w:rsidR="00451A4F">
        <w:rPr>
          <w:color w:val="000000" w:themeColor="text1"/>
        </w:rPr>
        <w:t>,</w:t>
      </w:r>
      <w:r w:rsidR="00CA063B">
        <w:rPr>
          <w:color w:val="000000" w:themeColor="text1"/>
        </w:rPr>
        <w:t xml:space="preserve"> </w:t>
      </w:r>
      <w:r w:rsidR="00843D61">
        <w:rPr>
          <w:color w:val="000000" w:themeColor="text1"/>
        </w:rPr>
        <w:t>we</w:t>
      </w:r>
      <w:r w:rsidR="001A1F10">
        <w:rPr>
          <w:color w:val="000000" w:themeColor="text1"/>
        </w:rPr>
        <w:t>re made in the conte</w:t>
      </w:r>
      <w:r w:rsidR="00A52FAC">
        <w:rPr>
          <w:color w:val="000000" w:themeColor="text1"/>
        </w:rPr>
        <w:t>x</w:t>
      </w:r>
      <w:r w:rsidR="001A1F10">
        <w:rPr>
          <w:color w:val="000000" w:themeColor="text1"/>
        </w:rPr>
        <w:t xml:space="preserve">t </w:t>
      </w:r>
      <w:r w:rsidR="00A52FAC">
        <w:rPr>
          <w:color w:val="000000" w:themeColor="text1"/>
        </w:rPr>
        <w:t xml:space="preserve">of the court </w:t>
      </w:r>
      <w:r w:rsidR="003C4098">
        <w:rPr>
          <w:color w:val="000000" w:themeColor="text1"/>
        </w:rPr>
        <w:t xml:space="preserve">having </w:t>
      </w:r>
      <w:r w:rsidR="00CA063B" w:rsidRPr="004219DD">
        <w:rPr>
          <w:color w:val="000000" w:themeColor="text1"/>
        </w:rPr>
        <w:t xml:space="preserve">ordered the company to commence civil proceedings against </w:t>
      </w:r>
      <w:r w:rsidR="00CA063B">
        <w:rPr>
          <w:color w:val="000000" w:themeColor="text1"/>
        </w:rPr>
        <w:t xml:space="preserve">such </w:t>
      </w:r>
      <w:r w:rsidR="00CA063B" w:rsidRPr="004219DD">
        <w:rPr>
          <w:color w:val="000000" w:themeColor="text1"/>
        </w:rPr>
        <w:t>respondents to seek recovery or compensation for the loss suffered</w:t>
      </w:r>
      <w:r w:rsidR="00AE6CFF">
        <w:rPr>
          <w:color w:val="000000" w:themeColor="text1"/>
        </w:rPr>
        <w:t xml:space="preserve">.  </w:t>
      </w:r>
      <w:r w:rsidR="00260BEE">
        <w:rPr>
          <w:color w:val="000000" w:themeColor="text1"/>
        </w:rPr>
        <w:t xml:space="preserve">The court made </w:t>
      </w:r>
      <w:r w:rsidR="005434F6" w:rsidRPr="004219DD">
        <w:rPr>
          <w:color w:val="000000" w:themeColor="text1"/>
        </w:rPr>
        <w:t xml:space="preserve">clear </w:t>
      </w:r>
      <w:r w:rsidR="00140D82" w:rsidRPr="004219DD">
        <w:rPr>
          <w:color w:val="000000" w:themeColor="text1"/>
        </w:rPr>
        <w:t xml:space="preserve">that the </w:t>
      </w:r>
      <w:r w:rsidR="005434F6" w:rsidRPr="004219DD">
        <w:rPr>
          <w:color w:val="000000" w:themeColor="text1"/>
        </w:rPr>
        <w:t xml:space="preserve">questions of admissibility and weight of such evidence are matters for the </w:t>
      </w:r>
      <w:r w:rsidR="00140D82" w:rsidRPr="004219DD">
        <w:rPr>
          <w:color w:val="000000" w:themeColor="text1"/>
        </w:rPr>
        <w:t>court hearing the civil proceedings</w:t>
      </w:r>
      <w:r w:rsidR="0088266B" w:rsidRPr="004219DD">
        <w:rPr>
          <w:color w:val="000000" w:themeColor="text1"/>
        </w:rPr>
        <w:t>.</w:t>
      </w:r>
    </w:p>
    <w:p w14:paraId="238573D5" w14:textId="25A1E2E6" w:rsidR="008C159F" w:rsidRDefault="008C159F" w:rsidP="005C174D">
      <w:pPr>
        <w:pStyle w:val="points"/>
        <w:numPr>
          <w:ilvl w:val="0"/>
          <w:numId w:val="18"/>
        </w:numPr>
        <w:tabs>
          <w:tab w:val="clear" w:pos="1400"/>
        </w:tabs>
        <w:rPr>
          <w:color w:val="000000" w:themeColor="text1"/>
        </w:rPr>
      </w:pPr>
      <w:r>
        <w:rPr>
          <w:color w:val="000000" w:themeColor="text1"/>
        </w:rPr>
        <w:t xml:space="preserve">It </w:t>
      </w:r>
      <w:r w:rsidR="00D35649">
        <w:rPr>
          <w:color w:val="000000" w:themeColor="text1"/>
        </w:rPr>
        <w:t>was</w:t>
      </w:r>
      <w:r>
        <w:rPr>
          <w:color w:val="000000" w:themeColor="text1"/>
        </w:rPr>
        <w:t xml:space="preserve"> for the SFC </w:t>
      </w:r>
      <w:r w:rsidR="00626584">
        <w:rPr>
          <w:color w:val="000000" w:themeColor="text1"/>
        </w:rPr>
        <w:t xml:space="preserve">(not the court) </w:t>
      </w:r>
      <w:r>
        <w:rPr>
          <w:color w:val="000000" w:themeColor="text1"/>
        </w:rPr>
        <w:t xml:space="preserve">to identify which </w:t>
      </w:r>
      <w:r w:rsidR="00D35649">
        <w:rPr>
          <w:color w:val="000000" w:themeColor="text1"/>
        </w:rPr>
        <w:t xml:space="preserve">specific </w:t>
      </w:r>
      <w:r>
        <w:rPr>
          <w:color w:val="000000" w:themeColor="text1"/>
        </w:rPr>
        <w:t>parts of ROIs it rel</w:t>
      </w:r>
      <w:r w:rsidR="00D35649">
        <w:rPr>
          <w:color w:val="000000" w:themeColor="text1"/>
        </w:rPr>
        <w:t>ied</w:t>
      </w:r>
      <w:r>
        <w:rPr>
          <w:color w:val="000000" w:themeColor="text1"/>
        </w:rPr>
        <w:t xml:space="preserve"> on, </w:t>
      </w:r>
      <w:r w:rsidR="00A95349">
        <w:rPr>
          <w:color w:val="000000" w:themeColor="text1"/>
        </w:rPr>
        <w:t>so that Mr Wen c</w:t>
      </w:r>
      <w:r w:rsidR="00535C88">
        <w:rPr>
          <w:color w:val="000000" w:themeColor="text1"/>
        </w:rPr>
        <w:t>ould</w:t>
      </w:r>
      <w:r w:rsidR="00A95349">
        <w:rPr>
          <w:color w:val="000000" w:themeColor="text1"/>
        </w:rPr>
        <w:t xml:space="preserve"> decide whether </w:t>
      </w:r>
      <w:r w:rsidR="00535C88">
        <w:rPr>
          <w:color w:val="000000" w:themeColor="text1"/>
        </w:rPr>
        <w:t xml:space="preserve">to </w:t>
      </w:r>
      <w:r w:rsidR="00A95349">
        <w:rPr>
          <w:color w:val="000000" w:themeColor="text1"/>
        </w:rPr>
        <w:t>dispute their contents</w:t>
      </w:r>
      <w:r w:rsidR="00AE6CFF">
        <w:rPr>
          <w:color w:val="000000" w:themeColor="text1"/>
        </w:rPr>
        <w:t xml:space="preserve">.  </w:t>
      </w:r>
      <w:r w:rsidR="00D35BEB">
        <w:rPr>
          <w:color w:val="000000" w:themeColor="text1"/>
        </w:rPr>
        <w:t>The</w:t>
      </w:r>
      <w:r w:rsidR="00626584">
        <w:rPr>
          <w:color w:val="000000" w:themeColor="text1"/>
        </w:rPr>
        <w:t xml:space="preserve"> </w:t>
      </w:r>
      <w:r w:rsidR="00EF48EC">
        <w:rPr>
          <w:color w:val="000000" w:themeColor="text1"/>
        </w:rPr>
        <w:t xml:space="preserve">SFC </w:t>
      </w:r>
      <w:r w:rsidR="00BF0F9F">
        <w:rPr>
          <w:color w:val="000000" w:themeColor="text1"/>
        </w:rPr>
        <w:t xml:space="preserve">could </w:t>
      </w:r>
      <w:r w:rsidR="00626584">
        <w:rPr>
          <w:color w:val="000000" w:themeColor="text1"/>
        </w:rPr>
        <w:t xml:space="preserve">then </w:t>
      </w:r>
      <w:r w:rsidR="00EF48EC">
        <w:rPr>
          <w:color w:val="000000" w:themeColor="text1"/>
        </w:rPr>
        <w:t xml:space="preserve">make submissions </w:t>
      </w:r>
      <w:r w:rsidR="007530F8">
        <w:rPr>
          <w:color w:val="000000" w:themeColor="text1"/>
        </w:rPr>
        <w:t>on</w:t>
      </w:r>
      <w:r w:rsidR="00151DE4">
        <w:rPr>
          <w:color w:val="000000" w:themeColor="text1"/>
        </w:rPr>
        <w:t xml:space="preserve"> what weight should be given to th</w:t>
      </w:r>
      <w:r w:rsidR="007530F8">
        <w:rPr>
          <w:color w:val="000000" w:themeColor="text1"/>
        </w:rPr>
        <w:t>os</w:t>
      </w:r>
      <w:r w:rsidR="00151DE4">
        <w:rPr>
          <w:color w:val="000000" w:themeColor="text1"/>
        </w:rPr>
        <w:t xml:space="preserve">e </w:t>
      </w:r>
      <w:r w:rsidR="007530F8">
        <w:rPr>
          <w:color w:val="000000" w:themeColor="text1"/>
        </w:rPr>
        <w:t xml:space="preserve">ROIs, taking into account their relevance, probative value and the </w:t>
      </w:r>
      <w:r w:rsidR="007530F8">
        <w:rPr>
          <w:color w:val="000000" w:themeColor="text1"/>
        </w:rPr>
        <w:lastRenderedPageBreak/>
        <w:t>reason</w:t>
      </w:r>
      <w:r w:rsidR="00626584">
        <w:rPr>
          <w:color w:val="000000" w:themeColor="text1"/>
        </w:rPr>
        <w:t>s</w:t>
      </w:r>
      <w:r w:rsidR="007530F8">
        <w:rPr>
          <w:color w:val="000000" w:themeColor="text1"/>
        </w:rPr>
        <w:t xml:space="preserve"> for not calling the interviewees to attend trial to give oral evidence</w:t>
      </w:r>
      <w:r w:rsidR="00AE6CFF">
        <w:rPr>
          <w:color w:val="000000" w:themeColor="text1"/>
        </w:rPr>
        <w:t xml:space="preserve">.    </w:t>
      </w:r>
    </w:p>
    <w:p w14:paraId="79C9CFE6" w14:textId="1C44F1DD" w:rsidR="00314F1C" w:rsidRDefault="00437F3D">
      <w:pPr>
        <w:pStyle w:val="Final"/>
        <w:numPr>
          <w:ilvl w:val="0"/>
          <w:numId w:val="2"/>
        </w:numPr>
        <w:tabs>
          <w:tab w:val="clear" w:pos="720"/>
          <w:tab w:val="num" w:pos="0"/>
        </w:tabs>
        <w:ind w:left="0" w:firstLine="0"/>
        <w:rPr>
          <w:color w:val="000000" w:themeColor="text1"/>
        </w:rPr>
      </w:pPr>
      <w:r>
        <w:rPr>
          <w:color w:val="000000" w:themeColor="text1"/>
        </w:rPr>
        <w:t xml:space="preserve">Mr </w:t>
      </w:r>
      <w:proofErr w:type="spellStart"/>
      <w:r>
        <w:rPr>
          <w:color w:val="000000" w:themeColor="text1"/>
        </w:rPr>
        <w:t>Suen</w:t>
      </w:r>
      <w:proofErr w:type="spellEnd"/>
      <w:r>
        <w:rPr>
          <w:color w:val="000000" w:themeColor="text1"/>
        </w:rPr>
        <w:t xml:space="preserve"> confirmed that the SFC mainly relied on those ROIs referred to in footnotes 4 and 5 to his written Closing.  The ROIs identified in </w:t>
      </w:r>
      <w:r w:rsidRPr="00414C1D">
        <w:rPr>
          <w:color w:val="000000" w:themeColor="text1"/>
          <w:u w:val="single"/>
        </w:rPr>
        <w:t>footnote 4</w:t>
      </w:r>
      <w:r>
        <w:rPr>
          <w:color w:val="000000" w:themeColor="text1"/>
        </w:rPr>
        <w:t xml:space="preserve"> relate to the answers given by the staff of HXB and PAB where they said that they had not seen the “Company’s </w:t>
      </w:r>
      <w:r w:rsidRPr="00807711">
        <w:rPr>
          <w:color w:val="000000" w:themeColor="text1"/>
        </w:rPr>
        <w:t>Records”</w:t>
      </w:r>
      <w:r>
        <w:rPr>
          <w:color w:val="000000" w:themeColor="text1"/>
        </w:rPr>
        <w:t xml:space="preserve"> (as defined in </w:t>
      </w:r>
      <w:r w:rsidRPr="00F9387A">
        <w:rPr>
          <w:color w:val="000000" w:themeColor="text1"/>
        </w:rPr>
        <w:t>§</w:t>
      </w:r>
      <w:r>
        <w:rPr>
          <w:color w:val="000000" w:themeColor="text1"/>
        </w:rPr>
        <w:t>39 below)</w:t>
      </w:r>
      <w:r w:rsidR="002F72CD">
        <w:rPr>
          <w:color w:val="000000" w:themeColor="text1"/>
        </w:rPr>
        <w:t xml:space="preserve">. </w:t>
      </w:r>
      <w:r w:rsidR="00DD08D3">
        <w:rPr>
          <w:color w:val="000000" w:themeColor="text1"/>
        </w:rPr>
        <w:t xml:space="preserve">Those answers were in very </w:t>
      </w:r>
      <w:r w:rsidR="00824971">
        <w:rPr>
          <w:color w:val="000000" w:themeColor="text1"/>
        </w:rPr>
        <w:t>general terms</w:t>
      </w:r>
      <w:r w:rsidR="00F97FB5">
        <w:rPr>
          <w:color w:val="000000" w:themeColor="text1"/>
        </w:rPr>
        <w:t xml:space="preserve"> and not sufficient to prove that the Schemes had been </w:t>
      </w:r>
      <w:r w:rsidR="002B6681">
        <w:rPr>
          <w:color w:val="000000" w:themeColor="text1"/>
        </w:rPr>
        <w:t>perpetrated</w:t>
      </w:r>
      <w:r w:rsidR="00F97FB5">
        <w:rPr>
          <w:color w:val="000000" w:themeColor="text1"/>
        </w:rPr>
        <w:t>.</w:t>
      </w:r>
      <w:r w:rsidR="002B6681">
        <w:rPr>
          <w:color w:val="000000" w:themeColor="text1"/>
        </w:rPr>
        <w:t xml:space="preserve"> </w:t>
      </w:r>
      <w:r w:rsidR="00792B27">
        <w:rPr>
          <w:color w:val="000000" w:themeColor="text1"/>
        </w:rPr>
        <w:t>However</w:t>
      </w:r>
      <w:r w:rsidR="00314F1C">
        <w:rPr>
          <w:color w:val="000000" w:themeColor="text1"/>
        </w:rPr>
        <w:t>:</w:t>
      </w:r>
    </w:p>
    <w:p w14:paraId="0A1A1479" w14:textId="56025A9F" w:rsidR="0001315A" w:rsidRDefault="00B50B12" w:rsidP="005C174D">
      <w:pPr>
        <w:pStyle w:val="points"/>
        <w:numPr>
          <w:ilvl w:val="0"/>
          <w:numId w:val="19"/>
        </w:numPr>
        <w:tabs>
          <w:tab w:val="clear" w:pos="1400"/>
        </w:tabs>
      </w:pPr>
      <w:r w:rsidRPr="00314F1C">
        <w:t xml:space="preserve">The SFC </w:t>
      </w:r>
      <w:r w:rsidR="00E538BD">
        <w:t xml:space="preserve">has </w:t>
      </w:r>
      <w:r w:rsidR="000263B9" w:rsidRPr="00314F1C">
        <w:t>adduced</w:t>
      </w:r>
      <w:r w:rsidR="00421EA1" w:rsidRPr="00314F1C">
        <w:t xml:space="preserve"> </w:t>
      </w:r>
      <w:r w:rsidR="00314F1C" w:rsidRPr="0059122C">
        <w:rPr>
          <w:i/>
          <w:iCs/>
        </w:rPr>
        <w:t>all</w:t>
      </w:r>
      <w:r w:rsidR="00314F1C">
        <w:t xml:space="preserve"> </w:t>
      </w:r>
      <w:r w:rsidR="0078208A" w:rsidRPr="00314F1C">
        <w:t xml:space="preserve">the records of </w:t>
      </w:r>
      <w:r w:rsidR="005E3E0D" w:rsidRPr="00314F1C">
        <w:t xml:space="preserve">the </w:t>
      </w:r>
      <w:r w:rsidR="0097210D" w:rsidRPr="00314F1C">
        <w:t>“</w:t>
      </w:r>
      <w:r w:rsidR="0078208A" w:rsidRPr="00314F1C">
        <w:t xml:space="preserve">8 </w:t>
      </w:r>
      <w:r w:rsidR="0097210D" w:rsidRPr="00314F1C">
        <w:t>B</w:t>
      </w:r>
      <w:r w:rsidR="0078208A" w:rsidRPr="00314F1C">
        <w:t xml:space="preserve">ank </w:t>
      </w:r>
      <w:r w:rsidR="0097210D" w:rsidRPr="00314F1C">
        <w:t>A</w:t>
      </w:r>
      <w:r w:rsidR="0078208A" w:rsidRPr="00314F1C">
        <w:t>ccounts</w:t>
      </w:r>
      <w:r w:rsidR="0097210D" w:rsidRPr="00314F1C">
        <w:t>”</w:t>
      </w:r>
      <w:r w:rsidR="0078208A" w:rsidRPr="00314F1C">
        <w:t xml:space="preserve"> </w:t>
      </w:r>
      <w:r w:rsidR="000263B9" w:rsidRPr="00314F1C">
        <w:t xml:space="preserve">(as </w:t>
      </w:r>
      <w:r w:rsidR="0081545F" w:rsidRPr="00314F1C">
        <w:t xml:space="preserve">described </w:t>
      </w:r>
      <w:r w:rsidR="000263B9" w:rsidRPr="00314F1C">
        <w:t xml:space="preserve">in </w:t>
      </w:r>
      <w:r w:rsidR="000263B9" w:rsidRPr="00096B2B">
        <w:t>§</w:t>
      </w:r>
      <w:r w:rsidR="00026758" w:rsidRPr="00096B2B">
        <w:t>39(2)</w:t>
      </w:r>
      <w:r w:rsidR="000263B9" w:rsidRPr="00314F1C">
        <w:t xml:space="preserve"> </w:t>
      </w:r>
      <w:r w:rsidR="000263B9">
        <w:t xml:space="preserve">below) </w:t>
      </w:r>
      <w:r w:rsidR="0097210D" w:rsidRPr="00314F1C">
        <w:t xml:space="preserve">for the period from 2012 to 2015 </w:t>
      </w:r>
      <w:r w:rsidR="004C5C29" w:rsidRPr="00314F1C">
        <w:t xml:space="preserve">obtained by </w:t>
      </w:r>
      <w:r w:rsidR="00972A59">
        <w:t xml:space="preserve">the </w:t>
      </w:r>
      <w:r w:rsidR="004C5C29" w:rsidRPr="00314F1C">
        <w:t xml:space="preserve">CSRC from HXB and PAB </w:t>
      </w:r>
      <w:r w:rsidR="005E3E0D" w:rsidRPr="00314F1C">
        <w:t xml:space="preserve">(collectively </w:t>
      </w:r>
      <w:r w:rsidRPr="00314F1C">
        <w:t>“</w:t>
      </w:r>
      <w:r w:rsidRPr="00314F1C">
        <w:rPr>
          <w:b/>
          <w:bCs/>
        </w:rPr>
        <w:t>CSRC</w:t>
      </w:r>
      <w:r w:rsidR="00F84CAD">
        <w:rPr>
          <w:b/>
          <w:bCs/>
        </w:rPr>
        <w:t>’s</w:t>
      </w:r>
      <w:r w:rsidRPr="00314F1C">
        <w:rPr>
          <w:b/>
          <w:bCs/>
        </w:rPr>
        <w:t xml:space="preserve"> Records</w:t>
      </w:r>
      <w:r w:rsidRPr="00314F1C">
        <w:t>”</w:t>
      </w:r>
      <w:r w:rsidR="005E3E0D" w:rsidRPr="00314F1C">
        <w:t>)</w:t>
      </w:r>
      <w:r w:rsidRPr="00314F1C">
        <w:t xml:space="preserve"> </w:t>
      </w:r>
      <w:r w:rsidR="001B6D4D" w:rsidRPr="00314F1C">
        <w:t>as documentary evidence</w:t>
      </w:r>
      <w:r w:rsidR="00AE6CFF">
        <w:t xml:space="preserve">.  </w:t>
      </w:r>
      <w:r w:rsidR="001B6D4D" w:rsidRPr="00314F1C">
        <w:t>The CSRC</w:t>
      </w:r>
      <w:r w:rsidR="00F84CAD">
        <w:t>’s</w:t>
      </w:r>
      <w:r w:rsidR="001B6D4D" w:rsidRPr="00314F1C">
        <w:t xml:space="preserve"> Records d</w:t>
      </w:r>
      <w:r w:rsidR="00972A59">
        <w:t>id</w:t>
      </w:r>
      <w:r w:rsidR="001B6D4D" w:rsidRPr="00314F1C">
        <w:t xml:space="preserve"> </w:t>
      </w:r>
      <w:r w:rsidR="001B6D4D" w:rsidRPr="00314F1C">
        <w:rPr>
          <w:i/>
          <w:iCs/>
        </w:rPr>
        <w:t>not</w:t>
      </w:r>
      <w:r w:rsidR="001B6D4D" w:rsidRPr="00314F1C">
        <w:t xml:space="preserve"> include </w:t>
      </w:r>
      <w:r w:rsidR="00E538BD">
        <w:t xml:space="preserve">all the documents within </w:t>
      </w:r>
      <w:r w:rsidR="001B6D4D" w:rsidRPr="00314F1C">
        <w:t xml:space="preserve">the </w:t>
      </w:r>
      <w:r w:rsidR="00F84CAD">
        <w:t>Company’s</w:t>
      </w:r>
      <w:r w:rsidR="00373D9F" w:rsidRPr="00314F1C">
        <w:t xml:space="preserve"> Records</w:t>
      </w:r>
      <w:r w:rsidR="0059122C">
        <w:t xml:space="preserve"> </w:t>
      </w:r>
      <w:r w:rsidR="00E538BD">
        <w:t>for</w:t>
      </w:r>
      <w:r w:rsidR="0059122C">
        <w:t xml:space="preserve"> the same period</w:t>
      </w:r>
      <w:r w:rsidR="00AE6CFF">
        <w:t xml:space="preserve">.  </w:t>
      </w:r>
      <w:r w:rsidR="000936D0">
        <w:t xml:space="preserve">This confirms </w:t>
      </w:r>
      <w:r w:rsidR="00972A59">
        <w:t xml:space="preserve">the fact </w:t>
      </w:r>
      <w:r w:rsidR="000936D0">
        <w:t xml:space="preserve">that the </w:t>
      </w:r>
      <w:r w:rsidR="00F84CAD">
        <w:t>Company’s</w:t>
      </w:r>
      <w:r w:rsidR="000936D0">
        <w:t xml:space="preserve"> Records</w:t>
      </w:r>
      <w:r w:rsidR="00972A59">
        <w:t>, to the extent that they c</w:t>
      </w:r>
      <w:r w:rsidR="00082AFB">
        <w:t xml:space="preserve">annot </w:t>
      </w:r>
      <w:r w:rsidR="00972A59">
        <w:t>be found in the CSRC’s Records,</w:t>
      </w:r>
      <w:r w:rsidR="000936D0">
        <w:t xml:space="preserve"> were not </w:t>
      </w:r>
      <w:r w:rsidR="00AA6068">
        <w:t xml:space="preserve">genuine </w:t>
      </w:r>
      <w:r w:rsidR="000936D0">
        <w:t xml:space="preserve">records of the 8 Bank Accounts generated by PAB and </w:t>
      </w:r>
      <w:r w:rsidR="00AA1EEB">
        <w:t xml:space="preserve">HXB but were </w:t>
      </w:r>
      <w:r w:rsidR="000936D0">
        <w:t>fictitious documents</w:t>
      </w:r>
      <w:r w:rsidR="00AE6CFF">
        <w:t xml:space="preserve">.  </w:t>
      </w:r>
    </w:p>
    <w:p w14:paraId="7C70A15F" w14:textId="5B44D3D1" w:rsidR="00CB7BD5" w:rsidRDefault="00A37A15" w:rsidP="005C174D">
      <w:pPr>
        <w:pStyle w:val="points"/>
        <w:numPr>
          <w:ilvl w:val="0"/>
          <w:numId w:val="19"/>
        </w:numPr>
        <w:tabs>
          <w:tab w:val="clear" w:pos="1400"/>
        </w:tabs>
        <w:rPr>
          <w:color w:val="000000" w:themeColor="text1"/>
        </w:rPr>
      </w:pPr>
      <w:r w:rsidRPr="00F034EB">
        <w:t>Although</w:t>
      </w:r>
      <w:r>
        <w:rPr>
          <w:color w:val="000000" w:themeColor="text1"/>
        </w:rPr>
        <w:t xml:space="preserve"> Ms Liao in her written Opening attempt</w:t>
      </w:r>
      <w:r w:rsidR="00AA6068">
        <w:rPr>
          <w:color w:val="000000" w:themeColor="text1"/>
        </w:rPr>
        <w:t xml:space="preserve">ed </w:t>
      </w:r>
      <w:r>
        <w:rPr>
          <w:color w:val="000000" w:themeColor="text1"/>
        </w:rPr>
        <w:t xml:space="preserve">to challenge the </w:t>
      </w:r>
      <w:r w:rsidRPr="00314F1C">
        <w:rPr>
          <w:color w:val="000000" w:themeColor="text1"/>
        </w:rPr>
        <w:t>authenticity of the CSRC</w:t>
      </w:r>
      <w:r w:rsidR="00F84CAD">
        <w:rPr>
          <w:color w:val="000000" w:themeColor="text1"/>
        </w:rPr>
        <w:t>’s</w:t>
      </w:r>
      <w:r w:rsidRPr="00314F1C">
        <w:rPr>
          <w:color w:val="000000" w:themeColor="text1"/>
        </w:rPr>
        <w:t xml:space="preserve"> Records</w:t>
      </w:r>
      <w:r w:rsidR="00E22F81">
        <w:rPr>
          <w:color w:val="000000" w:themeColor="text1"/>
        </w:rPr>
        <w:t xml:space="preserve">, I do not think that she </w:t>
      </w:r>
      <w:r w:rsidR="00AA6068">
        <w:rPr>
          <w:color w:val="000000" w:themeColor="text1"/>
        </w:rPr>
        <w:t>wa</w:t>
      </w:r>
      <w:r w:rsidR="00E22F81">
        <w:rPr>
          <w:color w:val="000000" w:themeColor="text1"/>
        </w:rPr>
        <w:t xml:space="preserve">s entitled to do so given that </w:t>
      </w:r>
      <w:r w:rsidR="00E35950" w:rsidRPr="00314F1C">
        <w:rPr>
          <w:color w:val="000000" w:themeColor="text1"/>
        </w:rPr>
        <w:t>Mr Wen ha</w:t>
      </w:r>
      <w:r w:rsidR="00AA6068">
        <w:rPr>
          <w:color w:val="000000" w:themeColor="text1"/>
        </w:rPr>
        <w:t>d</w:t>
      </w:r>
      <w:r w:rsidR="00E35950" w:rsidRPr="00314F1C">
        <w:rPr>
          <w:color w:val="000000" w:themeColor="text1"/>
        </w:rPr>
        <w:t xml:space="preserve"> not </w:t>
      </w:r>
      <w:r w:rsidR="000449A9" w:rsidRPr="00314F1C">
        <w:rPr>
          <w:color w:val="000000" w:themeColor="text1"/>
        </w:rPr>
        <w:t>disputed the authenticity of the CSRC</w:t>
      </w:r>
      <w:r w:rsidR="00F84CAD">
        <w:rPr>
          <w:color w:val="000000" w:themeColor="text1"/>
        </w:rPr>
        <w:t>’s</w:t>
      </w:r>
      <w:r w:rsidR="000449A9" w:rsidRPr="00314F1C">
        <w:rPr>
          <w:color w:val="000000" w:themeColor="text1"/>
        </w:rPr>
        <w:t xml:space="preserve"> Records </w:t>
      </w:r>
      <w:r w:rsidR="00F8212C" w:rsidRPr="00314F1C">
        <w:rPr>
          <w:color w:val="000000" w:themeColor="text1"/>
        </w:rPr>
        <w:t>in Wen 1</w:t>
      </w:r>
      <w:r w:rsidR="00F8212C" w:rsidRPr="00314F1C">
        <w:rPr>
          <w:color w:val="000000" w:themeColor="text1"/>
          <w:vertAlign w:val="superscript"/>
        </w:rPr>
        <w:t>st</w:t>
      </w:r>
      <w:r w:rsidR="00F8212C" w:rsidRPr="00314F1C">
        <w:rPr>
          <w:color w:val="000000" w:themeColor="text1"/>
        </w:rPr>
        <w:t xml:space="preserve"> or </w:t>
      </w:r>
      <w:r w:rsidR="00FD41D2" w:rsidRPr="00314F1C">
        <w:rPr>
          <w:color w:val="000000" w:themeColor="text1"/>
        </w:rPr>
        <w:t xml:space="preserve">filed any notice of non-admission </w:t>
      </w:r>
      <w:r w:rsidR="00DE5559" w:rsidRPr="00314F1C">
        <w:rPr>
          <w:color w:val="000000" w:themeColor="text1"/>
        </w:rPr>
        <w:t>for such purpose</w:t>
      </w:r>
      <w:r w:rsidR="00F15C4E">
        <w:rPr>
          <w:color w:val="000000" w:themeColor="text1"/>
        </w:rPr>
        <w:t>.</w:t>
      </w:r>
    </w:p>
    <w:p w14:paraId="3B4EF288" w14:textId="5A1BBB4D" w:rsidR="00643D04" w:rsidRPr="00F41135" w:rsidRDefault="00B93FB6" w:rsidP="00F034EB">
      <w:pPr>
        <w:pStyle w:val="H-1"/>
        <w:tabs>
          <w:tab w:val="left" w:pos="720"/>
        </w:tabs>
      </w:pPr>
      <w:r w:rsidRPr="00F41135">
        <w:lastRenderedPageBreak/>
        <w:t>A5.</w:t>
      </w:r>
      <w:r w:rsidRPr="00F41135">
        <w:tab/>
      </w:r>
      <w:r w:rsidR="00F41135" w:rsidRPr="00F41135">
        <w:t>Mr Wen and Mr Feng’s evidence</w:t>
      </w:r>
    </w:p>
    <w:p w14:paraId="36D61AB8" w14:textId="62A1C94F" w:rsidR="00E25BB5" w:rsidRPr="00380B05" w:rsidRDefault="00601B7D">
      <w:pPr>
        <w:pStyle w:val="Final"/>
        <w:numPr>
          <w:ilvl w:val="0"/>
          <w:numId w:val="2"/>
        </w:numPr>
        <w:tabs>
          <w:tab w:val="clear" w:pos="720"/>
          <w:tab w:val="num" w:pos="0"/>
        </w:tabs>
        <w:ind w:left="0" w:firstLine="0"/>
        <w:rPr>
          <w:color w:val="000000" w:themeColor="text1"/>
        </w:rPr>
      </w:pPr>
      <w:r w:rsidRPr="00380B05">
        <w:rPr>
          <w:color w:val="000000" w:themeColor="text1"/>
        </w:rPr>
        <w:t>Mr Wen adduce</w:t>
      </w:r>
      <w:r w:rsidR="00920A22">
        <w:rPr>
          <w:color w:val="000000" w:themeColor="text1"/>
        </w:rPr>
        <w:t>d</w:t>
      </w:r>
      <w:r w:rsidRPr="00380B05">
        <w:rPr>
          <w:color w:val="000000" w:themeColor="text1"/>
        </w:rPr>
        <w:t xml:space="preserve"> his affirmation dated 17 December 2019 (“</w:t>
      </w:r>
      <w:r w:rsidRPr="00380B05">
        <w:rPr>
          <w:b/>
          <w:bCs/>
          <w:color w:val="000000" w:themeColor="text1"/>
        </w:rPr>
        <w:t>Wen 1</w:t>
      </w:r>
      <w:r w:rsidRPr="00380B05">
        <w:rPr>
          <w:b/>
          <w:bCs/>
          <w:color w:val="000000" w:themeColor="text1"/>
          <w:vertAlign w:val="superscript"/>
        </w:rPr>
        <w:t>st</w:t>
      </w:r>
      <w:r w:rsidRPr="00380B05">
        <w:rPr>
          <w:color w:val="000000" w:themeColor="text1"/>
        </w:rPr>
        <w:t xml:space="preserve">”) </w:t>
      </w:r>
      <w:r w:rsidR="00BD329E" w:rsidRPr="00380B05">
        <w:rPr>
          <w:color w:val="000000" w:themeColor="text1"/>
        </w:rPr>
        <w:t>as evidence</w:t>
      </w:r>
      <w:r w:rsidR="00AE6CFF">
        <w:rPr>
          <w:color w:val="000000" w:themeColor="text1"/>
        </w:rPr>
        <w:t xml:space="preserve">.  </w:t>
      </w:r>
      <w:r w:rsidR="00BD329E" w:rsidRPr="00380B05">
        <w:rPr>
          <w:color w:val="000000" w:themeColor="text1"/>
        </w:rPr>
        <w:t>He g</w:t>
      </w:r>
      <w:r w:rsidR="00BF7032">
        <w:rPr>
          <w:color w:val="000000" w:themeColor="text1"/>
        </w:rPr>
        <w:t>a</w:t>
      </w:r>
      <w:r w:rsidR="00BD329E" w:rsidRPr="00380B05">
        <w:rPr>
          <w:color w:val="000000" w:themeColor="text1"/>
        </w:rPr>
        <w:t xml:space="preserve">ve evidence through VCF and </w:t>
      </w:r>
      <w:r w:rsidR="005F5D5E">
        <w:rPr>
          <w:color w:val="000000" w:themeColor="text1"/>
        </w:rPr>
        <w:t>w</w:t>
      </w:r>
      <w:r w:rsidR="00BD329E" w:rsidRPr="00380B05">
        <w:rPr>
          <w:color w:val="000000" w:themeColor="text1"/>
        </w:rPr>
        <w:t xml:space="preserve">as cross-examined by Mr </w:t>
      </w:r>
      <w:proofErr w:type="spellStart"/>
      <w:r w:rsidR="00BD329E" w:rsidRPr="00380B05">
        <w:rPr>
          <w:color w:val="000000" w:themeColor="text1"/>
        </w:rPr>
        <w:t>Suen</w:t>
      </w:r>
      <w:proofErr w:type="spellEnd"/>
      <w:r w:rsidR="007F545F">
        <w:rPr>
          <w:color w:val="000000" w:themeColor="text1"/>
        </w:rPr>
        <w:t xml:space="preserve"> </w:t>
      </w:r>
      <w:r w:rsidR="00985297">
        <w:rPr>
          <w:color w:val="000000" w:themeColor="text1"/>
        </w:rPr>
        <w:t xml:space="preserve">for </w:t>
      </w:r>
      <w:r w:rsidR="00985297" w:rsidRPr="001F1809">
        <w:rPr>
          <w:color w:val="000000" w:themeColor="text1"/>
        </w:rPr>
        <w:t>2 days</w:t>
      </w:r>
      <w:r w:rsidR="00AE6CFF">
        <w:rPr>
          <w:color w:val="000000" w:themeColor="text1"/>
        </w:rPr>
        <w:t xml:space="preserve">.  </w:t>
      </w:r>
      <w:r w:rsidR="00862651">
        <w:rPr>
          <w:color w:val="000000" w:themeColor="text1"/>
        </w:rPr>
        <w:t>Although in Wen 1</w:t>
      </w:r>
      <w:r w:rsidR="00862651" w:rsidRPr="00862651">
        <w:rPr>
          <w:color w:val="000000" w:themeColor="text1"/>
          <w:vertAlign w:val="superscript"/>
        </w:rPr>
        <w:t>st</w:t>
      </w:r>
      <w:r w:rsidR="00862651">
        <w:rPr>
          <w:color w:val="000000" w:themeColor="text1"/>
        </w:rPr>
        <w:t xml:space="preserve"> he denie</w:t>
      </w:r>
      <w:r w:rsidR="001F48E4">
        <w:rPr>
          <w:color w:val="000000" w:themeColor="text1"/>
        </w:rPr>
        <w:t>d</w:t>
      </w:r>
      <w:r w:rsidR="00862651">
        <w:rPr>
          <w:color w:val="000000" w:themeColor="text1"/>
        </w:rPr>
        <w:t xml:space="preserve"> many of the allegations raised in the Petition, </w:t>
      </w:r>
      <w:r w:rsidR="00AB1BD9">
        <w:rPr>
          <w:color w:val="000000" w:themeColor="text1"/>
        </w:rPr>
        <w:t xml:space="preserve">under cross-examination, </w:t>
      </w:r>
      <w:r w:rsidR="00B937FA">
        <w:rPr>
          <w:color w:val="000000" w:themeColor="text1"/>
        </w:rPr>
        <w:t xml:space="preserve">Mr Wen </w:t>
      </w:r>
      <w:r w:rsidR="005A5DAA">
        <w:rPr>
          <w:color w:val="000000" w:themeColor="text1"/>
        </w:rPr>
        <w:t>admit</w:t>
      </w:r>
      <w:r w:rsidR="001F48E4">
        <w:rPr>
          <w:color w:val="000000" w:themeColor="text1"/>
        </w:rPr>
        <w:t>ted</w:t>
      </w:r>
      <w:r w:rsidR="000C32B3">
        <w:rPr>
          <w:color w:val="000000" w:themeColor="text1"/>
        </w:rPr>
        <w:t xml:space="preserve"> </w:t>
      </w:r>
      <w:r w:rsidR="0023334A">
        <w:rPr>
          <w:color w:val="000000" w:themeColor="text1"/>
        </w:rPr>
        <w:t xml:space="preserve">that </w:t>
      </w:r>
      <w:r w:rsidR="000C32B3">
        <w:rPr>
          <w:color w:val="000000" w:themeColor="text1"/>
        </w:rPr>
        <w:t>(a) the CSRC</w:t>
      </w:r>
      <w:r w:rsidR="008E6936">
        <w:rPr>
          <w:color w:val="000000" w:themeColor="text1"/>
        </w:rPr>
        <w:t>’s</w:t>
      </w:r>
      <w:r w:rsidR="000C32B3">
        <w:rPr>
          <w:color w:val="000000" w:themeColor="text1"/>
        </w:rPr>
        <w:t xml:space="preserve"> Records</w:t>
      </w:r>
      <w:r w:rsidR="00D216C4">
        <w:rPr>
          <w:color w:val="000000" w:themeColor="text1"/>
        </w:rPr>
        <w:t xml:space="preserve"> are authentic</w:t>
      </w:r>
      <w:r w:rsidR="00372B96">
        <w:rPr>
          <w:color w:val="000000" w:themeColor="text1"/>
        </w:rPr>
        <w:t>;</w:t>
      </w:r>
      <w:r w:rsidR="000C32B3">
        <w:rPr>
          <w:color w:val="000000" w:themeColor="text1"/>
        </w:rPr>
        <w:t xml:space="preserve"> (b) there were material discrepancies </w:t>
      </w:r>
      <w:r w:rsidR="00D216C4">
        <w:rPr>
          <w:color w:val="000000" w:themeColor="text1"/>
        </w:rPr>
        <w:t xml:space="preserve">in </w:t>
      </w:r>
      <w:r w:rsidR="000C32B3">
        <w:rPr>
          <w:color w:val="000000" w:themeColor="text1"/>
        </w:rPr>
        <w:t xml:space="preserve">the </w:t>
      </w:r>
      <w:r w:rsidR="00F06D90">
        <w:rPr>
          <w:color w:val="000000" w:themeColor="text1"/>
        </w:rPr>
        <w:t xml:space="preserve">Company’s </w:t>
      </w:r>
      <w:r w:rsidR="000C32B3">
        <w:rPr>
          <w:color w:val="000000" w:themeColor="text1"/>
        </w:rPr>
        <w:t xml:space="preserve">Records </w:t>
      </w:r>
      <w:r w:rsidR="00000A04">
        <w:rPr>
          <w:color w:val="000000" w:themeColor="text1"/>
        </w:rPr>
        <w:t xml:space="preserve">and </w:t>
      </w:r>
      <w:r w:rsidR="00F06D90">
        <w:rPr>
          <w:color w:val="000000" w:themeColor="text1"/>
        </w:rPr>
        <w:t xml:space="preserve">some of </w:t>
      </w:r>
      <w:r w:rsidR="000C32B3">
        <w:rPr>
          <w:color w:val="000000" w:themeColor="text1"/>
        </w:rPr>
        <w:t>the bank statements and bank confirmations provided by the Company were false</w:t>
      </w:r>
      <w:r w:rsidR="00F541F4">
        <w:rPr>
          <w:color w:val="000000" w:themeColor="text1"/>
        </w:rPr>
        <w:t>;</w:t>
      </w:r>
      <w:r w:rsidR="000C32B3">
        <w:rPr>
          <w:color w:val="000000" w:themeColor="text1"/>
        </w:rPr>
        <w:t xml:space="preserve"> and (</w:t>
      </w:r>
      <w:r w:rsidR="00000A04">
        <w:rPr>
          <w:color w:val="000000" w:themeColor="text1"/>
        </w:rPr>
        <w:t>c</w:t>
      </w:r>
      <w:r w:rsidR="000C32B3">
        <w:rPr>
          <w:color w:val="000000" w:themeColor="text1"/>
        </w:rPr>
        <w:t xml:space="preserve">) such discrepancies were </w:t>
      </w:r>
      <w:r w:rsidR="0003304E">
        <w:rPr>
          <w:color w:val="000000" w:themeColor="text1"/>
        </w:rPr>
        <w:t xml:space="preserve">one of </w:t>
      </w:r>
      <w:r w:rsidR="000C32B3">
        <w:rPr>
          <w:color w:val="000000" w:themeColor="text1"/>
        </w:rPr>
        <w:t>the problem</w:t>
      </w:r>
      <w:r w:rsidR="0003304E">
        <w:rPr>
          <w:color w:val="000000" w:themeColor="text1"/>
        </w:rPr>
        <w:t>s</w:t>
      </w:r>
      <w:r w:rsidR="000C32B3">
        <w:rPr>
          <w:color w:val="000000" w:themeColor="text1"/>
        </w:rPr>
        <w:t xml:space="preserve"> which the Group </w:t>
      </w:r>
      <w:r w:rsidR="008F1DFE">
        <w:rPr>
          <w:color w:val="000000" w:themeColor="text1"/>
        </w:rPr>
        <w:t xml:space="preserve">had </w:t>
      </w:r>
      <w:r w:rsidR="000C32B3">
        <w:rPr>
          <w:color w:val="000000" w:themeColor="text1"/>
        </w:rPr>
        <w:t>tr</w:t>
      </w:r>
      <w:r w:rsidR="008F1DFE">
        <w:rPr>
          <w:color w:val="000000" w:themeColor="text1"/>
        </w:rPr>
        <w:t xml:space="preserve">ied </w:t>
      </w:r>
      <w:r w:rsidR="000C32B3">
        <w:rPr>
          <w:color w:val="000000" w:themeColor="text1"/>
        </w:rPr>
        <w:t>to investigate</w:t>
      </w:r>
      <w:r w:rsidR="00AE6CFF">
        <w:rPr>
          <w:color w:val="000000" w:themeColor="text1"/>
        </w:rPr>
        <w:t xml:space="preserve">.   </w:t>
      </w:r>
      <w:r w:rsidR="00E21B9F">
        <w:rPr>
          <w:color w:val="000000" w:themeColor="text1"/>
        </w:rPr>
        <w:t xml:space="preserve"> </w:t>
      </w:r>
    </w:p>
    <w:p w14:paraId="0F31ABCE" w14:textId="5F9E90B9" w:rsidR="009C2B90" w:rsidRDefault="00BD329E">
      <w:pPr>
        <w:pStyle w:val="Final"/>
        <w:numPr>
          <w:ilvl w:val="0"/>
          <w:numId w:val="2"/>
        </w:numPr>
        <w:tabs>
          <w:tab w:val="clear" w:pos="720"/>
          <w:tab w:val="num" w:pos="0"/>
        </w:tabs>
        <w:ind w:left="0" w:firstLine="0"/>
        <w:rPr>
          <w:color w:val="000000" w:themeColor="text1"/>
        </w:rPr>
      </w:pPr>
      <w:r>
        <w:rPr>
          <w:color w:val="000000" w:themeColor="text1"/>
        </w:rPr>
        <w:t xml:space="preserve">Mr Feng is </w:t>
      </w:r>
      <w:r w:rsidR="003B4BBE">
        <w:rPr>
          <w:color w:val="000000" w:themeColor="text1"/>
        </w:rPr>
        <w:t>and has since October 2017 been t</w:t>
      </w:r>
      <w:r>
        <w:rPr>
          <w:color w:val="000000" w:themeColor="text1"/>
        </w:rPr>
        <w:t>he assistant to Chairman and general manager of the securities department of the Company</w:t>
      </w:r>
      <w:r w:rsidR="00AE6CFF">
        <w:rPr>
          <w:color w:val="000000" w:themeColor="text1"/>
        </w:rPr>
        <w:t xml:space="preserve">.  </w:t>
      </w:r>
      <w:r w:rsidR="000F2552">
        <w:rPr>
          <w:color w:val="000000" w:themeColor="text1"/>
        </w:rPr>
        <w:t xml:space="preserve">Mr Feng </w:t>
      </w:r>
      <w:r w:rsidR="00B81B3F">
        <w:rPr>
          <w:color w:val="000000" w:themeColor="text1"/>
        </w:rPr>
        <w:t>was</w:t>
      </w:r>
      <w:r w:rsidR="000F2552">
        <w:rPr>
          <w:color w:val="000000" w:themeColor="text1"/>
        </w:rPr>
        <w:t xml:space="preserve"> cross-examin</w:t>
      </w:r>
      <w:r w:rsidR="00B81B3F">
        <w:rPr>
          <w:color w:val="000000" w:themeColor="text1"/>
        </w:rPr>
        <w:t>ed</w:t>
      </w:r>
      <w:r w:rsidR="000F2552">
        <w:rPr>
          <w:color w:val="000000" w:themeColor="text1"/>
        </w:rPr>
        <w:t xml:space="preserve"> by Mr </w:t>
      </w:r>
      <w:proofErr w:type="spellStart"/>
      <w:r w:rsidR="000F2552">
        <w:rPr>
          <w:color w:val="000000" w:themeColor="text1"/>
        </w:rPr>
        <w:t>Suen</w:t>
      </w:r>
      <w:proofErr w:type="spellEnd"/>
      <w:r w:rsidR="00B81B3F">
        <w:rPr>
          <w:color w:val="000000" w:themeColor="text1"/>
        </w:rPr>
        <w:t>. I</w:t>
      </w:r>
      <w:r w:rsidR="000F2552">
        <w:rPr>
          <w:color w:val="000000" w:themeColor="text1"/>
        </w:rPr>
        <w:t xml:space="preserve">t is clear from his answers that he </w:t>
      </w:r>
      <w:r w:rsidR="00650BED">
        <w:rPr>
          <w:color w:val="000000" w:themeColor="text1"/>
        </w:rPr>
        <w:t>was not involved in</w:t>
      </w:r>
      <w:r w:rsidR="001B683D">
        <w:rPr>
          <w:color w:val="000000" w:themeColor="text1"/>
        </w:rPr>
        <w:t>, nor d</w:t>
      </w:r>
      <w:r w:rsidR="00B81B3F">
        <w:rPr>
          <w:color w:val="000000" w:themeColor="text1"/>
        </w:rPr>
        <w:t xml:space="preserve">id </w:t>
      </w:r>
      <w:r w:rsidR="001B683D">
        <w:rPr>
          <w:color w:val="000000" w:themeColor="text1"/>
        </w:rPr>
        <w:t>he have any personal knowledge of,</w:t>
      </w:r>
      <w:r w:rsidR="00650BED">
        <w:rPr>
          <w:color w:val="000000" w:themeColor="text1"/>
        </w:rPr>
        <w:t xml:space="preserve"> the transactions complained of in the Petition</w:t>
      </w:r>
      <w:r w:rsidR="00B9280D">
        <w:rPr>
          <w:color w:val="000000" w:themeColor="text1"/>
        </w:rPr>
        <w:t xml:space="preserve"> as </w:t>
      </w:r>
      <w:r w:rsidR="00875B2A">
        <w:rPr>
          <w:color w:val="000000" w:themeColor="text1"/>
        </w:rPr>
        <w:t xml:space="preserve">they </w:t>
      </w:r>
      <w:r w:rsidR="00946031">
        <w:rPr>
          <w:color w:val="000000" w:themeColor="text1"/>
        </w:rPr>
        <w:t xml:space="preserve">all </w:t>
      </w:r>
      <w:r w:rsidR="000F2552">
        <w:rPr>
          <w:color w:val="000000" w:themeColor="text1"/>
        </w:rPr>
        <w:t xml:space="preserve">pre-dated his employment </w:t>
      </w:r>
      <w:r w:rsidR="007A1D30">
        <w:rPr>
          <w:color w:val="000000" w:themeColor="text1"/>
        </w:rPr>
        <w:t>by</w:t>
      </w:r>
      <w:r w:rsidR="000F2552">
        <w:rPr>
          <w:color w:val="000000" w:themeColor="text1"/>
        </w:rPr>
        <w:t xml:space="preserve"> the Company</w:t>
      </w:r>
      <w:r w:rsidR="00AE6CFF">
        <w:rPr>
          <w:color w:val="000000" w:themeColor="text1"/>
        </w:rPr>
        <w:t xml:space="preserve">.  </w:t>
      </w:r>
      <w:r w:rsidR="00ED0B69">
        <w:rPr>
          <w:color w:val="000000" w:themeColor="text1"/>
        </w:rPr>
        <w:t xml:space="preserve">Mr Feng’s </w:t>
      </w:r>
      <w:r w:rsidR="009C2B90">
        <w:rPr>
          <w:color w:val="000000" w:themeColor="text1"/>
        </w:rPr>
        <w:t xml:space="preserve">evidence </w:t>
      </w:r>
      <w:r w:rsidR="00AA78B0">
        <w:rPr>
          <w:color w:val="000000" w:themeColor="text1"/>
        </w:rPr>
        <w:t xml:space="preserve">is no more than </w:t>
      </w:r>
      <w:r w:rsidR="000F2552">
        <w:rPr>
          <w:color w:val="000000" w:themeColor="text1"/>
        </w:rPr>
        <w:t xml:space="preserve">his </w:t>
      </w:r>
      <w:r w:rsidR="00800903">
        <w:rPr>
          <w:color w:val="000000" w:themeColor="text1"/>
        </w:rPr>
        <w:t xml:space="preserve">subjective belief or </w:t>
      </w:r>
      <w:r w:rsidR="000F2552">
        <w:rPr>
          <w:color w:val="000000" w:themeColor="text1"/>
        </w:rPr>
        <w:t xml:space="preserve">re-construction of </w:t>
      </w:r>
      <w:r w:rsidR="00AA78B0">
        <w:rPr>
          <w:color w:val="000000" w:themeColor="text1"/>
        </w:rPr>
        <w:t xml:space="preserve">past </w:t>
      </w:r>
      <w:r w:rsidR="000F2552">
        <w:rPr>
          <w:color w:val="000000" w:themeColor="text1"/>
        </w:rPr>
        <w:t xml:space="preserve">events </w:t>
      </w:r>
      <w:r w:rsidR="00800903">
        <w:rPr>
          <w:color w:val="000000" w:themeColor="text1"/>
        </w:rPr>
        <w:t xml:space="preserve">based on </w:t>
      </w:r>
      <w:r w:rsidR="000F2552">
        <w:rPr>
          <w:color w:val="000000" w:themeColor="text1"/>
        </w:rPr>
        <w:t xml:space="preserve">the documents </w:t>
      </w:r>
      <w:r w:rsidR="009C2B90">
        <w:rPr>
          <w:color w:val="000000" w:themeColor="text1"/>
        </w:rPr>
        <w:t>available to him</w:t>
      </w:r>
      <w:r w:rsidR="00AE6CFF">
        <w:rPr>
          <w:color w:val="000000" w:themeColor="text1"/>
        </w:rPr>
        <w:t xml:space="preserve">.  </w:t>
      </w:r>
      <w:r w:rsidR="009C2B90">
        <w:rPr>
          <w:color w:val="000000" w:themeColor="text1"/>
        </w:rPr>
        <w:t xml:space="preserve">I do not think </w:t>
      </w:r>
      <w:r w:rsidR="00D44D95">
        <w:rPr>
          <w:color w:val="000000" w:themeColor="text1"/>
        </w:rPr>
        <w:t xml:space="preserve">that </w:t>
      </w:r>
      <w:r w:rsidR="00DA1312">
        <w:rPr>
          <w:color w:val="000000" w:themeColor="text1"/>
        </w:rPr>
        <w:t xml:space="preserve">there is any probative value in </w:t>
      </w:r>
      <w:r w:rsidR="009C2B90">
        <w:rPr>
          <w:color w:val="000000" w:themeColor="text1"/>
        </w:rPr>
        <w:t>Mr Feng’s evidence</w:t>
      </w:r>
      <w:r w:rsidR="00AE6CFF">
        <w:rPr>
          <w:color w:val="000000" w:themeColor="text1"/>
        </w:rPr>
        <w:t xml:space="preserve">.  </w:t>
      </w:r>
      <w:r w:rsidR="009A5B06">
        <w:rPr>
          <w:color w:val="000000" w:themeColor="text1"/>
        </w:rPr>
        <w:t xml:space="preserve"> </w:t>
      </w:r>
    </w:p>
    <w:p w14:paraId="29F7A0D1" w14:textId="3D7AD7F0" w:rsidR="00594DB9" w:rsidRPr="00D74C0C" w:rsidRDefault="008919F7" w:rsidP="00090C34">
      <w:pPr>
        <w:pStyle w:val="H-1"/>
        <w:tabs>
          <w:tab w:val="left" w:pos="720"/>
        </w:tabs>
      </w:pPr>
      <w:r>
        <w:t>B</w:t>
      </w:r>
      <w:r w:rsidR="00594DB9" w:rsidRPr="00D74C0C">
        <w:t>.</w:t>
      </w:r>
      <w:r w:rsidR="00594DB9" w:rsidRPr="00D74C0C">
        <w:tab/>
        <w:t>FACTUAL BACKGROUND</w:t>
      </w:r>
    </w:p>
    <w:p w14:paraId="02D1CF88" w14:textId="218D3288" w:rsidR="00A1242F" w:rsidRDefault="002D4379">
      <w:pPr>
        <w:pStyle w:val="Final"/>
        <w:numPr>
          <w:ilvl w:val="0"/>
          <w:numId w:val="2"/>
        </w:numPr>
        <w:tabs>
          <w:tab w:val="clear" w:pos="720"/>
          <w:tab w:val="num" w:pos="0"/>
        </w:tabs>
        <w:ind w:left="0" w:firstLine="0"/>
        <w:rPr>
          <w:color w:val="000000" w:themeColor="text1"/>
        </w:rPr>
      </w:pPr>
      <w:r>
        <w:rPr>
          <w:color w:val="000000" w:themeColor="text1"/>
        </w:rPr>
        <w:tab/>
      </w:r>
      <w:r w:rsidR="00A1242F">
        <w:rPr>
          <w:color w:val="000000" w:themeColor="text1"/>
        </w:rPr>
        <w:t xml:space="preserve">The </w:t>
      </w:r>
      <w:r w:rsidR="00E52AFB">
        <w:rPr>
          <w:color w:val="000000" w:themeColor="text1"/>
        </w:rPr>
        <w:t xml:space="preserve">following facts </w:t>
      </w:r>
      <w:r w:rsidR="00BC7A0A">
        <w:rPr>
          <w:color w:val="000000" w:themeColor="text1"/>
        </w:rPr>
        <w:t xml:space="preserve">are </w:t>
      </w:r>
      <w:r w:rsidR="00A1242F">
        <w:rPr>
          <w:color w:val="000000" w:themeColor="text1"/>
        </w:rPr>
        <w:t>not in dispute</w:t>
      </w:r>
      <w:r w:rsidR="00502573">
        <w:rPr>
          <w:color w:val="000000" w:themeColor="text1"/>
        </w:rPr>
        <w:t xml:space="preserve"> or are </w:t>
      </w:r>
      <w:r w:rsidR="00637B6C">
        <w:rPr>
          <w:color w:val="000000" w:themeColor="text1"/>
        </w:rPr>
        <w:t xml:space="preserve">based on documents which </w:t>
      </w:r>
      <w:r w:rsidR="00A65BF3">
        <w:rPr>
          <w:color w:val="000000" w:themeColor="text1"/>
        </w:rPr>
        <w:t xml:space="preserve">are </w:t>
      </w:r>
      <w:r w:rsidR="00B40BDD">
        <w:rPr>
          <w:color w:val="000000" w:themeColor="text1"/>
        </w:rPr>
        <w:t xml:space="preserve">not </w:t>
      </w:r>
      <w:r w:rsidR="00502573">
        <w:rPr>
          <w:color w:val="000000" w:themeColor="text1"/>
        </w:rPr>
        <w:t>disput</w:t>
      </w:r>
      <w:r w:rsidR="008327E4">
        <w:rPr>
          <w:color w:val="000000" w:themeColor="text1"/>
        </w:rPr>
        <w:t>ed</w:t>
      </w:r>
      <w:r w:rsidR="00AE6CFF">
        <w:rPr>
          <w:color w:val="000000" w:themeColor="text1"/>
        </w:rPr>
        <w:t xml:space="preserve">.  </w:t>
      </w:r>
    </w:p>
    <w:p w14:paraId="60084A8A" w14:textId="6832BEEF" w:rsidR="002D4379" w:rsidRPr="00420E79" w:rsidRDefault="008919F7" w:rsidP="00090C34">
      <w:pPr>
        <w:pStyle w:val="H-1"/>
        <w:tabs>
          <w:tab w:val="left" w:pos="720"/>
        </w:tabs>
      </w:pPr>
      <w:bookmarkStart w:id="1" w:name="_Ref103671678"/>
      <w:r>
        <w:lastRenderedPageBreak/>
        <w:t>B</w:t>
      </w:r>
      <w:r w:rsidR="002D4379" w:rsidRPr="00420E79">
        <w:t>1.</w:t>
      </w:r>
      <w:r w:rsidR="002D4379" w:rsidRPr="00420E79">
        <w:tab/>
        <w:t xml:space="preserve">The Company </w:t>
      </w:r>
      <w:r w:rsidR="00420E79">
        <w:t>and Management</w:t>
      </w:r>
    </w:p>
    <w:p w14:paraId="30D3EBD4" w14:textId="002DAD9C" w:rsidR="00A1242F" w:rsidRDefault="00FA6553">
      <w:pPr>
        <w:pStyle w:val="Final"/>
        <w:numPr>
          <w:ilvl w:val="0"/>
          <w:numId w:val="2"/>
        </w:numPr>
        <w:tabs>
          <w:tab w:val="clear" w:pos="720"/>
          <w:tab w:val="num" w:pos="0"/>
        </w:tabs>
        <w:ind w:left="0" w:firstLine="0"/>
        <w:rPr>
          <w:color w:val="000000" w:themeColor="text1"/>
        </w:rPr>
      </w:pPr>
      <w:r>
        <w:rPr>
          <w:color w:val="000000" w:themeColor="text1"/>
        </w:rPr>
        <w:t>The Company</w:t>
      </w:r>
      <w:r w:rsidR="00B71E90">
        <w:rPr>
          <w:color w:val="000000" w:themeColor="text1"/>
        </w:rPr>
        <w:t xml:space="preserve"> </w:t>
      </w:r>
      <w:r w:rsidR="00A1242F">
        <w:rPr>
          <w:color w:val="000000" w:themeColor="text1"/>
        </w:rPr>
        <w:t>is an investment holding company</w:t>
      </w:r>
      <w:r w:rsidR="00AE6CFF">
        <w:rPr>
          <w:color w:val="000000" w:themeColor="text1"/>
        </w:rPr>
        <w:t xml:space="preserve">.  </w:t>
      </w:r>
      <w:r w:rsidR="000A31F2">
        <w:rPr>
          <w:color w:val="000000" w:themeColor="text1"/>
        </w:rPr>
        <w:t xml:space="preserve">Its </w:t>
      </w:r>
      <w:r w:rsidR="00FF6E04">
        <w:rPr>
          <w:color w:val="000000" w:themeColor="text1"/>
        </w:rPr>
        <w:t xml:space="preserve">shares have </w:t>
      </w:r>
      <w:r w:rsidR="00FF6E04" w:rsidRPr="006D46BC">
        <w:rPr>
          <w:color w:val="000000" w:themeColor="text1"/>
        </w:rPr>
        <w:t>since 30 September 2010</w:t>
      </w:r>
      <w:r w:rsidR="00FF6E04">
        <w:rPr>
          <w:color w:val="000000" w:themeColor="text1"/>
        </w:rPr>
        <w:t xml:space="preserve"> been</w:t>
      </w:r>
      <w:r w:rsidR="00A1242F">
        <w:rPr>
          <w:color w:val="000000" w:themeColor="text1"/>
        </w:rPr>
        <w:t xml:space="preserve"> listed </w:t>
      </w:r>
      <w:r w:rsidR="00A1242F" w:rsidRPr="006D46BC">
        <w:rPr>
          <w:color w:val="000000" w:themeColor="text1"/>
        </w:rPr>
        <w:t xml:space="preserve">on the Main Board of </w:t>
      </w:r>
      <w:r w:rsidR="00A1242F" w:rsidRPr="00096B2B">
        <w:rPr>
          <w:bCs/>
          <w:color w:val="000000" w:themeColor="text1"/>
        </w:rPr>
        <w:t>SEHK</w:t>
      </w:r>
      <w:r w:rsidR="00A1242F" w:rsidRPr="006D46BC">
        <w:rPr>
          <w:color w:val="000000" w:themeColor="text1"/>
        </w:rPr>
        <w:t xml:space="preserve"> (stock code: 967)</w:t>
      </w:r>
      <w:r w:rsidR="00A1242F">
        <w:rPr>
          <w:color w:val="000000" w:themeColor="text1"/>
        </w:rPr>
        <w:t>.</w:t>
      </w:r>
      <w:bookmarkEnd w:id="1"/>
      <w:r w:rsidR="00A1242F">
        <w:rPr>
          <w:rStyle w:val="FootnoteReference"/>
          <w:color w:val="000000" w:themeColor="text1"/>
        </w:rPr>
        <w:footnoteReference w:id="6"/>
      </w:r>
      <w:r w:rsidR="00A1242F">
        <w:rPr>
          <w:color w:val="000000" w:themeColor="text1"/>
        </w:rPr>
        <w:t xml:space="preserve"> </w:t>
      </w:r>
      <w:r w:rsidR="00CD5FF6">
        <w:rPr>
          <w:color w:val="000000" w:themeColor="text1"/>
        </w:rPr>
        <w:t xml:space="preserve"> </w:t>
      </w:r>
      <w:r w:rsidR="0012476A">
        <w:rPr>
          <w:color w:val="000000" w:themeColor="text1"/>
        </w:rPr>
        <w:t xml:space="preserve">The Company’s shares were also listed on the Singapore Stock Exchange between 6 October 2006 </w:t>
      </w:r>
      <w:r w:rsidR="00BE794E">
        <w:rPr>
          <w:color w:val="000000" w:themeColor="text1"/>
        </w:rPr>
        <w:t>until it</w:t>
      </w:r>
      <w:r w:rsidR="000A31F2">
        <w:rPr>
          <w:color w:val="000000" w:themeColor="text1"/>
        </w:rPr>
        <w:t>s</w:t>
      </w:r>
      <w:r w:rsidR="00BE794E">
        <w:rPr>
          <w:color w:val="000000" w:themeColor="text1"/>
        </w:rPr>
        <w:t xml:space="preserve"> voluntary delist</w:t>
      </w:r>
      <w:r w:rsidR="000A31F2">
        <w:rPr>
          <w:color w:val="000000" w:themeColor="text1"/>
        </w:rPr>
        <w:t xml:space="preserve">ing </w:t>
      </w:r>
      <w:r w:rsidR="005E26F7">
        <w:rPr>
          <w:color w:val="000000" w:themeColor="text1"/>
        </w:rPr>
        <w:t>on</w:t>
      </w:r>
      <w:r w:rsidR="0012476A">
        <w:rPr>
          <w:color w:val="000000" w:themeColor="text1"/>
        </w:rPr>
        <w:t xml:space="preserve"> 27 January 2014.</w:t>
      </w:r>
      <w:r w:rsidR="0012476A">
        <w:rPr>
          <w:rStyle w:val="FootnoteReference"/>
          <w:color w:val="000000" w:themeColor="text1"/>
        </w:rPr>
        <w:footnoteReference w:id="7"/>
      </w:r>
    </w:p>
    <w:p w14:paraId="0489D0CA" w14:textId="7D266F20" w:rsidR="00BA69F1" w:rsidRPr="0012476A" w:rsidRDefault="00BA69F1">
      <w:pPr>
        <w:pStyle w:val="Final"/>
        <w:numPr>
          <w:ilvl w:val="0"/>
          <w:numId w:val="2"/>
        </w:numPr>
        <w:tabs>
          <w:tab w:val="clear" w:pos="720"/>
          <w:tab w:val="num" w:pos="0"/>
        </w:tabs>
        <w:ind w:left="0" w:firstLine="0"/>
        <w:rPr>
          <w:color w:val="000000" w:themeColor="text1"/>
        </w:rPr>
      </w:pPr>
      <w:r>
        <w:t>On 13 April 2016, trading in the Company</w:t>
      </w:r>
      <w:r w:rsidRPr="00B803E7">
        <w:t>’s</w:t>
      </w:r>
      <w:r>
        <w:t xml:space="preserve"> shares </w:t>
      </w:r>
      <w:r w:rsidR="00CD4DFB">
        <w:t>was</w:t>
      </w:r>
      <w:r>
        <w:t xml:space="preserve"> suspended pursuant to </w:t>
      </w:r>
      <w:r w:rsidR="00227360">
        <w:t>r</w:t>
      </w:r>
      <w:r>
        <w:t>ule 8(1) of the Securities and Futures (Stock Market Listing) Rules</w:t>
      </w:r>
      <w:r w:rsidR="0066460D">
        <w:t xml:space="preserve"> and has not resumed to-date.</w:t>
      </w:r>
      <w:r>
        <w:rPr>
          <w:rStyle w:val="FootnoteReference"/>
          <w:color w:val="000000" w:themeColor="text1"/>
        </w:rPr>
        <w:footnoteReference w:id="8"/>
      </w:r>
    </w:p>
    <w:p w14:paraId="3F182A14" w14:textId="13E621C4" w:rsidR="00CE3193" w:rsidRDefault="000A31F2">
      <w:pPr>
        <w:pStyle w:val="Final"/>
        <w:numPr>
          <w:ilvl w:val="0"/>
          <w:numId w:val="2"/>
        </w:numPr>
        <w:tabs>
          <w:tab w:val="clear" w:pos="720"/>
          <w:tab w:val="num" w:pos="0"/>
        </w:tabs>
        <w:ind w:left="0" w:firstLine="0"/>
        <w:rPr>
          <w:color w:val="000000" w:themeColor="text1"/>
        </w:rPr>
      </w:pPr>
      <w:r>
        <w:rPr>
          <w:color w:val="000000" w:themeColor="text1"/>
        </w:rPr>
        <w:t xml:space="preserve">The Company through its subsidiaries in the Mainland </w:t>
      </w:r>
      <w:r w:rsidR="007211F7">
        <w:rPr>
          <w:color w:val="000000" w:themeColor="text1"/>
        </w:rPr>
        <w:t xml:space="preserve">carries on </w:t>
      </w:r>
      <w:r w:rsidR="00401A24">
        <w:rPr>
          <w:color w:val="000000" w:themeColor="text1"/>
        </w:rPr>
        <w:t xml:space="preserve">business </w:t>
      </w:r>
      <w:r>
        <w:rPr>
          <w:color w:val="000000" w:themeColor="text1"/>
        </w:rPr>
        <w:t>in turnkey water and wastewater treatment</w:t>
      </w:r>
      <w:r w:rsidR="00AE6CFF">
        <w:rPr>
          <w:color w:val="000000" w:themeColor="text1"/>
        </w:rPr>
        <w:t xml:space="preserve">.  </w:t>
      </w:r>
      <w:r w:rsidR="00401A24">
        <w:rPr>
          <w:color w:val="000000" w:themeColor="text1"/>
        </w:rPr>
        <w:t>I</w:t>
      </w:r>
      <w:r>
        <w:rPr>
          <w:color w:val="000000" w:themeColor="text1"/>
        </w:rPr>
        <w:t>t has offices in Hong Kong, Singapore and Beijing.</w:t>
      </w:r>
      <w:r>
        <w:rPr>
          <w:rStyle w:val="FootnoteReference"/>
          <w:color w:val="000000" w:themeColor="text1"/>
        </w:rPr>
        <w:footnoteReference w:id="9"/>
      </w:r>
      <w:r w:rsidR="00387CAA">
        <w:rPr>
          <w:color w:val="000000" w:themeColor="text1"/>
        </w:rPr>
        <w:t xml:space="preserve"> </w:t>
      </w:r>
    </w:p>
    <w:p w14:paraId="727E742A" w14:textId="4398E05D" w:rsidR="00DD3892" w:rsidRDefault="00820729">
      <w:pPr>
        <w:pStyle w:val="Final"/>
        <w:numPr>
          <w:ilvl w:val="0"/>
          <w:numId w:val="2"/>
        </w:numPr>
        <w:tabs>
          <w:tab w:val="clear" w:pos="720"/>
          <w:tab w:val="num" w:pos="0"/>
        </w:tabs>
        <w:ind w:left="0" w:firstLine="0"/>
        <w:rPr>
          <w:color w:val="000000" w:themeColor="text1"/>
        </w:rPr>
      </w:pPr>
      <w:r>
        <w:rPr>
          <w:color w:val="000000" w:themeColor="text1"/>
        </w:rPr>
        <w:t>T</w:t>
      </w:r>
      <w:r w:rsidR="00CE3193">
        <w:rPr>
          <w:color w:val="000000" w:themeColor="text1"/>
        </w:rPr>
        <w:t>he Company has 3 indirect wholly owned s</w:t>
      </w:r>
      <w:r w:rsidR="00387CAA">
        <w:rPr>
          <w:color w:val="000000" w:themeColor="text1"/>
        </w:rPr>
        <w:t xml:space="preserve">ubsidiaries </w:t>
      </w:r>
      <w:r w:rsidR="00CE3193">
        <w:rPr>
          <w:color w:val="000000" w:themeColor="text1"/>
        </w:rPr>
        <w:t xml:space="preserve">which accounted for </w:t>
      </w:r>
      <w:r w:rsidR="00BB22F9">
        <w:rPr>
          <w:color w:val="000000" w:themeColor="text1"/>
        </w:rPr>
        <w:t xml:space="preserve">a significant part of the </w:t>
      </w:r>
      <w:r w:rsidR="00841894">
        <w:rPr>
          <w:color w:val="000000" w:themeColor="text1"/>
        </w:rPr>
        <w:t xml:space="preserve">assets and </w:t>
      </w:r>
      <w:r w:rsidR="00BB22F9">
        <w:rPr>
          <w:color w:val="000000" w:themeColor="text1"/>
        </w:rPr>
        <w:t>revenue of the Group</w:t>
      </w:r>
      <w:r w:rsidR="00153181">
        <w:rPr>
          <w:color w:val="000000" w:themeColor="text1"/>
        </w:rPr>
        <w:t xml:space="preserve"> namely</w:t>
      </w:r>
      <w:r w:rsidR="00FF149A">
        <w:rPr>
          <w:color w:val="000000" w:themeColor="text1"/>
        </w:rPr>
        <w:t>:</w:t>
      </w:r>
      <w:r w:rsidR="00BB22F9">
        <w:rPr>
          <w:color w:val="000000" w:themeColor="text1"/>
        </w:rPr>
        <w:t xml:space="preserve"> </w:t>
      </w:r>
      <w:r w:rsidR="00CE3193" w:rsidRPr="00785A63">
        <w:t>(</w:t>
      </w:r>
      <w:r w:rsidR="00FF149A">
        <w:t>1</w:t>
      </w:r>
      <w:r w:rsidR="00CE3193" w:rsidRPr="00785A63">
        <w:t xml:space="preserve">) Beijing </w:t>
      </w:r>
      <w:proofErr w:type="spellStart"/>
      <w:r w:rsidR="00CE3193" w:rsidRPr="00785A63">
        <w:t>Epure</w:t>
      </w:r>
      <w:proofErr w:type="spellEnd"/>
      <w:r w:rsidR="00CE3193" w:rsidRPr="00785A63">
        <w:t xml:space="preserve"> International Water Co Ltd (“</w:t>
      </w:r>
      <w:r w:rsidR="00CE3193" w:rsidRPr="00785A63">
        <w:rPr>
          <w:b/>
          <w:bCs/>
        </w:rPr>
        <w:t xml:space="preserve">BJ </w:t>
      </w:r>
      <w:proofErr w:type="spellStart"/>
      <w:r w:rsidR="00CE3193" w:rsidRPr="00785A63">
        <w:rPr>
          <w:b/>
          <w:bCs/>
        </w:rPr>
        <w:t>Epure</w:t>
      </w:r>
      <w:proofErr w:type="spellEnd"/>
      <w:r w:rsidR="00CE3193" w:rsidRPr="00785A63">
        <w:t>”), (</w:t>
      </w:r>
      <w:r w:rsidR="00D0032E">
        <w:t>2</w:t>
      </w:r>
      <w:r w:rsidR="00CE3193" w:rsidRPr="00785A63">
        <w:t>) Beijing Sound Environmental Engineering Co Ltd (“</w:t>
      </w:r>
      <w:r w:rsidR="00CE3193" w:rsidRPr="00785A63">
        <w:rPr>
          <w:b/>
          <w:bCs/>
        </w:rPr>
        <w:t>BJ Sound</w:t>
      </w:r>
      <w:r w:rsidR="00CE3193" w:rsidRPr="00785A63">
        <w:t>”), and (</w:t>
      </w:r>
      <w:r w:rsidR="00CB0319">
        <w:t>3</w:t>
      </w:r>
      <w:r w:rsidR="00CE3193" w:rsidRPr="00785A63">
        <w:t>) Beijing Hi-Standard Water Treatment Equipment Co Ltd (“</w:t>
      </w:r>
      <w:r w:rsidR="00CE3193" w:rsidRPr="00785A63">
        <w:rPr>
          <w:b/>
          <w:bCs/>
        </w:rPr>
        <w:t>BJ Hi-Standard</w:t>
      </w:r>
      <w:r w:rsidR="00CE3193" w:rsidRPr="00785A63">
        <w:t>”)</w:t>
      </w:r>
      <w:r w:rsidR="00CB0319">
        <w:t xml:space="preserve"> (collectively “</w:t>
      </w:r>
      <w:r w:rsidR="00CB0319" w:rsidRPr="00F904E8">
        <w:rPr>
          <w:b/>
          <w:bCs/>
        </w:rPr>
        <w:t>Subsidiaries</w:t>
      </w:r>
      <w:r w:rsidR="00CB0319">
        <w:t>”).</w:t>
      </w:r>
    </w:p>
    <w:p w14:paraId="3ED01E1C" w14:textId="1422E61C" w:rsidR="00A1242F" w:rsidRDefault="00A1242F">
      <w:pPr>
        <w:pStyle w:val="Final"/>
        <w:numPr>
          <w:ilvl w:val="0"/>
          <w:numId w:val="2"/>
        </w:numPr>
        <w:tabs>
          <w:tab w:val="clear" w:pos="720"/>
          <w:tab w:val="clear" w:pos="1440"/>
          <w:tab w:val="left" w:pos="1418"/>
        </w:tabs>
        <w:ind w:left="0" w:firstLine="0"/>
        <w:rPr>
          <w:color w:val="000000" w:themeColor="text1"/>
        </w:rPr>
      </w:pPr>
      <w:bookmarkStart w:id="2" w:name="_Ref104230128"/>
      <w:r>
        <w:rPr>
          <w:color w:val="000000" w:themeColor="text1"/>
        </w:rPr>
        <w:t xml:space="preserve">Mr Wen is the founder of the Group and </w:t>
      </w:r>
      <w:r w:rsidR="007C25C5">
        <w:rPr>
          <w:color w:val="000000" w:themeColor="text1"/>
        </w:rPr>
        <w:t>a</w:t>
      </w:r>
      <w:r>
        <w:rPr>
          <w:color w:val="000000" w:themeColor="text1"/>
        </w:rPr>
        <w:t>n executive director (“</w:t>
      </w:r>
      <w:r>
        <w:rPr>
          <w:b/>
          <w:bCs/>
          <w:color w:val="000000" w:themeColor="text1"/>
        </w:rPr>
        <w:t>ED</w:t>
      </w:r>
      <w:r>
        <w:rPr>
          <w:color w:val="000000" w:themeColor="text1"/>
        </w:rPr>
        <w:t xml:space="preserve">”) and Chairman of </w:t>
      </w:r>
      <w:r w:rsidR="007C25C5">
        <w:rPr>
          <w:color w:val="000000" w:themeColor="text1"/>
        </w:rPr>
        <w:t>t</w:t>
      </w:r>
      <w:r w:rsidR="00FA6553">
        <w:rPr>
          <w:color w:val="000000" w:themeColor="text1"/>
        </w:rPr>
        <w:t>he Company</w:t>
      </w:r>
      <w:r w:rsidR="00FD451F">
        <w:rPr>
          <w:color w:val="000000" w:themeColor="text1"/>
        </w:rPr>
        <w:t xml:space="preserve"> </w:t>
      </w:r>
      <w:r w:rsidR="007C25C5">
        <w:rPr>
          <w:color w:val="000000" w:themeColor="text1"/>
        </w:rPr>
        <w:t xml:space="preserve">from </w:t>
      </w:r>
      <w:r>
        <w:rPr>
          <w:color w:val="000000" w:themeColor="text1"/>
        </w:rPr>
        <w:t>7 November 2005.</w:t>
      </w:r>
      <w:r>
        <w:rPr>
          <w:rStyle w:val="FootnoteReference"/>
          <w:color w:val="000000" w:themeColor="text1"/>
        </w:rPr>
        <w:footnoteReference w:id="10"/>
      </w:r>
      <w:r w:rsidR="00086A86">
        <w:rPr>
          <w:color w:val="000000" w:themeColor="text1"/>
        </w:rPr>
        <w:t xml:space="preserve"> </w:t>
      </w:r>
      <w:r w:rsidR="00090C34">
        <w:rPr>
          <w:color w:val="000000" w:themeColor="text1"/>
        </w:rPr>
        <w:t xml:space="preserve"> </w:t>
      </w:r>
      <w:r w:rsidR="00086A86">
        <w:rPr>
          <w:color w:val="000000" w:themeColor="text1"/>
        </w:rPr>
        <w:t>H</w:t>
      </w:r>
      <w:r>
        <w:rPr>
          <w:color w:val="000000" w:themeColor="text1"/>
        </w:rPr>
        <w:t xml:space="preserve">e </w:t>
      </w:r>
      <w:r w:rsidR="00086A86">
        <w:rPr>
          <w:color w:val="000000" w:themeColor="text1"/>
        </w:rPr>
        <w:t xml:space="preserve">is </w:t>
      </w:r>
      <w:r>
        <w:rPr>
          <w:color w:val="000000" w:themeColor="text1"/>
        </w:rPr>
        <w:t xml:space="preserve">the controlling shareholder of </w:t>
      </w:r>
      <w:r w:rsidR="00086A86">
        <w:rPr>
          <w:color w:val="000000" w:themeColor="text1"/>
        </w:rPr>
        <w:t>t</w:t>
      </w:r>
      <w:r w:rsidR="00FA6553">
        <w:rPr>
          <w:color w:val="000000" w:themeColor="text1"/>
        </w:rPr>
        <w:t>he Company</w:t>
      </w:r>
      <w:r w:rsidR="00086A86">
        <w:rPr>
          <w:color w:val="000000" w:themeColor="text1"/>
        </w:rPr>
        <w:t xml:space="preserve"> </w:t>
      </w:r>
      <w:r>
        <w:rPr>
          <w:color w:val="000000" w:themeColor="text1"/>
        </w:rPr>
        <w:t xml:space="preserve">holding at least 50% of its </w:t>
      </w:r>
      <w:r w:rsidR="00086A86">
        <w:rPr>
          <w:color w:val="000000" w:themeColor="text1"/>
        </w:rPr>
        <w:t xml:space="preserve">issued </w:t>
      </w:r>
      <w:r>
        <w:rPr>
          <w:color w:val="000000" w:themeColor="text1"/>
        </w:rPr>
        <w:lastRenderedPageBreak/>
        <w:t>shares</w:t>
      </w:r>
      <w:r w:rsidR="00AE6CFF">
        <w:rPr>
          <w:color w:val="000000" w:themeColor="text1"/>
        </w:rPr>
        <w:t xml:space="preserve">.  </w:t>
      </w:r>
      <w:r>
        <w:rPr>
          <w:color w:val="000000" w:themeColor="text1"/>
        </w:rPr>
        <w:t>As at 31 December 2013, Mr Wen held an effective 55.31% shareholding in</w:t>
      </w:r>
      <w:r w:rsidR="00E35CA1">
        <w:rPr>
          <w:color w:val="000000" w:themeColor="text1"/>
        </w:rPr>
        <w:t xml:space="preserve"> t</w:t>
      </w:r>
      <w:r w:rsidR="00FA6553">
        <w:rPr>
          <w:color w:val="000000" w:themeColor="text1"/>
        </w:rPr>
        <w:t>he Company</w:t>
      </w:r>
      <w:r>
        <w:rPr>
          <w:color w:val="000000" w:themeColor="text1"/>
        </w:rPr>
        <w:t>.</w:t>
      </w:r>
      <w:r>
        <w:rPr>
          <w:rStyle w:val="FootnoteReference"/>
          <w:color w:val="000000" w:themeColor="text1"/>
        </w:rPr>
        <w:footnoteReference w:id="11"/>
      </w:r>
      <w:bookmarkEnd w:id="2"/>
      <w:r w:rsidR="000473D8">
        <w:rPr>
          <w:color w:val="000000" w:themeColor="text1"/>
        </w:rPr>
        <w:t xml:space="preserve"> </w:t>
      </w:r>
      <w:r w:rsidR="00395450">
        <w:rPr>
          <w:color w:val="000000" w:themeColor="text1"/>
        </w:rPr>
        <w:t xml:space="preserve"> </w:t>
      </w:r>
      <w:r w:rsidR="000473D8">
        <w:rPr>
          <w:color w:val="000000" w:themeColor="text1"/>
        </w:rPr>
        <w:t xml:space="preserve">He was a director of each of the Subsidiaries and </w:t>
      </w:r>
      <w:r w:rsidR="001D2AA9">
        <w:rPr>
          <w:color w:val="000000" w:themeColor="text1"/>
        </w:rPr>
        <w:t xml:space="preserve">the sole or one of the </w:t>
      </w:r>
      <w:r w:rsidR="000473D8">
        <w:rPr>
          <w:color w:val="000000" w:themeColor="text1"/>
        </w:rPr>
        <w:t>authorised signator</w:t>
      </w:r>
      <w:r w:rsidR="001D2AA9">
        <w:rPr>
          <w:color w:val="000000" w:themeColor="text1"/>
        </w:rPr>
        <w:t>ies</w:t>
      </w:r>
      <w:r w:rsidR="000473D8">
        <w:rPr>
          <w:color w:val="000000" w:themeColor="text1"/>
        </w:rPr>
        <w:t xml:space="preserve"> of the </w:t>
      </w:r>
      <w:r w:rsidR="000473D8" w:rsidRPr="00096B2B">
        <w:rPr>
          <w:color w:val="000000" w:themeColor="text1"/>
        </w:rPr>
        <w:t>8</w:t>
      </w:r>
      <w:r w:rsidR="000473D8">
        <w:rPr>
          <w:color w:val="000000" w:themeColor="text1"/>
        </w:rPr>
        <w:t xml:space="preserve"> Bank Accounts</w:t>
      </w:r>
      <w:r w:rsidR="00394EB8">
        <w:rPr>
          <w:color w:val="000000" w:themeColor="text1"/>
        </w:rPr>
        <w:t xml:space="preserve"> at the time of the transactions complained of in the Petition</w:t>
      </w:r>
      <w:r w:rsidR="000473D8">
        <w:rPr>
          <w:color w:val="000000" w:themeColor="text1"/>
        </w:rPr>
        <w:t>.</w:t>
      </w:r>
    </w:p>
    <w:p w14:paraId="6280CCCA" w14:textId="6ABA9076" w:rsidR="00A1242F" w:rsidRDefault="002E7555">
      <w:pPr>
        <w:pStyle w:val="Final"/>
        <w:numPr>
          <w:ilvl w:val="0"/>
          <w:numId w:val="2"/>
        </w:numPr>
        <w:tabs>
          <w:tab w:val="clear" w:pos="720"/>
          <w:tab w:val="num" w:pos="0"/>
        </w:tabs>
        <w:ind w:left="0" w:firstLine="0"/>
        <w:rPr>
          <w:color w:val="000000" w:themeColor="text1"/>
        </w:rPr>
      </w:pPr>
      <w:r>
        <w:rPr>
          <w:color w:val="000000" w:themeColor="text1"/>
        </w:rPr>
        <w:t>The o</w:t>
      </w:r>
      <w:r w:rsidR="00A1242F">
        <w:rPr>
          <w:color w:val="000000" w:themeColor="text1"/>
        </w:rPr>
        <w:t xml:space="preserve">ther members of the senior management of </w:t>
      </w:r>
      <w:r w:rsidR="00806D03">
        <w:rPr>
          <w:color w:val="000000" w:themeColor="text1"/>
        </w:rPr>
        <w:t>t</w:t>
      </w:r>
      <w:r w:rsidR="00FA6553">
        <w:rPr>
          <w:color w:val="000000" w:themeColor="text1"/>
        </w:rPr>
        <w:t>he Company</w:t>
      </w:r>
      <w:r w:rsidR="00ED0425">
        <w:rPr>
          <w:color w:val="000000" w:themeColor="text1"/>
        </w:rPr>
        <w:t xml:space="preserve"> </w:t>
      </w:r>
      <w:r w:rsidR="00806D03">
        <w:rPr>
          <w:color w:val="000000" w:themeColor="text1"/>
        </w:rPr>
        <w:t xml:space="preserve">at the times of the impugned transactions </w:t>
      </w:r>
      <w:r w:rsidR="00A1242F">
        <w:rPr>
          <w:color w:val="000000" w:themeColor="text1"/>
        </w:rPr>
        <w:t>included:</w:t>
      </w:r>
    </w:p>
    <w:p w14:paraId="06711934" w14:textId="0E59CF0D" w:rsidR="00A1242F" w:rsidRDefault="00C50458" w:rsidP="00BC134A">
      <w:pPr>
        <w:pStyle w:val="points"/>
        <w:numPr>
          <w:ilvl w:val="0"/>
          <w:numId w:val="9"/>
        </w:numPr>
        <w:tabs>
          <w:tab w:val="clear" w:pos="1400"/>
        </w:tabs>
      </w:pPr>
      <w:r>
        <w:t xml:space="preserve">Mr </w:t>
      </w:r>
      <w:r w:rsidR="00A1242F">
        <w:t xml:space="preserve">Zhang </w:t>
      </w:r>
      <w:proofErr w:type="spellStart"/>
      <w:r w:rsidR="00A1242F">
        <w:t>Jingzhi</w:t>
      </w:r>
      <w:proofErr w:type="spellEnd"/>
      <w:r w:rsidR="00A1242F">
        <w:t xml:space="preserve"> (“</w:t>
      </w:r>
      <w:r w:rsidRPr="000F5EBE">
        <w:rPr>
          <w:b/>
          <w:bCs/>
        </w:rPr>
        <w:t>R3</w:t>
      </w:r>
      <w:r w:rsidR="00A1242F">
        <w:t>”) who joined the Group in April 2001</w:t>
      </w:r>
      <w:r w:rsidR="00AE6CFF">
        <w:t xml:space="preserve">.  </w:t>
      </w:r>
      <w:r w:rsidR="00A1242F">
        <w:t>He was an ED and Chief Executive Officer (“</w:t>
      </w:r>
      <w:r w:rsidR="00A1242F" w:rsidRPr="00D02493">
        <w:rPr>
          <w:b/>
        </w:rPr>
        <w:t>CEO</w:t>
      </w:r>
      <w:r w:rsidR="00A1242F">
        <w:t xml:space="preserve">”) of </w:t>
      </w:r>
      <w:r w:rsidR="00C3580C">
        <w:t>t</w:t>
      </w:r>
      <w:r w:rsidR="00FA6553">
        <w:t>he Company</w:t>
      </w:r>
      <w:r w:rsidR="00C3580C">
        <w:t xml:space="preserve"> </w:t>
      </w:r>
      <w:r w:rsidR="00A1242F">
        <w:t>from 4 March 2013 to 11 August 2016</w:t>
      </w:r>
      <w:r w:rsidR="00E702F8">
        <w:t>.</w:t>
      </w:r>
      <w:r w:rsidR="00A1242F">
        <w:rPr>
          <w:rStyle w:val="FootnoteReference"/>
          <w:color w:val="000000" w:themeColor="text1"/>
        </w:rPr>
        <w:footnoteReference w:id="12"/>
      </w:r>
    </w:p>
    <w:p w14:paraId="7CCCA656" w14:textId="66B1A55D" w:rsidR="008C408B" w:rsidRPr="00C50458" w:rsidRDefault="00C50458" w:rsidP="00BC134A">
      <w:pPr>
        <w:pStyle w:val="points"/>
        <w:numPr>
          <w:ilvl w:val="0"/>
          <w:numId w:val="9"/>
        </w:numPr>
        <w:tabs>
          <w:tab w:val="clear" w:pos="1400"/>
        </w:tabs>
      </w:pPr>
      <w:r>
        <w:rPr>
          <w:color w:val="000000" w:themeColor="text1"/>
        </w:rPr>
        <w:t xml:space="preserve">Mr </w:t>
      </w:r>
      <w:r w:rsidR="008C408B">
        <w:rPr>
          <w:color w:val="000000" w:themeColor="text1"/>
        </w:rPr>
        <w:t>Wang Kai (“</w:t>
      </w:r>
      <w:r w:rsidR="000F5EBE">
        <w:rPr>
          <w:b/>
          <w:bCs/>
          <w:color w:val="000000" w:themeColor="text1"/>
        </w:rPr>
        <w:t>R4</w:t>
      </w:r>
      <w:r w:rsidR="008C408B">
        <w:rPr>
          <w:color w:val="000000" w:themeColor="text1"/>
        </w:rPr>
        <w:t>”) who joined the Group in 1998</w:t>
      </w:r>
      <w:r w:rsidR="00AE6CFF">
        <w:rPr>
          <w:color w:val="000000" w:themeColor="text1"/>
        </w:rPr>
        <w:t xml:space="preserve">.  </w:t>
      </w:r>
      <w:r w:rsidR="008C408B">
        <w:rPr>
          <w:color w:val="000000" w:themeColor="text1"/>
        </w:rPr>
        <w:t xml:space="preserve">He was appointed an ED of </w:t>
      </w:r>
      <w:r w:rsidR="006B56FB">
        <w:rPr>
          <w:color w:val="000000" w:themeColor="text1"/>
        </w:rPr>
        <w:t>t</w:t>
      </w:r>
      <w:r w:rsidR="008C408B">
        <w:rPr>
          <w:color w:val="000000" w:themeColor="text1"/>
        </w:rPr>
        <w:t>he Company</w:t>
      </w:r>
      <w:r w:rsidR="006B56FB">
        <w:rPr>
          <w:color w:val="000000" w:themeColor="text1"/>
        </w:rPr>
        <w:t xml:space="preserve"> </w:t>
      </w:r>
      <w:r w:rsidR="008C408B">
        <w:rPr>
          <w:color w:val="000000" w:themeColor="text1"/>
        </w:rPr>
        <w:t>on 24 December 2010</w:t>
      </w:r>
      <w:r w:rsidR="00AE6CFF">
        <w:rPr>
          <w:color w:val="000000" w:themeColor="text1"/>
        </w:rPr>
        <w:t xml:space="preserve">.  </w:t>
      </w:r>
      <w:r w:rsidR="006B56FB">
        <w:rPr>
          <w:color w:val="000000" w:themeColor="text1"/>
        </w:rPr>
        <w:t xml:space="preserve">He was </w:t>
      </w:r>
      <w:r w:rsidR="008C408B">
        <w:rPr>
          <w:color w:val="000000" w:themeColor="text1"/>
        </w:rPr>
        <w:t>CEO from 2 February 2011 to 3 March 2013, and CFO from 4 March 2013 to 17 December 2015.</w:t>
      </w:r>
      <w:r w:rsidR="008C408B">
        <w:rPr>
          <w:rStyle w:val="FootnoteReference"/>
          <w:color w:val="000000" w:themeColor="text1"/>
        </w:rPr>
        <w:footnoteReference w:id="13"/>
      </w:r>
    </w:p>
    <w:p w14:paraId="21FB8678" w14:textId="48466F64" w:rsidR="00C50458" w:rsidRDefault="00C50458" w:rsidP="00BC134A">
      <w:pPr>
        <w:pStyle w:val="points"/>
        <w:numPr>
          <w:ilvl w:val="0"/>
          <w:numId w:val="9"/>
        </w:numPr>
        <w:tabs>
          <w:tab w:val="clear" w:pos="1400"/>
        </w:tabs>
      </w:pPr>
      <w:r>
        <w:t xml:space="preserve">Mr </w:t>
      </w:r>
      <w:r w:rsidRPr="00F775AD">
        <w:t>Zhang</w:t>
      </w:r>
      <w:r>
        <w:rPr>
          <w:color w:val="000000" w:themeColor="text1"/>
        </w:rPr>
        <w:t xml:space="preserve"> </w:t>
      </w:r>
      <w:proofErr w:type="spellStart"/>
      <w:r>
        <w:rPr>
          <w:color w:val="000000" w:themeColor="text1"/>
        </w:rPr>
        <w:t>Xiquan</w:t>
      </w:r>
      <w:proofErr w:type="spellEnd"/>
      <w:r>
        <w:rPr>
          <w:color w:val="000000" w:themeColor="text1"/>
        </w:rPr>
        <w:t xml:space="preserve"> (“</w:t>
      </w:r>
      <w:r w:rsidR="00E168CD">
        <w:rPr>
          <w:b/>
          <w:bCs/>
          <w:color w:val="000000" w:themeColor="text1"/>
        </w:rPr>
        <w:t>R5</w:t>
      </w:r>
      <w:r>
        <w:rPr>
          <w:color w:val="000000" w:themeColor="text1"/>
        </w:rPr>
        <w:t>”) who joined the Group as an accountant in September 2003</w:t>
      </w:r>
      <w:r w:rsidR="00AE6CFF">
        <w:rPr>
          <w:color w:val="000000" w:themeColor="text1"/>
        </w:rPr>
        <w:t xml:space="preserve">.  </w:t>
      </w:r>
      <w:r>
        <w:rPr>
          <w:color w:val="000000" w:themeColor="text1"/>
        </w:rPr>
        <w:t xml:space="preserve">He </w:t>
      </w:r>
      <w:r w:rsidR="00E168CD">
        <w:rPr>
          <w:color w:val="000000" w:themeColor="text1"/>
        </w:rPr>
        <w:t>was</w:t>
      </w:r>
      <w:r>
        <w:rPr>
          <w:color w:val="000000" w:themeColor="text1"/>
        </w:rPr>
        <w:t xml:space="preserve"> vice general manager of the finance department from March 2008 to July 2011, and was general manager and head of the finance department </w:t>
      </w:r>
      <w:r w:rsidR="00D21F4B">
        <w:rPr>
          <w:color w:val="000000" w:themeColor="text1"/>
        </w:rPr>
        <w:t>at the Group’s</w:t>
      </w:r>
      <w:r>
        <w:rPr>
          <w:color w:val="000000" w:themeColor="text1"/>
        </w:rPr>
        <w:t xml:space="preserve"> office in Beijing from August 2011 to 13 April 2016</w:t>
      </w:r>
      <w:r w:rsidR="00A631E9">
        <w:rPr>
          <w:color w:val="000000" w:themeColor="text1"/>
        </w:rPr>
        <w:t>.</w:t>
      </w:r>
      <w:r w:rsidR="00A631E9">
        <w:rPr>
          <w:rStyle w:val="FootnoteReference"/>
          <w:color w:val="000000" w:themeColor="text1"/>
        </w:rPr>
        <w:footnoteReference w:id="14"/>
      </w:r>
    </w:p>
    <w:p w14:paraId="10505A87" w14:textId="17120357" w:rsidR="00A1242F" w:rsidRPr="0057246E" w:rsidRDefault="00A1242F" w:rsidP="002148B4">
      <w:pPr>
        <w:pStyle w:val="H-1"/>
        <w:tabs>
          <w:tab w:val="left" w:pos="720"/>
        </w:tabs>
      </w:pPr>
      <w:r>
        <w:lastRenderedPageBreak/>
        <w:t>B2.</w:t>
      </w:r>
      <w:r>
        <w:tab/>
        <w:t xml:space="preserve">2012 </w:t>
      </w:r>
      <w:r w:rsidR="00BD0EDA">
        <w:t xml:space="preserve">AFS </w:t>
      </w:r>
      <w:r>
        <w:t xml:space="preserve">and 2013 </w:t>
      </w:r>
      <w:r w:rsidR="006246D5">
        <w:t>A</w:t>
      </w:r>
      <w:r>
        <w:t>FS</w:t>
      </w:r>
    </w:p>
    <w:p w14:paraId="1C4A5298" w14:textId="7AE8BA91" w:rsidR="006246D5" w:rsidRDefault="006246D5">
      <w:pPr>
        <w:pStyle w:val="Final"/>
        <w:numPr>
          <w:ilvl w:val="0"/>
          <w:numId w:val="2"/>
        </w:numPr>
        <w:tabs>
          <w:tab w:val="clear" w:pos="720"/>
          <w:tab w:val="num" w:pos="0"/>
        </w:tabs>
        <w:ind w:left="0" w:firstLine="0"/>
        <w:rPr>
          <w:color w:val="000000" w:themeColor="text1"/>
        </w:rPr>
      </w:pPr>
      <w:r>
        <w:rPr>
          <w:color w:val="000000" w:themeColor="text1"/>
        </w:rPr>
        <w:t xml:space="preserve">Deloitte </w:t>
      </w:r>
      <w:proofErr w:type="spellStart"/>
      <w:r>
        <w:rPr>
          <w:color w:val="000000" w:themeColor="text1"/>
        </w:rPr>
        <w:t>Touche</w:t>
      </w:r>
      <w:proofErr w:type="spellEnd"/>
      <w:r>
        <w:rPr>
          <w:color w:val="000000" w:themeColor="text1"/>
        </w:rPr>
        <w:t xml:space="preserve"> Tohmatsu Certified Public Accountants LLP (“</w:t>
      </w:r>
      <w:r>
        <w:rPr>
          <w:b/>
          <w:bCs/>
          <w:color w:val="000000" w:themeColor="text1"/>
        </w:rPr>
        <w:t>Deloitte</w:t>
      </w:r>
      <w:r>
        <w:rPr>
          <w:color w:val="000000" w:themeColor="text1"/>
        </w:rPr>
        <w:t xml:space="preserve">”) were the auditors of the Company from </w:t>
      </w:r>
      <w:r w:rsidR="005A7392">
        <w:rPr>
          <w:color w:val="000000" w:themeColor="text1"/>
        </w:rPr>
        <w:t xml:space="preserve">2008 </w:t>
      </w:r>
      <w:r w:rsidR="00532E2C">
        <w:rPr>
          <w:color w:val="000000" w:themeColor="text1"/>
        </w:rPr>
        <w:t xml:space="preserve">until its resignation on </w:t>
      </w:r>
      <w:r w:rsidR="005A7392">
        <w:rPr>
          <w:color w:val="000000" w:themeColor="text1"/>
        </w:rPr>
        <w:t>17 July 2015</w:t>
      </w:r>
      <w:r>
        <w:rPr>
          <w:color w:val="000000" w:themeColor="text1"/>
        </w:rPr>
        <w:t>.</w:t>
      </w:r>
    </w:p>
    <w:p w14:paraId="21839986" w14:textId="78642884" w:rsidR="00A1242F" w:rsidRPr="00DF4A25" w:rsidRDefault="00A1242F">
      <w:pPr>
        <w:pStyle w:val="Final"/>
        <w:numPr>
          <w:ilvl w:val="0"/>
          <w:numId w:val="2"/>
        </w:numPr>
        <w:tabs>
          <w:tab w:val="clear" w:pos="720"/>
          <w:tab w:val="num" w:pos="0"/>
        </w:tabs>
        <w:ind w:left="0" w:firstLine="0"/>
        <w:rPr>
          <w:color w:val="000000" w:themeColor="text1"/>
        </w:rPr>
      </w:pPr>
      <w:r>
        <w:rPr>
          <w:color w:val="000000" w:themeColor="text1"/>
        </w:rPr>
        <w:t xml:space="preserve">On </w:t>
      </w:r>
      <w:r w:rsidR="00B40B37">
        <w:rPr>
          <w:color w:val="000000" w:themeColor="text1"/>
        </w:rPr>
        <w:t xml:space="preserve">22 March 2013, the Company published its </w:t>
      </w:r>
      <w:r w:rsidR="002F0A30">
        <w:t xml:space="preserve">2012 Annual Report </w:t>
      </w:r>
      <w:r w:rsidR="00537905">
        <w:t xml:space="preserve">together with </w:t>
      </w:r>
      <w:r w:rsidR="002F0A30">
        <w:t>the audited consolidated financial statements of the Group for the year ended 31 December 2012 (“</w:t>
      </w:r>
      <w:r w:rsidR="002F0A30">
        <w:rPr>
          <w:b/>
          <w:bCs/>
        </w:rPr>
        <w:t>2012 AFS</w:t>
      </w:r>
      <w:r w:rsidR="002F0A30">
        <w:t>”)</w:t>
      </w:r>
      <w:r w:rsidR="00AE6CFF" w:rsidRPr="009E2B80">
        <w:rPr>
          <w:bCs/>
        </w:rPr>
        <w:t>.</w:t>
      </w:r>
      <w:r w:rsidR="00AE6CFF">
        <w:rPr>
          <w:b/>
          <w:bCs/>
        </w:rPr>
        <w:t xml:space="preserve">  </w:t>
      </w:r>
    </w:p>
    <w:p w14:paraId="5866E745" w14:textId="016240F6" w:rsidR="00DF4A25" w:rsidRDefault="006246D5">
      <w:pPr>
        <w:pStyle w:val="Final"/>
        <w:numPr>
          <w:ilvl w:val="0"/>
          <w:numId w:val="2"/>
        </w:numPr>
        <w:tabs>
          <w:tab w:val="clear" w:pos="720"/>
          <w:tab w:val="num" w:pos="0"/>
        </w:tabs>
        <w:ind w:left="0" w:firstLine="0"/>
        <w:rPr>
          <w:color w:val="000000" w:themeColor="text1"/>
        </w:rPr>
      </w:pPr>
      <w:r>
        <w:rPr>
          <w:color w:val="000000" w:themeColor="text1"/>
        </w:rPr>
        <w:t xml:space="preserve">On 11 April 2014, the Company published its 2013 Annual Report </w:t>
      </w:r>
      <w:r w:rsidR="00537905">
        <w:rPr>
          <w:color w:val="000000" w:themeColor="text1"/>
        </w:rPr>
        <w:t>together with</w:t>
      </w:r>
      <w:r>
        <w:rPr>
          <w:color w:val="000000" w:themeColor="text1"/>
        </w:rPr>
        <w:t xml:space="preserve"> </w:t>
      </w:r>
      <w:r w:rsidR="000E1AE9">
        <w:rPr>
          <w:color w:val="000000" w:themeColor="text1"/>
        </w:rPr>
        <w:t>2013 AFS</w:t>
      </w:r>
      <w:r w:rsidRPr="009E2B80">
        <w:rPr>
          <w:bCs/>
          <w:color w:val="000000" w:themeColor="text1"/>
        </w:rPr>
        <w:t>.</w:t>
      </w:r>
    </w:p>
    <w:p w14:paraId="56B8F334" w14:textId="010FC9DD" w:rsidR="007A4F08" w:rsidRDefault="00227360" w:rsidP="002148B4">
      <w:pPr>
        <w:pStyle w:val="Final"/>
        <w:numPr>
          <w:ilvl w:val="0"/>
          <w:numId w:val="2"/>
        </w:numPr>
        <w:tabs>
          <w:tab w:val="clear" w:pos="720"/>
          <w:tab w:val="num" w:pos="0"/>
        </w:tabs>
        <w:ind w:left="0" w:firstLine="0"/>
        <w:rPr>
          <w:color w:val="000000" w:themeColor="text1"/>
        </w:rPr>
      </w:pPr>
      <w:bookmarkStart w:id="3" w:name="_Ref103607616"/>
      <w:r>
        <w:rPr>
          <w:color w:val="000000" w:themeColor="text1"/>
        </w:rPr>
        <w:tab/>
      </w:r>
      <w:r w:rsidR="00A1242F">
        <w:rPr>
          <w:color w:val="000000" w:themeColor="text1"/>
        </w:rPr>
        <w:t xml:space="preserve">The 2012 </w:t>
      </w:r>
      <w:r w:rsidR="00F707AD">
        <w:rPr>
          <w:color w:val="000000" w:themeColor="text1"/>
        </w:rPr>
        <w:t xml:space="preserve">AFS </w:t>
      </w:r>
      <w:r w:rsidR="00A1242F">
        <w:rPr>
          <w:color w:val="000000" w:themeColor="text1"/>
        </w:rPr>
        <w:t xml:space="preserve">and 2013 </w:t>
      </w:r>
      <w:r w:rsidR="00BA72B0">
        <w:rPr>
          <w:color w:val="000000" w:themeColor="text1"/>
        </w:rPr>
        <w:t>A</w:t>
      </w:r>
      <w:r w:rsidR="00A1242F">
        <w:rPr>
          <w:color w:val="000000" w:themeColor="text1"/>
        </w:rPr>
        <w:t>FS were audited by Deloitte</w:t>
      </w:r>
      <w:r w:rsidR="00AE6CFF">
        <w:rPr>
          <w:color w:val="000000" w:themeColor="text1"/>
        </w:rPr>
        <w:t xml:space="preserve">.  </w:t>
      </w:r>
    </w:p>
    <w:p w14:paraId="3C8D935D" w14:textId="2D3A2D99" w:rsidR="00A1242F" w:rsidRDefault="00933FF6">
      <w:pPr>
        <w:pStyle w:val="Final"/>
        <w:numPr>
          <w:ilvl w:val="0"/>
          <w:numId w:val="2"/>
        </w:numPr>
        <w:tabs>
          <w:tab w:val="clear" w:pos="720"/>
          <w:tab w:val="num" w:pos="0"/>
        </w:tabs>
        <w:ind w:left="0" w:firstLine="0"/>
        <w:rPr>
          <w:color w:val="000000" w:themeColor="text1"/>
        </w:rPr>
      </w:pPr>
      <w:r>
        <w:rPr>
          <w:color w:val="000000" w:themeColor="text1"/>
        </w:rPr>
        <w:t xml:space="preserve">In the 2012 </w:t>
      </w:r>
      <w:r w:rsidR="008A0B2B">
        <w:rPr>
          <w:color w:val="000000" w:themeColor="text1"/>
        </w:rPr>
        <w:t xml:space="preserve">AFS </w:t>
      </w:r>
      <w:r>
        <w:rPr>
          <w:color w:val="000000" w:themeColor="text1"/>
        </w:rPr>
        <w:t xml:space="preserve">and 2013 AFS, the Company </w:t>
      </w:r>
      <w:r w:rsidR="00A1242F">
        <w:rPr>
          <w:color w:val="000000" w:themeColor="text1"/>
        </w:rPr>
        <w:t xml:space="preserve">represented to </w:t>
      </w:r>
      <w:r>
        <w:rPr>
          <w:color w:val="000000" w:themeColor="text1"/>
        </w:rPr>
        <w:t>its s</w:t>
      </w:r>
      <w:r w:rsidR="00A1242F">
        <w:rPr>
          <w:color w:val="000000" w:themeColor="text1"/>
        </w:rPr>
        <w:t xml:space="preserve">hareholders and the public that </w:t>
      </w:r>
      <w:r w:rsidR="00AA0737">
        <w:rPr>
          <w:color w:val="000000" w:themeColor="text1"/>
        </w:rPr>
        <w:t xml:space="preserve">the Group had (1) </w:t>
      </w:r>
      <w:r w:rsidR="00A1242F">
        <w:rPr>
          <w:color w:val="000000" w:themeColor="text1"/>
        </w:rPr>
        <w:t xml:space="preserve">capital and reserves </w:t>
      </w:r>
      <w:r w:rsidR="00AA0737">
        <w:rPr>
          <w:color w:val="000000" w:themeColor="text1"/>
        </w:rPr>
        <w:t xml:space="preserve">and (2) </w:t>
      </w:r>
      <w:r w:rsidR="00A1242F">
        <w:rPr>
          <w:color w:val="000000" w:themeColor="text1"/>
        </w:rPr>
        <w:t xml:space="preserve">bank balances and cash </w:t>
      </w:r>
      <w:r w:rsidR="005A7BB4">
        <w:rPr>
          <w:color w:val="000000" w:themeColor="text1"/>
        </w:rPr>
        <w:t xml:space="preserve">in the </w:t>
      </w:r>
      <w:r w:rsidR="00A1242F">
        <w:rPr>
          <w:color w:val="000000" w:themeColor="text1"/>
        </w:rPr>
        <w:t>follow</w:t>
      </w:r>
      <w:r w:rsidR="005A7BB4">
        <w:rPr>
          <w:color w:val="000000" w:themeColor="text1"/>
        </w:rPr>
        <w:t>ing amounts</w:t>
      </w:r>
      <w:r w:rsidR="00A1242F">
        <w:rPr>
          <w:color w:val="000000" w:themeColor="text1"/>
        </w:rPr>
        <w:t>:</w:t>
      </w:r>
      <w:bookmarkEnd w:id="3"/>
    </w:p>
    <w:p w14:paraId="1E5B222A" w14:textId="77777777" w:rsidR="00A1242F" w:rsidRDefault="00A1242F" w:rsidP="00A1242F">
      <w:pPr>
        <w:pStyle w:val="Style1"/>
        <w:tabs>
          <w:tab w:val="clear" w:pos="720"/>
        </w:tabs>
        <w:spacing w:line="340" w:lineRule="exact"/>
        <w:ind w:firstLine="0"/>
        <w:rPr>
          <w:color w:val="000000" w:themeColor="text1"/>
        </w:rPr>
      </w:pPr>
    </w:p>
    <w:tbl>
      <w:tblPr>
        <w:tblStyle w:val="TableGrid"/>
        <w:tblW w:w="7513" w:type="dxa"/>
        <w:tblInd w:w="704" w:type="dxa"/>
        <w:tblLayout w:type="fixed"/>
        <w:tblLook w:val="04A0" w:firstRow="1" w:lastRow="0" w:firstColumn="1" w:lastColumn="0" w:noHBand="0" w:noVBand="1"/>
      </w:tblPr>
      <w:tblGrid>
        <w:gridCol w:w="1701"/>
        <w:gridCol w:w="1843"/>
        <w:gridCol w:w="1984"/>
        <w:gridCol w:w="1985"/>
      </w:tblGrid>
      <w:tr w:rsidR="00A1242F" w:rsidRPr="000423E6" w14:paraId="07250831" w14:textId="77777777" w:rsidTr="006D3178">
        <w:tc>
          <w:tcPr>
            <w:tcW w:w="1701" w:type="dxa"/>
          </w:tcPr>
          <w:p w14:paraId="293A74C2" w14:textId="77777777" w:rsidR="00A1242F" w:rsidRPr="000423E6" w:rsidRDefault="00A1242F" w:rsidP="006D3178">
            <w:pPr>
              <w:pStyle w:val="Style1"/>
              <w:tabs>
                <w:tab w:val="clear" w:pos="720"/>
              </w:tabs>
              <w:spacing w:line="340" w:lineRule="exact"/>
              <w:ind w:left="0" w:firstLine="0"/>
              <w:jc w:val="left"/>
              <w:rPr>
                <w:color w:val="000000" w:themeColor="text1"/>
                <w:sz w:val="24"/>
                <w:szCs w:val="24"/>
              </w:rPr>
            </w:pPr>
          </w:p>
        </w:tc>
        <w:tc>
          <w:tcPr>
            <w:tcW w:w="1843" w:type="dxa"/>
          </w:tcPr>
          <w:p w14:paraId="4A9444AE" w14:textId="77777777" w:rsidR="00A1242F" w:rsidRDefault="00A1242F" w:rsidP="00096B2B">
            <w:pPr>
              <w:pStyle w:val="Style1"/>
              <w:tabs>
                <w:tab w:val="clear" w:pos="720"/>
              </w:tabs>
              <w:spacing w:line="340" w:lineRule="exact"/>
              <w:ind w:left="0" w:firstLine="0"/>
              <w:jc w:val="right"/>
              <w:rPr>
                <w:b/>
                <w:bCs/>
                <w:color w:val="000000" w:themeColor="text1"/>
                <w:sz w:val="24"/>
                <w:szCs w:val="24"/>
              </w:rPr>
            </w:pPr>
            <w:r w:rsidRPr="00AA0737">
              <w:rPr>
                <w:b/>
                <w:bCs/>
                <w:color w:val="000000" w:themeColor="text1"/>
                <w:sz w:val="24"/>
                <w:szCs w:val="24"/>
              </w:rPr>
              <w:t>As at 31.12.2011</w:t>
            </w:r>
          </w:p>
          <w:p w14:paraId="429E059A" w14:textId="02F01B58" w:rsidR="008D616A" w:rsidRPr="00AA0737" w:rsidRDefault="008D616A" w:rsidP="00096B2B">
            <w:pPr>
              <w:pStyle w:val="Style1"/>
              <w:tabs>
                <w:tab w:val="clear" w:pos="720"/>
              </w:tabs>
              <w:spacing w:line="340" w:lineRule="exact"/>
              <w:ind w:left="0" w:firstLine="0"/>
              <w:jc w:val="right"/>
              <w:rPr>
                <w:b/>
                <w:bCs/>
                <w:color w:val="000000" w:themeColor="text1"/>
                <w:sz w:val="24"/>
                <w:szCs w:val="24"/>
              </w:rPr>
            </w:pPr>
            <w:r>
              <w:rPr>
                <w:b/>
                <w:bCs/>
                <w:color w:val="000000" w:themeColor="text1"/>
                <w:sz w:val="24"/>
                <w:szCs w:val="24"/>
              </w:rPr>
              <w:t>RMB</w:t>
            </w:r>
          </w:p>
        </w:tc>
        <w:tc>
          <w:tcPr>
            <w:tcW w:w="1984" w:type="dxa"/>
          </w:tcPr>
          <w:p w14:paraId="04B3F0AE" w14:textId="77777777" w:rsidR="00A1242F" w:rsidRDefault="00A1242F" w:rsidP="00096B2B">
            <w:pPr>
              <w:pStyle w:val="Style1"/>
              <w:tabs>
                <w:tab w:val="clear" w:pos="720"/>
              </w:tabs>
              <w:spacing w:line="340" w:lineRule="exact"/>
              <w:ind w:left="0" w:firstLine="0"/>
              <w:jc w:val="right"/>
              <w:rPr>
                <w:b/>
                <w:bCs/>
                <w:color w:val="000000" w:themeColor="text1"/>
                <w:sz w:val="24"/>
                <w:szCs w:val="24"/>
              </w:rPr>
            </w:pPr>
            <w:r w:rsidRPr="00AA0737">
              <w:rPr>
                <w:b/>
                <w:bCs/>
                <w:color w:val="000000" w:themeColor="text1"/>
                <w:sz w:val="24"/>
                <w:szCs w:val="24"/>
              </w:rPr>
              <w:t>As at 31.12.2012</w:t>
            </w:r>
          </w:p>
          <w:p w14:paraId="4349B797" w14:textId="0FB156F1" w:rsidR="008D616A" w:rsidRPr="00AA0737" w:rsidRDefault="008D616A" w:rsidP="00096B2B">
            <w:pPr>
              <w:pStyle w:val="Style1"/>
              <w:tabs>
                <w:tab w:val="clear" w:pos="720"/>
              </w:tabs>
              <w:spacing w:line="340" w:lineRule="exact"/>
              <w:ind w:left="0" w:firstLine="0"/>
              <w:jc w:val="right"/>
              <w:rPr>
                <w:b/>
                <w:bCs/>
                <w:color w:val="000000" w:themeColor="text1"/>
                <w:sz w:val="24"/>
                <w:szCs w:val="24"/>
              </w:rPr>
            </w:pPr>
            <w:r>
              <w:rPr>
                <w:b/>
                <w:bCs/>
                <w:color w:val="000000" w:themeColor="text1"/>
                <w:sz w:val="24"/>
                <w:szCs w:val="24"/>
              </w:rPr>
              <w:t>RMB</w:t>
            </w:r>
          </w:p>
        </w:tc>
        <w:tc>
          <w:tcPr>
            <w:tcW w:w="1985" w:type="dxa"/>
          </w:tcPr>
          <w:p w14:paraId="24F1A10D" w14:textId="77777777" w:rsidR="00A1242F" w:rsidRDefault="00A1242F" w:rsidP="00096B2B">
            <w:pPr>
              <w:pStyle w:val="Style1"/>
              <w:tabs>
                <w:tab w:val="clear" w:pos="720"/>
              </w:tabs>
              <w:spacing w:line="340" w:lineRule="exact"/>
              <w:ind w:left="0" w:firstLine="0"/>
              <w:jc w:val="right"/>
              <w:rPr>
                <w:b/>
                <w:bCs/>
                <w:color w:val="000000" w:themeColor="text1"/>
                <w:sz w:val="24"/>
                <w:szCs w:val="24"/>
              </w:rPr>
            </w:pPr>
            <w:r w:rsidRPr="00AA0737">
              <w:rPr>
                <w:b/>
                <w:bCs/>
                <w:color w:val="000000" w:themeColor="text1"/>
                <w:sz w:val="24"/>
                <w:szCs w:val="24"/>
              </w:rPr>
              <w:t>As at 31.12.2013</w:t>
            </w:r>
          </w:p>
          <w:p w14:paraId="7E15031A" w14:textId="36868D8A" w:rsidR="008D616A" w:rsidRPr="00AA0737" w:rsidRDefault="008D616A" w:rsidP="00096B2B">
            <w:pPr>
              <w:pStyle w:val="Style1"/>
              <w:tabs>
                <w:tab w:val="clear" w:pos="720"/>
              </w:tabs>
              <w:spacing w:line="340" w:lineRule="exact"/>
              <w:ind w:left="0" w:firstLine="0"/>
              <w:jc w:val="right"/>
              <w:rPr>
                <w:b/>
                <w:bCs/>
                <w:color w:val="000000" w:themeColor="text1"/>
                <w:sz w:val="24"/>
                <w:szCs w:val="24"/>
              </w:rPr>
            </w:pPr>
            <w:r>
              <w:rPr>
                <w:b/>
                <w:bCs/>
                <w:color w:val="000000" w:themeColor="text1"/>
                <w:sz w:val="24"/>
                <w:szCs w:val="24"/>
              </w:rPr>
              <w:t>RMB</w:t>
            </w:r>
          </w:p>
        </w:tc>
      </w:tr>
      <w:tr w:rsidR="00A1242F" w:rsidRPr="000423E6" w14:paraId="2BB190E8" w14:textId="77777777" w:rsidTr="006D3178">
        <w:tc>
          <w:tcPr>
            <w:tcW w:w="1701" w:type="dxa"/>
          </w:tcPr>
          <w:p w14:paraId="0421A29E" w14:textId="6708BC94" w:rsidR="00A1242F" w:rsidRPr="000423E6" w:rsidRDefault="00A1242F" w:rsidP="006D3178">
            <w:pPr>
              <w:pStyle w:val="Style1"/>
              <w:tabs>
                <w:tab w:val="clear" w:pos="720"/>
              </w:tabs>
              <w:spacing w:line="340" w:lineRule="exact"/>
              <w:ind w:left="0" w:firstLine="0"/>
              <w:jc w:val="left"/>
              <w:rPr>
                <w:color w:val="000000" w:themeColor="text1"/>
                <w:sz w:val="24"/>
                <w:szCs w:val="24"/>
              </w:rPr>
            </w:pPr>
            <w:r w:rsidRPr="000423E6">
              <w:rPr>
                <w:color w:val="000000" w:themeColor="text1"/>
                <w:sz w:val="24"/>
                <w:szCs w:val="24"/>
              </w:rPr>
              <w:t xml:space="preserve">Capital and reserves </w:t>
            </w:r>
          </w:p>
        </w:tc>
        <w:tc>
          <w:tcPr>
            <w:tcW w:w="1843" w:type="dxa"/>
          </w:tcPr>
          <w:p w14:paraId="196828BF" w14:textId="488E548E" w:rsidR="00A1242F" w:rsidRPr="000423E6" w:rsidRDefault="00A1242F" w:rsidP="006D3178">
            <w:pPr>
              <w:pStyle w:val="Style1"/>
              <w:tabs>
                <w:tab w:val="clear" w:pos="720"/>
              </w:tabs>
              <w:spacing w:line="340" w:lineRule="exact"/>
              <w:ind w:left="0" w:firstLine="0"/>
              <w:jc w:val="right"/>
              <w:rPr>
                <w:color w:val="000000" w:themeColor="text1"/>
                <w:sz w:val="24"/>
                <w:szCs w:val="24"/>
              </w:rPr>
            </w:pPr>
            <w:r w:rsidRPr="000423E6">
              <w:rPr>
                <w:color w:val="000000" w:themeColor="text1"/>
                <w:sz w:val="24"/>
                <w:szCs w:val="24"/>
              </w:rPr>
              <w:t>2,304,669,000</w:t>
            </w:r>
          </w:p>
        </w:tc>
        <w:tc>
          <w:tcPr>
            <w:tcW w:w="1984" w:type="dxa"/>
          </w:tcPr>
          <w:p w14:paraId="4BEFD458" w14:textId="7623412E" w:rsidR="00A1242F" w:rsidRPr="000423E6" w:rsidRDefault="00A1242F" w:rsidP="006D3178">
            <w:pPr>
              <w:pStyle w:val="Style1"/>
              <w:tabs>
                <w:tab w:val="clear" w:pos="720"/>
              </w:tabs>
              <w:spacing w:line="340" w:lineRule="exact"/>
              <w:ind w:left="0" w:firstLine="0"/>
              <w:jc w:val="right"/>
              <w:rPr>
                <w:color w:val="000000" w:themeColor="text1"/>
                <w:sz w:val="24"/>
                <w:szCs w:val="24"/>
              </w:rPr>
            </w:pPr>
            <w:r w:rsidRPr="000423E6">
              <w:rPr>
                <w:color w:val="000000" w:themeColor="text1"/>
                <w:sz w:val="24"/>
                <w:szCs w:val="24"/>
              </w:rPr>
              <w:t>2,654,512,000</w:t>
            </w:r>
          </w:p>
        </w:tc>
        <w:tc>
          <w:tcPr>
            <w:tcW w:w="1985" w:type="dxa"/>
          </w:tcPr>
          <w:p w14:paraId="4AB20D35" w14:textId="35A65990" w:rsidR="00A1242F" w:rsidRPr="000423E6" w:rsidRDefault="00A1242F" w:rsidP="006D3178">
            <w:pPr>
              <w:pStyle w:val="Style1"/>
              <w:tabs>
                <w:tab w:val="clear" w:pos="720"/>
              </w:tabs>
              <w:spacing w:line="340" w:lineRule="exact"/>
              <w:ind w:left="0" w:firstLine="0"/>
              <w:jc w:val="right"/>
              <w:rPr>
                <w:color w:val="000000" w:themeColor="text1"/>
                <w:sz w:val="24"/>
                <w:szCs w:val="24"/>
              </w:rPr>
            </w:pPr>
            <w:r w:rsidRPr="000423E6">
              <w:rPr>
                <w:color w:val="000000" w:themeColor="text1"/>
                <w:sz w:val="24"/>
                <w:szCs w:val="24"/>
              </w:rPr>
              <w:t>3,074,291,000</w:t>
            </w:r>
          </w:p>
        </w:tc>
      </w:tr>
      <w:tr w:rsidR="00A1242F" w:rsidRPr="000423E6" w14:paraId="6A539039" w14:textId="77777777" w:rsidTr="006D3178">
        <w:tc>
          <w:tcPr>
            <w:tcW w:w="1701" w:type="dxa"/>
          </w:tcPr>
          <w:p w14:paraId="5610E846" w14:textId="77777777" w:rsidR="00A1242F" w:rsidRPr="000423E6" w:rsidRDefault="00A1242F" w:rsidP="006D3178">
            <w:pPr>
              <w:pStyle w:val="Style1"/>
              <w:tabs>
                <w:tab w:val="clear" w:pos="720"/>
              </w:tabs>
              <w:spacing w:line="340" w:lineRule="exact"/>
              <w:ind w:left="0" w:firstLine="0"/>
              <w:jc w:val="left"/>
              <w:rPr>
                <w:color w:val="000000" w:themeColor="text1"/>
                <w:sz w:val="24"/>
                <w:szCs w:val="24"/>
              </w:rPr>
            </w:pPr>
            <w:r w:rsidRPr="000423E6">
              <w:rPr>
                <w:color w:val="000000" w:themeColor="text1"/>
                <w:sz w:val="24"/>
                <w:szCs w:val="24"/>
              </w:rPr>
              <w:t xml:space="preserve">Bank balances and cash </w:t>
            </w:r>
          </w:p>
        </w:tc>
        <w:tc>
          <w:tcPr>
            <w:tcW w:w="1843" w:type="dxa"/>
          </w:tcPr>
          <w:p w14:paraId="61ABB705" w14:textId="3ABF9433" w:rsidR="00A1242F" w:rsidRPr="000423E6" w:rsidRDefault="00A1242F" w:rsidP="006D3178">
            <w:pPr>
              <w:pStyle w:val="Style1"/>
              <w:tabs>
                <w:tab w:val="clear" w:pos="720"/>
              </w:tabs>
              <w:spacing w:line="340" w:lineRule="exact"/>
              <w:ind w:left="0" w:firstLine="0"/>
              <w:jc w:val="right"/>
              <w:rPr>
                <w:color w:val="000000" w:themeColor="text1"/>
                <w:sz w:val="24"/>
                <w:szCs w:val="24"/>
              </w:rPr>
            </w:pPr>
            <w:r w:rsidRPr="000423E6">
              <w:rPr>
                <w:color w:val="000000" w:themeColor="text1"/>
                <w:sz w:val="24"/>
                <w:szCs w:val="24"/>
              </w:rPr>
              <w:t>2,074,426,000</w:t>
            </w:r>
          </w:p>
        </w:tc>
        <w:tc>
          <w:tcPr>
            <w:tcW w:w="1984" w:type="dxa"/>
          </w:tcPr>
          <w:p w14:paraId="139922BF" w14:textId="1C9925F5" w:rsidR="00A1242F" w:rsidRPr="000423E6" w:rsidRDefault="00A1242F" w:rsidP="006D3178">
            <w:pPr>
              <w:pStyle w:val="Style1"/>
              <w:tabs>
                <w:tab w:val="clear" w:pos="720"/>
              </w:tabs>
              <w:spacing w:line="340" w:lineRule="exact"/>
              <w:ind w:left="0" w:firstLine="0"/>
              <w:jc w:val="right"/>
              <w:rPr>
                <w:color w:val="000000" w:themeColor="text1"/>
                <w:sz w:val="24"/>
                <w:szCs w:val="24"/>
              </w:rPr>
            </w:pPr>
            <w:r w:rsidRPr="000423E6">
              <w:rPr>
                <w:color w:val="000000" w:themeColor="text1"/>
                <w:sz w:val="24"/>
                <w:szCs w:val="24"/>
              </w:rPr>
              <w:t>2,912,077,000</w:t>
            </w:r>
          </w:p>
        </w:tc>
        <w:tc>
          <w:tcPr>
            <w:tcW w:w="1985" w:type="dxa"/>
          </w:tcPr>
          <w:p w14:paraId="74D6AA63" w14:textId="3598357C" w:rsidR="00A1242F" w:rsidRPr="000423E6" w:rsidRDefault="00A1242F" w:rsidP="006D3178">
            <w:pPr>
              <w:pStyle w:val="Style1"/>
              <w:tabs>
                <w:tab w:val="clear" w:pos="720"/>
              </w:tabs>
              <w:spacing w:line="340" w:lineRule="exact"/>
              <w:ind w:left="0" w:firstLine="0"/>
              <w:jc w:val="right"/>
              <w:rPr>
                <w:color w:val="000000" w:themeColor="text1"/>
                <w:sz w:val="24"/>
                <w:szCs w:val="24"/>
              </w:rPr>
            </w:pPr>
            <w:r w:rsidRPr="000423E6">
              <w:rPr>
                <w:color w:val="000000" w:themeColor="text1"/>
                <w:sz w:val="24"/>
                <w:szCs w:val="24"/>
              </w:rPr>
              <w:t>3,533,547,000</w:t>
            </w:r>
          </w:p>
        </w:tc>
      </w:tr>
      <w:tr w:rsidR="00A1242F" w:rsidRPr="000423E6" w14:paraId="3DDAF41C" w14:textId="77777777" w:rsidTr="006D3178">
        <w:tc>
          <w:tcPr>
            <w:tcW w:w="1701" w:type="dxa"/>
          </w:tcPr>
          <w:p w14:paraId="22D0C914" w14:textId="77777777" w:rsidR="00A1242F" w:rsidRPr="000423E6" w:rsidRDefault="00A1242F" w:rsidP="006D3178">
            <w:pPr>
              <w:pStyle w:val="Style1"/>
              <w:tabs>
                <w:tab w:val="clear" w:pos="720"/>
              </w:tabs>
              <w:spacing w:line="340" w:lineRule="exact"/>
              <w:ind w:left="0" w:firstLine="0"/>
              <w:jc w:val="left"/>
              <w:rPr>
                <w:color w:val="000000" w:themeColor="text1"/>
                <w:sz w:val="24"/>
                <w:szCs w:val="24"/>
              </w:rPr>
            </w:pPr>
            <w:r w:rsidRPr="000423E6">
              <w:rPr>
                <w:color w:val="000000" w:themeColor="text1"/>
                <w:sz w:val="24"/>
                <w:szCs w:val="24"/>
              </w:rPr>
              <w:t xml:space="preserve">Increase in bank balance and cash </w:t>
            </w:r>
          </w:p>
        </w:tc>
        <w:tc>
          <w:tcPr>
            <w:tcW w:w="1843" w:type="dxa"/>
          </w:tcPr>
          <w:p w14:paraId="3EBECD19" w14:textId="77777777" w:rsidR="00A1242F" w:rsidRPr="000423E6" w:rsidRDefault="00A1242F" w:rsidP="006D3178">
            <w:pPr>
              <w:pStyle w:val="Style1"/>
              <w:tabs>
                <w:tab w:val="clear" w:pos="720"/>
              </w:tabs>
              <w:spacing w:line="340" w:lineRule="exact"/>
              <w:ind w:left="0" w:firstLine="0"/>
              <w:jc w:val="right"/>
              <w:rPr>
                <w:color w:val="000000" w:themeColor="text1"/>
                <w:sz w:val="24"/>
                <w:szCs w:val="24"/>
              </w:rPr>
            </w:pPr>
          </w:p>
        </w:tc>
        <w:tc>
          <w:tcPr>
            <w:tcW w:w="1984" w:type="dxa"/>
          </w:tcPr>
          <w:p w14:paraId="785FF9E4" w14:textId="032E7214" w:rsidR="00A1242F" w:rsidRPr="000423E6" w:rsidRDefault="00A1242F" w:rsidP="006D3178">
            <w:pPr>
              <w:pStyle w:val="Style1"/>
              <w:tabs>
                <w:tab w:val="clear" w:pos="720"/>
              </w:tabs>
              <w:spacing w:line="340" w:lineRule="exact"/>
              <w:ind w:left="0" w:firstLine="0"/>
              <w:jc w:val="right"/>
              <w:rPr>
                <w:color w:val="000000" w:themeColor="text1"/>
                <w:sz w:val="24"/>
                <w:szCs w:val="24"/>
              </w:rPr>
            </w:pPr>
            <w:r w:rsidRPr="000423E6">
              <w:rPr>
                <w:color w:val="000000" w:themeColor="text1"/>
                <w:sz w:val="24"/>
                <w:szCs w:val="24"/>
              </w:rPr>
              <w:t>837,651,000</w:t>
            </w:r>
          </w:p>
        </w:tc>
        <w:tc>
          <w:tcPr>
            <w:tcW w:w="1985" w:type="dxa"/>
          </w:tcPr>
          <w:p w14:paraId="1DC5870E" w14:textId="47ABF28B" w:rsidR="00A1242F" w:rsidRPr="000423E6" w:rsidRDefault="00A1242F" w:rsidP="006D3178">
            <w:pPr>
              <w:pStyle w:val="Style1"/>
              <w:tabs>
                <w:tab w:val="clear" w:pos="720"/>
              </w:tabs>
              <w:spacing w:line="340" w:lineRule="exact"/>
              <w:ind w:left="0" w:firstLine="0"/>
              <w:jc w:val="right"/>
              <w:rPr>
                <w:color w:val="000000" w:themeColor="text1"/>
                <w:sz w:val="24"/>
                <w:szCs w:val="24"/>
              </w:rPr>
            </w:pPr>
            <w:r w:rsidRPr="000423E6">
              <w:rPr>
                <w:color w:val="000000" w:themeColor="text1"/>
                <w:sz w:val="24"/>
                <w:szCs w:val="24"/>
              </w:rPr>
              <w:t>621,470,000</w:t>
            </w:r>
          </w:p>
        </w:tc>
      </w:tr>
    </w:tbl>
    <w:p w14:paraId="13D3AFB7" w14:textId="77777777" w:rsidR="00A1242F" w:rsidRDefault="00A1242F" w:rsidP="00A1242F">
      <w:pPr>
        <w:pStyle w:val="Style1"/>
        <w:tabs>
          <w:tab w:val="clear" w:pos="720"/>
        </w:tabs>
        <w:spacing w:line="340" w:lineRule="exact"/>
        <w:ind w:left="0" w:firstLine="0"/>
        <w:rPr>
          <w:color w:val="000000" w:themeColor="text1"/>
        </w:rPr>
      </w:pPr>
    </w:p>
    <w:p w14:paraId="3B08B548" w14:textId="1C7748D0" w:rsidR="00A1242F" w:rsidRDefault="00A1242F" w:rsidP="00F775AD">
      <w:pPr>
        <w:pStyle w:val="H-1"/>
        <w:tabs>
          <w:tab w:val="left" w:pos="720"/>
        </w:tabs>
      </w:pPr>
      <w:r>
        <w:lastRenderedPageBreak/>
        <w:t>B3.</w:t>
      </w:r>
      <w:r>
        <w:tab/>
        <w:t>Emerson Reports</w:t>
      </w:r>
      <w:r w:rsidR="006D3178">
        <w:t xml:space="preserve"> and</w:t>
      </w:r>
      <w:r>
        <w:t xml:space="preserve"> SFC’s investigations </w:t>
      </w:r>
    </w:p>
    <w:p w14:paraId="4419C2D9" w14:textId="68A14FEB" w:rsidR="00A1242F" w:rsidRDefault="00A1242F">
      <w:pPr>
        <w:pStyle w:val="Final"/>
        <w:numPr>
          <w:ilvl w:val="0"/>
          <w:numId w:val="2"/>
        </w:numPr>
        <w:tabs>
          <w:tab w:val="clear" w:pos="720"/>
          <w:tab w:val="num" w:pos="0"/>
        </w:tabs>
        <w:ind w:left="0" w:firstLine="0"/>
        <w:rPr>
          <w:color w:val="000000" w:themeColor="text1"/>
        </w:rPr>
      </w:pPr>
      <w:r>
        <w:rPr>
          <w:color w:val="000000" w:themeColor="text1"/>
        </w:rPr>
        <w:t xml:space="preserve">On 4 </w:t>
      </w:r>
      <w:r w:rsidR="009F38B9">
        <w:rPr>
          <w:color w:val="000000" w:themeColor="text1"/>
        </w:rPr>
        <w:t xml:space="preserve">and 16 </w:t>
      </w:r>
      <w:r>
        <w:rPr>
          <w:color w:val="000000" w:themeColor="text1"/>
        </w:rPr>
        <w:t xml:space="preserve">February 2015, Emerson Research Analysts Co, an equities research firm, issued </w:t>
      </w:r>
      <w:r w:rsidR="00EB6D40">
        <w:rPr>
          <w:color w:val="000000" w:themeColor="text1"/>
        </w:rPr>
        <w:t>2</w:t>
      </w:r>
      <w:r>
        <w:rPr>
          <w:color w:val="000000" w:themeColor="text1"/>
        </w:rPr>
        <w:t xml:space="preserve"> reports in relation to </w:t>
      </w:r>
      <w:r w:rsidR="00EB6D40">
        <w:rPr>
          <w:color w:val="000000" w:themeColor="text1"/>
        </w:rPr>
        <w:t>t</w:t>
      </w:r>
      <w:r w:rsidR="00FA6553">
        <w:rPr>
          <w:color w:val="000000" w:themeColor="text1"/>
        </w:rPr>
        <w:t>he Company</w:t>
      </w:r>
      <w:r w:rsidR="00EB6D40">
        <w:rPr>
          <w:color w:val="000000" w:themeColor="text1"/>
        </w:rPr>
        <w:t xml:space="preserve"> </w:t>
      </w:r>
      <w:r>
        <w:rPr>
          <w:color w:val="000000" w:themeColor="text1"/>
        </w:rPr>
        <w:t>(</w:t>
      </w:r>
      <w:r w:rsidR="00EB6D40">
        <w:rPr>
          <w:color w:val="000000" w:themeColor="text1"/>
        </w:rPr>
        <w:t xml:space="preserve">together </w:t>
      </w:r>
      <w:r>
        <w:rPr>
          <w:color w:val="000000" w:themeColor="text1"/>
        </w:rPr>
        <w:t>“</w:t>
      </w:r>
      <w:r>
        <w:rPr>
          <w:b/>
          <w:bCs/>
          <w:color w:val="000000" w:themeColor="text1"/>
        </w:rPr>
        <w:t>Emerson Reports</w:t>
      </w:r>
      <w:r>
        <w:rPr>
          <w:color w:val="000000" w:themeColor="text1"/>
        </w:rPr>
        <w:t>”)</w:t>
      </w:r>
      <w:r w:rsidR="004C496C">
        <w:rPr>
          <w:color w:val="000000" w:themeColor="text1"/>
        </w:rPr>
        <w:t xml:space="preserve"> which </w:t>
      </w:r>
      <w:r w:rsidR="00D20DA6">
        <w:rPr>
          <w:color w:val="000000" w:themeColor="text1"/>
        </w:rPr>
        <w:t xml:space="preserve">suggested </w:t>
      </w:r>
      <w:r w:rsidR="00197DE8">
        <w:rPr>
          <w:color w:val="000000" w:themeColor="text1"/>
        </w:rPr>
        <w:t>that:</w:t>
      </w:r>
    </w:p>
    <w:p w14:paraId="60027070" w14:textId="1576AB94" w:rsidR="008B71E0" w:rsidRPr="00C77CF9" w:rsidRDefault="008B71E0" w:rsidP="005C174D">
      <w:pPr>
        <w:pStyle w:val="points"/>
        <w:numPr>
          <w:ilvl w:val="0"/>
          <w:numId w:val="20"/>
        </w:numPr>
        <w:tabs>
          <w:tab w:val="clear" w:pos="1400"/>
        </w:tabs>
        <w:ind w:left="1440"/>
        <w:rPr>
          <w:color w:val="000000" w:themeColor="text1"/>
        </w:rPr>
      </w:pPr>
      <w:r>
        <w:t xml:space="preserve">BJ </w:t>
      </w:r>
      <w:proofErr w:type="spellStart"/>
      <w:r>
        <w:t>Epure</w:t>
      </w:r>
      <w:proofErr w:type="spellEnd"/>
      <w:r>
        <w:t xml:space="preserve"> had </w:t>
      </w:r>
      <w:r w:rsidR="00DD790B">
        <w:t xml:space="preserve">purportedly </w:t>
      </w:r>
      <w:r>
        <w:t xml:space="preserve">supplied </w:t>
      </w:r>
      <w:r w:rsidR="00DD790B">
        <w:t>t</w:t>
      </w:r>
      <w:r>
        <w:t>he Company</w:t>
      </w:r>
      <w:r w:rsidR="00DD790B">
        <w:t xml:space="preserve"> </w:t>
      </w:r>
      <w:r>
        <w:t xml:space="preserve">with about RMB 1 billion of false revenue in technology services, and BJ </w:t>
      </w:r>
      <w:proofErr w:type="spellStart"/>
      <w:r>
        <w:t>Epure</w:t>
      </w:r>
      <w:proofErr w:type="spellEnd"/>
      <w:r>
        <w:t xml:space="preserve"> was a shell company used for booking such revenue</w:t>
      </w:r>
      <w:r w:rsidR="00C77CF9">
        <w:t>;</w:t>
      </w:r>
    </w:p>
    <w:p w14:paraId="343ABA1A" w14:textId="3E738317" w:rsidR="00C77CF9" w:rsidRDefault="00C77CF9" w:rsidP="005C174D">
      <w:pPr>
        <w:pStyle w:val="points"/>
        <w:numPr>
          <w:ilvl w:val="0"/>
          <w:numId w:val="20"/>
        </w:numPr>
        <w:tabs>
          <w:tab w:val="clear" w:pos="1400"/>
        </w:tabs>
        <w:ind w:left="1440"/>
        <w:rPr>
          <w:color w:val="000000" w:themeColor="text1"/>
        </w:rPr>
      </w:pPr>
      <w:r>
        <w:rPr>
          <w:color w:val="000000" w:themeColor="text1"/>
        </w:rPr>
        <w:t xml:space="preserve">There </w:t>
      </w:r>
      <w:r w:rsidRPr="004B5994">
        <w:t>was</w:t>
      </w:r>
      <w:r>
        <w:rPr>
          <w:color w:val="000000" w:themeColor="text1"/>
        </w:rPr>
        <w:t xml:space="preserve"> </w:t>
      </w:r>
      <w:r w:rsidRPr="00F775AD">
        <w:t>evidence</w:t>
      </w:r>
      <w:r>
        <w:rPr>
          <w:color w:val="000000" w:themeColor="text1"/>
        </w:rPr>
        <w:t xml:space="preserve"> to suggest that the 2013 revenue from its Anshan plant had been fraudulently inflated by RMB 380 million</w:t>
      </w:r>
      <w:r w:rsidR="003B554E">
        <w:rPr>
          <w:color w:val="000000" w:themeColor="text1"/>
        </w:rPr>
        <w:t>;</w:t>
      </w:r>
    </w:p>
    <w:p w14:paraId="4D5148DA" w14:textId="6A055914" w:rsidR="003B554E" w:rsidRDefault="003B554E" w:rsidP="005C174D">
      <w:pPr>
        <w:pStyle w:val="points"/>
        <w:numPr>
          <w:ilvl w:val="0"/>
          <w:numId w:val="20"/>
        </w:numPr>
        <w:tabs>
          <w:tab w:val="clear" w:pos="1400"/>
        </w:tabs>
        <w:ind w:left="1440"/>
        <w:rPr>
          <w:color w:val="000000" w:themeColor="text1"/>
        </w:rPr>
      </w:pPr>
      <w:r>
        <w:rPr>
          <w:color w:val="000000" w:themeColor="text1"/>
        </w:rPr>
        <w:t xml:space="preserve">The Group’s </w:t>
      </w:r>
      <w:r w:rsidRPr="00F775AD">
        <w:t>true</w:t>
      </w:r>
      <w:r>
        <w:rPr>
          <w:color w:val="000000" w:themeColor="text1"/>
        </w:rPr>
        <w:t xml:space="preserve"> cash and bank balances likely averaged only one third of the amounts reported;</w:t>
      </w:r>
      <w:r w:rsidR="007E7CF6">
        <w:rPr>
          <w:color w:val="000000" w:themeColor="text1"/>
        </w:rPr>
        <w:t xml:space="preserve"> and</w:t>
      </w:r>
    </w:p>
    <w:p w14:paraId="300572F1" w14:textId="667945E1" w:rsidR="003B554E" w:rsidRDefault="003B554E" w:rsidP="005C174D">
      <w:pPr>
        <w:pStyle w:val="points"/>
        <w:numPr>
          <w:ilvl w:val="0"/>
          <w:numId w:val="20"/>
        </w:numPr>
        <w:tabs>
          <w:tab w:val="clear" w:pos="1400"/>
        </w:tabs>
        <w:ind w:left="1440"/>
        <w:rPr>
          <w:color w:val="000000" w:themeColor="text1"/>
        </w:rPr>
      </w:pPr>
      <w:r>
        <w:rPr>
          <w:color w:val="000000" w:themeColor="text1"/>
        </w:rPr>
        <w:t xml:space="preserve">The real </w:t>
      </w:r>
      <w:r w:rsidRPr="00F775AD">
        <w:t>profitability</w:t>
      </w:r>
      <w:r>
        <w:rPr>
          <w:color w:val="000000" w:themeColor="text1"/>
        </w:rPr>
        <w:t xml:space="preserve"> of the Group in 2013 was only slightly more than a quarter of the amount reported</w:t>
      </w:r>
      <w:r w:rsidR="007E7CF6">
        <w:rPr>
          <w:color w:val="000000" w:themeColor="text1"/>
        </w:rPr>
        <w:t>.</w:t>
      </w:r>
    </w:p>
    <w:p w14:paraId="529952EA" w14:textId="6CDD3CE5" w:rsidR="000C1B07" w:rsidRDefault="00901137">
      <w:pPr>
        <w:pStyle w:val="Final"/>
        <w:numPr>
          <w:ilvl w:val="0"/>
          <w:numId w:val="2"/>
        </w:numPr>
        <w:tabs>
          <w:tab w:val="clear" w:pos="720"/>
          <w:tab w:val="num" w:pos="0"/>
        </w:tabs>
        <w:ind w:left="0" w:firstLine="0"/>
        <w:rPr>
          <w:color w:val="000000" w:themeColor="text1"/>
        </w:rPr>
      </w:pPr>
      <w:r>
        <w:rPr>
          <w:color w:val="000000" w:themeColor="text1"/>
        </w:rPr>
        <w:t xml:space="preserve">In response to the Emerson Reports, </w:t>
      </w:r>
      <w:r w:rsidR="00C73A88">
        <w:rPr>
          <w:color w:val="000000" w:themeColor="text1"/>
        </w:rPr>
        <w:t>t</w:t>
      </w:r>
      <w:r w:rsidR="00FA6553">
        <w:rPr>
          <w:color w:val="000000" w:themeColor="text1"/>
        </w:rPr>
        <w:t>he Company</w:t>
      </w:r>
      <w:r w:rsidR="00C73A88">
        <w:rPr>
          <w:color w:val="000000" w:themeColor="text1"/>
        </w:rPr>
        <w:t xml:space="preserve"> </w:t>
      </w:r>
      <w:r w:rsidR="00A1242F">
        <w:rPr>
          <w:color w:val="000000" w:themeColor="text1"/>
        </w:rPr>
        <w:t>issued clarifications on 13, 17 and 24 February 2015</w:t>
      </w:r>
      <w:r w:rsidR="002013BC">
        <w:rPr>
          <w:color w:val="000000" w:themeColor="text1"/>
        </w:rPr>
        <w:t>.</w:t>
      </w:r>
      <w:r w:rsidR="00A1242F">
        <w:rPr>
          <w:color w:val="000000" w:themeColor="text1"/>
        </w:rPr>
        <w:t xml:space="preserve"> </w:t>
      </w:r>
    </w:p>
    <w:p w14:paraId="77F73167" w14:textId="13562EA3" w:rsidR="00A1242F" w:rsidRPr="00A01025" w:rsidRDefault="00D409E6">
      <w:pPr>
        <w:pStyle w:val="Final"/>
        <w:numPr>
          <w:ilvl w:val="0"/>
          <w:numId w:val="2"/>
        </w:numPr>
        <w:tabs>
          <w:tab w:val="clear" w:pos="720"/>
          <w:tab w:val="num" w:pos="0"/>
        </w:tabs>
        <w:ind w:left="0" w:firstLine="0"/>
        <w:rPr>
          <w:color w:val="000000" w:themeColor="text1"/>
        </w:rPr>
      </w:pPr>
      <w:r>
        <w:rPr>
          <w:color w:val="000000" w:themeColor="text1"/>
        </w:rPr>
        <w:t xml:space="preserve">The </w:t>
      </w:r>
      <w:r w:rsidR="00A1242F">
        <w:rPr>
          <w:color w:val="000000" w:themeColor="text1"/>
        </w:rPr>
        <w:t xml:space="preserve">SFC </w:t>
      </w:r>
      <w:r>
        <w:rPr>
          <w:color w:val="000000" w:themeColor="text1"/>
        </w:rPr>
        <w:t>w</w:t>
      </w:r>
      <w:r w:rsidR="00A1242F">
        <w:rPr>
          <w:color w:val="000000" w:themeColor="text1"/>
        </w:rPr>
        <w:t xml:space="preserve">as </w:t>
      </w:r>
      <w:r>
        <w:rPr>
          <w:color w:val="000000" w:themeColor="text1"/>
        </w:rPr>
        <w:t xml:space="preserve">concerned about </w:t>
      </w:r>
      <w:r w:rsidR="00A1242F">
        <w:rPr>
          <w:color w:val="000000" w:themeColor="text1"/>
        </w:rPr>
        <w:t xml:space="preserve">whether false or misleading information had been disclosed or provided by </w:t>
      </w:r>
      <w:r>
        <w:rPr>
          <w:color w:val="000000" w:themeColor="text1"/>
        </w:rPr>
        <w:t>the Company</w:t>
      </w:r>
      <w:r w:rsidR="00A1242F">
        <w:rPr>
          <w:color w:val="000000" w:themeColor="text1"/>
        </w:rPr>
        <w:t>.</w:t>
      </w:r>
      <w:r w:rsidR="00A1242F">
        <w:rPr>
          <w:rStyle w:val="FootnoteReference"/>
          <w:color w:val="000000" w:themeColor="text1"/>
        </w:rPr>
        <w:footnoteReference w:id="15"/>
      </w:r>
      <w:bookmarkStart w:id="4" w:name="_Ref103598585"/>
      <w:r w:rsidR="00A01025">
        <w:rPr>
          <w:color w:val="000000" w:themeColor="text1"/>
        </w:rPr>
        <w:t xml:space="preserve"> </w:t>
      </w:r>
      <w:r w:rsidR="004A2BF0">
        <w:rPr>
          <w:color w:val="000000" w:themeColor="text1"/>
        </w:rPr>
        <w:t xml:space="preserve"> </w:t>
      </w:r>
      <w:r w:rsidR="00A01025">
        <w:rPr>
          <w:color w:val="000000" w:themeColor="text1"/>
        </w:rPr>
        <w:t>O</w:t>
      </w:r>
      <w:r w:rsidR="00A1242F" w:rsidRPr="00A01025">
        <w:rPr>
          <w:color w:val="000000" w:themeColor="text1"/>
        </w:rPr>
        <w:t>n 16 March 2015, the SFC issued a notice under s</w:t>
      </w:r>
      <w:r w:rsidR="00F47E94">
        <w:rPr>
          <w:color w:val="000000" w:themeColor="text1"/>
        </w:rPr>
        <w:t>.</w:t>
      </w:r>
      <w:r w:rsidR="00A1242F" w:rsidRPr="00A01025">
        <w:rPr>
          <w:color w:val="000000" w:themeColor="text1"/>
        </w:rPr>
        <w:t>183 of the SFO (“</w:t>
      </w:r>
      <w:r w:rsidR="00F47E94">
        <w:rPr>
          <w:color w:val="000000" w:themeColor="text1"/>
        </w:rPr>
        <w:t>s.</w:t>
      </w:r>
      <w:r w:rsidR="00A1242F" w:rsidRPr="00A01025">
        <w:rPr>
          <w:b/>
          <w:bCs/>
          <w:color w:val="000000" w:themeColor="text1"/>
        </w:rPr>
        <w:t>183 Notice</w:t>
      </w:r>
      <w:r w:rsidR="00A1242F" w:rsidRPr="00A01025">
        <w:rPr>
          <w:color w:val="000000" w:themeColor="text1"/>
        </w:rPr>
        <w:t xml:space="preserve">”) requiring </w:t>
      </w:r>
      <w:r w:rsidR="00F47E94">
        <w:rPr>
          <w:color w:val="000000" w:themeColor="text1"/>
        </w:rPr>
        <w:t>t</w:t>
      </w:r>
      <w:r w:rsidR="00FA6553" w:rsidRPr="00A01025">
        <w:rPr>
          <w:color w:val="000000" w:themeColor="text1"/>
        </w:rPr>
        <w:t>he Company</w:t>
      </w:r>
      <w:r w:rsidR="00F47E94">
        <w:rPr>
          <w:color w:val="000000" w:themeColor="text1"/>
        </w:rPr>
        <w:t xml:space="preserve"> </w:t>
      </w:r>
      <w:r w:rsidR="00A1242F" w:rsidRPr="00A01025">
        <w:rPr>
          <w:color w:val="000000" w:themeColor="text1"/>
        </w:rPr>
        <w:t>to produce (</w:t>
      </w:r>
      <w:r w:rsidR="00A1242F" w:rsidRPr="00A01025">
        <w:rPr>
          <w:i/>
          <w:iCs/>
          <w:color w:val="000000" w:themeColor="text1"/>
        </w:rPr>
        <w:t>inter alia</w:t>
      </w:r>
      <w:r w:rsidR="00A1242F" w:rsidRPr="00A01025">
        <w:rPr>
          <w:color w:val="000000" w:themeColor="text1"/>
        </w:rPr>
        <w:t>) bank statements and information relating to the Group’s bank balances and cash positions as at 31 December 2012 and 31 December 2013.</w:t>
      </w:r>
      <w:r w:rsidR="00A1242F">
        <w:rPr>
          <w:rStyle w:val="FootnoteReference"/>
          <w:color w:val="000000" w:themeColor="text1"/>
        </w:rPr>
        <w:footnoteReference w:id="16"/>
      </w:r>
      <w:bookmarkEnd w:id="4"/>
    </w:p>
    <w:p w14:paraId="69F3AB93" w14:textId="50530A7A" w:rsidR="00A1242F" w:rsidRPr="004A2BF0" w:rsidRDefault="00A1242F" w:rsidP="004A2BF0">
      <w:pPr>
        <w:pStyle w:val="H-1"/>
        <w:tabs>
          <w:tab w:val="left" w:pos="720"/>
        </w:tabs>
      </w:pPr>
      <w:r>
        <w:lastRenderedPageBreak/>
        <w:t>B4.</w:t>
      </w:r>
      <w:r>
        <w:tab/>
        <w:t xml:space="preserve">2015 Cash Discrepancy </w:t>
      </w:r>
    </w:p>
    <w:p w14:paraId="71AE5481" w14:textId="6D79FE29" w:rsidR="00381C1D" w:rsidRDefault="001628E1">
      <w:pPr>
        <w:pStyle w:val="Final"/>
        <w:numPr>
          <w:ilvl w:val="0"/>
          <w:numId w:val="2"/>
        </w:numPr>
        <w:tabs>
          <w:tab w:val="clear" w:pos="720"/>
          <w:tab w:val="num" w:pos="0"/>
        </w:tabs>
        <w:ind w:left="0" w:firstLine="0"/>
        <w:rPr>
          <w:color w:val="000000" w:themeColor="text1"/>
        </w:rPr>
      </w:pPr>
      <w:r>
        <w:t xml:space="preserve">On 10 March 2015, a representative of the Company (Mr Si </w:t>
      </w:r>
      <w:proofErr w:type="spellStart"/>
      <w:r>
        <w:t>Zhiqiang</w:t>
      </w:r>
      <w:proofErr w:type="spellEnd"/>
      <w:r>
        <w:t xml:space="preserve">) visited the </w:t>
      </w:r>
      <w:proofErr w:type="spellStart"/>
      <w:r>
        <w:t>Chegongzhuang</w:t>
      </w:r>
      <w:proofErr w:type="spellEnd"/>
      <w:r>
        <w:t xml:space="preserve"> branch of HXB together with representatives of Deloitte to confirm the Group’s bank account balances for the year ended 31 December 2014</w:t>
      </w:r>
      <w:r w:rsidR="00AE6CFF">
        <w:t xml:space="preserve">.  </w:t>
      </w:r>
      <w:r w:rsidR="002B4E61">
        <w:t xml:space="preserve">During the visit, </w:t>
      </w:r>
      <w:r w:rsidR="00545F05">
        <w:rPr>
          <w:color w:val="000000" w:themeColor="text1"/>
        </w:rPr>
        <w:t xml:space="preserve">Deloitte </w:t>
      </w:r>
      <w:r w:rsidR="00A1242F">
        <w:rPr>
          <w:color w:val="000000" w:themeColor="text1"/>
        </w:rPr>
        <w:t xml:space="preserve">discovered </w:t>
      </w:r>
      <w:r w:rsidR="00625B39">
        <w:rPr>
          <w:color w:val="000000" w:themeColor="text1"/>
        </w:rPr>
        <w:t xml:space="preserve">that there was </w:t>
      </w:r>
      <w:r w:rsidR="003E4CB4">
        <w:rPr>
          <w:color w:val="000000" w:themeColor="text1"/>
        </w:rPr>
        <w:t xml:space="preserve">a </w:t>
      </w:r>
      <w:r w:rsidR="00A1242F">
        <w:rPr>
          <w:color w:val="000000" w:themeColor="text1"/>
        </w:rPr>
        <w:t>discrepanc</w:t>
      </w:r>
      <w:r w:rsidR="003E4CB4">
        <w:rPr>
          <w:color w:val="000000" w:themeColor="text1"/>
        </w:rPr>
        <w:t xml:space="preserve">y </w:t>
      </w:r>
      <w:r w:rsidR="00A1242F">
        <w:rPr>
          <w:color w:val="000000" w:themeColor="text1"/>
        </w:rPr>
        <w:t xml:space="preserve">of </w:t>
      </w:r>
      <w:r w:rsidR="003E4CB4">
        <w:rPr>
          <w:color w:val="000000" w:themeColor="text1"/>
        </w:rPr>
        <w:t>around</w:t>
      </w:r>
      <w:r w:rsidR="00A1242F">
        <w:rPr>
          <w:color w:val="000000" w:themeColor="text1"/>
        </w:rPr>
        <w:t xml:space="preserve"> RMB 2 billion between the balances </w:t>
      </w:r>
      <w:r w:rsidR="004206DE">
        <w:rPr>
          <w:color w:val="000000" w:themeColor="text1"/>
        </w:rPr>
        <w:t xml:space="preserve">in the Group’s bank accounts at HXB </w:t>
      </w:r>
      <w:r w:rsidR="00A1242F">
        <w:rPr>
          <w:color w:val="000000" w:themeColor="text1"/>
        </w:rPr>
        <w:t xml:space="preserve">and the information </w:t>
      </w:r>
      <w:r w:rsidR="00625B39">
        <w:rPr>
          <w:color w:val="000000" w:themeColor="text1"/>
        </w:rPr>
        <w:t xml:space="preserve">previously </w:t>
      </w:r>
      <w:r w:rsidR="00A1242F">
        <w:rPr>
          <w:color w:val="000000" w:themeColor="text1"/>
        </w:rPr>
        <w:t xml:space="preserve">provided </w:t>
      </w:r>
      <w:r w:rsidR="00625B39">
        <w:rPr>
          <w:color w:val="000000" w:themeColor="text1"/>
        </w:rPr>
        <w:t xml:space="preserve">by </w:t>
      </w:r>
      <w:r w:rsidR="005700A7">
        <w:rPr>
          <w:color w:val="000000" w:themeColor="text1"/>
        </w:rPr>
        <w:t>the</w:t>
      </w:r>
      <w:r w:rsidR="00A1242F">
        <w:rPr>
          <w:color w:val="000000" w:themeColor="text1"/>
        </w:rPr>
        <w:t xml:space="preserve"> management</w:t>
      </w:r>
      <w:r w:rsidR="00540203">
        <w:rPr>
          <w:color w:val="000000" w:themeColor="text1"/>
        </w:rPr>
        <w:t xml:space="preserve"> </w:t>
      </w:r>
      <w:r w:rsidR="00E07D3A">
        <w:rPr>
          <w:color w:val="000000" w:themeColor="text1"/>
        </w:rPr>
        <w:t>(</w:t>
      </w:r>
      <w:r w:rsidR="00D25AED">
        <w:rPr>
          <w:color w:val="000000" w:themeColor="text1"/>
        </w:rPr>
        <w:t>“</w:t>
      </w:r>
      <w:r w:rsidR="00E07D3A" w:rsidRPr="00F25B4E">
        <w:rPr>
          <w:b/>
          <w:bCs/>
          <w:color w:val="000000" w:themeColor="text1"/>
        </w:rPr>
        <w:t>2015 Cash Discrepancy</w:t>
      </w:r>
      <w:r w:rsidR="00D25AED">
        <w:rPr>
          <w:color w:val="000000" w:themeColor="text1"/>
        </w:rPr>
        <w:t>”</w:t>
      </w:r>
      <w:r w:rsidR="00381C1D">
        <w:rPr>
          <w:color w:val="000000" w:themeColor="text1"/>
        </w:rPr>
        <w:t>)</w:t>
      </w:r>
      <w:r w:rsidR="00D66A11">
        <w:rPr>
          <w:color w:val="000000" w:themeColor="text1"/>
        </w:rPr>
        <w:t>.</w:t>
      </w:r>
      <w:r w:rsidR="00A1242F">
        <w:rPr>
          <w:rStyle w:val="FootnoteReference"/>
          <w:color w:val="000000" w:themeColor="text1"/>
        </w:rPr>
        <w:footnoteReference w:id="17"/>
      </w:r>
    </w:p>
    <w:p w14:paraId="54247DBB" w14:textId="68AACB8F" w:rsidR="00A1242F" w:rsidRPr="00381C1D" w:rsidRDefault="004A151F">
      <w:pPr>
        <w:pStyle w:val="Final"/>
        <w:numPr>
          <w:ilvl w:val="0"/>
          <w:numId w:val="2"/>
        </w:numPr>
        <w:tabs>
          <w:tab w:val="clear" w:pos="720"/>
          <w:tab w:val="num" w:pos="0"/>
        </w:tabs>
        <w:ind w:left="0" w:firstLine="0"/>
        <w:rPr>
          <w:color w:val="000000" w:themeColor="text1"/>
        </w:rPr>
      </w:pPr>
      <w:r>
        <w:t>At that time, the existence of the 2015 Cash Discrepancy was not in dispute:</w:t>
      </w:r>
      <w:r w:rsidR="00381C1D">
        <w:t xml:space="preserve"> </w:t>
      </w:r>
      <w:r w:rsidR="00A1242F" w:rsidRPr="00381C1D">
        <w:rPr>
          <w:color w:val="000000" w:themeColor="text1"/>
        </w:rPr>
        <w:t xml:space="preserve"> </w:t>
      </w:r>
    </w:p>
    <w:p w14:paraId="0A9204B6" w14:textId="3A73F58A" w:rsidR="00AA5B8A" w:rsidRDefault="004D20D8" w:rsidP="005C174D">
      <w:pPr>
        <w:pStyle w:val="points"/>
        <w:numPr>
          <w:ilvl w:val="0"/>
          <w:numId w:val="21"/>
        </w:numPr>
        <w:tabs>
          <w:tab w:val="clear" w:pos="1400"/>
        </w:tabs>
        <w:rPr>
          <w:color w:val="000000" w:themeColor="text1"/>
        </w:rPr>
      </w:pPr>
      <w:r>
        <w:rPr>
          <w:color w:val="000000" w:themeColor="text1"/>
        </w:rPr>
        <w:t xml:space="preserve">At the meeting held on </w:t>
      </w:r>
      <w:r w:rsidR="001B4750">
        <w:rPr>
          <w:color w:val="000000" w:themeColor="text1"/>
        </w:rPr>
        <w:t xml:space="preserve">10 March 2015 </w:t>
      </w:r>
      <w:r w:rsidR="00AA5B8A">
        <w:rPr>
          <w:color w:val="000000" w:themeColor="text1"/>
        </w:rPr>
        <w:t xml:space="preserve">between Deloitte and </w:t>
      </w:r>
      <w:r w:rsidR="001C1800">
        <w:rPr>
          <w:color w:val="000000" w:themeColor="text1"/>
        </w:rPr>
        <w:t>the Company</w:t>
      </w:r>
      <w:r w:rsidR="00AA5B8A">
        <w:rPr>
          <w:color w:val="000000" w:themeColor="text1"/>
        </w:rPr>
        <w:t>’s audit committee</w:t>
      </w:r>
      <w:r w:rsidR="00AA5B8A">
        <w:rPr>
          <w:rStyle w:val="FootnoteReference"/>
          <w:color w:val="000000" w:themeColor="text1"/>
        </w:rPr>
        <w:footnoteReference w:id="18"/>
      </w:r>
      <w:r w:rsidR="00AA5B8A">
        <w:rPr>
          <w:color w:val="000000" w:themeColor="text1"/>
        </w:rPr>
        <w:t xml:space="preserve"> and during a telephone conversation with Deloitte, </w:t>
      </w:r>
      <w:r w:rsidR="001C1800">
        <w:rPr>
          <w:color w:val="000000" w:themeColor="text1"/>
        </w:rPr>
        <w:t>R5</w:t>
      </w:r>
      <w:r w:rsidR="00AA5B8A">
        <w:rPr>
          <w:color w:val="000000" w:themeColor="text1"/>
        </w:rPr>
        <w:t xml:space="preserve"> acknowledged that there were discrepancies between the bank balances previously provided to Deloitte and the Group’s actual balances</w:t>
      </w:r>
      <w:r w:rsidR="008F3ABC">
        <w:rPr>
          <w:color w:val="000000" w:themeColor="text1"/>
        </w:rPr>
        <w:t>.</w:t>
      </w:r>
    </w:p>
    <w:p w14:paraId="0C7B984D" w14:textId="68F80EED" w:rsidR="001628E1" w:rsidRDefault="000A0823" w:rsidP="005C174D">
      <w:pPr>
        <w:pStyle w:val="points"/>
        <w:numPr>
          <w:ilvl w:val="0"/>
          <w:numId w:val="21"/>
        </w:numPr>
        <w:tabs>
          <w:tab w:val="clear" w:pos="1400"/>
        </w:tabs>
        <w:rPr>
          <w:color w:val="000000" w:themeColor="text1"/>
        </w:rPr>
      </w:pPr>
      <w:r>
        <w:rPr>
          <w:color w:val="000000" w:themeColor="text1"/>
        </w:rPr>
        <w:t>A</w:t>
      </w:r>
      <w:r w:rsidR="001628E1">
        <w:rPr>
          <w:color w:val="000000" w:themeColor="text1"/>
        </w:rPr>
        <w:t>t the meeting between Deloitte, Mr Wen and R5</w:t>
      </w:r>
      <w:r>
        <w:rPr>
          <w:color w:val="000000" w:themeColor="text1"/>
        </w:rPr>
        <w:t xml:space="preserve"> on 11 March 2015</w:t>
      </w:r>
      <w:r w:rsidR="001628E1">
        <w:rPr>
          <w:color w:val="000000" w:themeColor="text1"/>
        </w:rPr>
        <w:t>, Mr Wen acknowledged the existence of the 2015 Cash Discrepancy, and said that RMB 2 billion cash had been used by him for his other businesses (“</w:t>
      </w:r>
      <w:r w:rsidR="001628E1">
        <w:rPr>
          <w:b/>
          <w:bCs/>
          <w:color w:val="000000" w:themeColor="text1"/>
        </w:rPr>
        <w:t>1</w:t>
      </w:r>
      <w:r w:rsidR="001628E1" w:rsidRPr="007D51FB">
        <w:rPr>
          <w:b/>
          <w:bCs/>
          <w:color w:val="000000" w:themeColor="text1"/>
          <w:vertAlign w:val="superscript"/>
        </w:rPr>
        <w:t>st</w:t>
      </w:r>
      <w:r w:rsidR="001628E1">
        <w:rPr>
          <w:b/>
          <w:bCs/>
          <w:color w:val="000000" w:themeColor="text1"/>
        </w:rPr>
        <w:t xml:space="preserve"> Explanation”</w:t>
      </w:r>
      <w:r w:rsidR="001628E1">
        <w:rPr>
          <w:color w:val="000000" w:themeColor="text1"/>
        </w:rPr>
        <w:t>).</w:t>
      </w:r>
    </w:p>
    <w:p w14:paraId="6F918A18" w14:textId="104C9EAA" w:rsidR="00D428EE" w:rsidRDefault="00D428EE" w:rsidP="005C174D">
      <w:pPr>
        <w:pStyle w:val="points"/>
        <w:numPr>
          <w:ilvl w:val="0"/>
          <w:numId w:val="21"/>
        </w:numPr>
        <w:tabs>
          <w:tab w:val="clear" w:pos="1400"/>
        </w:tabs>
        <w:rPr>
          <w:color w:val="000000" w:themeColor="text1"/>
        </w:rPr>
      </w:pPr>
      <w:r>
        <w:rPr>
          <w:color w:val="000000" w:themeColor="text1"/>
        </w:rPr>
        <w:t>By letter dated 12 March 2015 addressed to the board and the audit committee of the Company, Deloitte drew their attention to the 2015 Cash Discrepancy, and stated that (</w:t>
      </w:r>
      <w:r w:rsidR="00540203">
        <w:rPr>
          <w:color w:val="000000" w:themeColor="text1"/>
        </w:rPr>
        <w:t>a</w:t>
      </w:r>
      <w:r>
        <w:rPr>
          <w:color w:val="000000" w:themeColor="text1"/>
        </w:rPr>
        <w:t>) there were “[s]</w:t>
      </w:r>
      <w:proofErr w:type="spellStart"/>
      <w:r>
        <w:rPr>
          <w:color w:val="000000" w:themeColor="text1"/>
        </w:rPr>
        <w:t>ignificant</w:t>
      </w:r>
      <w:proofErr w:type="spellEnd"/>
      <w:r>
        <w:rPr>
          <w:color w:val="000000" w:themeColor="text1"/>
        </w:rPr>
        <w:t xml:space="preserve"> governance, internal control and financial reporting and regulatory concerns” regarding the Company’s </w:t>
      </w:r>
      <w:r>
        <w:rPr>
          <w:color w:val="000000" w:themeColor="text1"/>
        </w:rPr>
        <w:lastRenderedPageBreak/>
        <w:t>finances; (</w:t>
      </w:r>
      <w:r w:rsidR="00540203">
        <w:rPr>
          <w:color w:val="000000" w:themeColor="text1"/>
        </w:rPr>
        <w:t>b</w:t>
      </w:r>
      <w:r>
        <w:rPr>
          <w:color w:val="000000" w:themeColor="text1"/>
        </w:rPr>
        <w:t>) the board should take steps to “prevent continuing reliance on the Group’s financial reports in the public domain”; (</w:t>
      </w:r>
      <w:r w:rsidR="00540203">
        <w:rPr>
          <w:color w:val="000000" w:themeColor="text1"/>
        </w:rPr>
        <w:t>c</w:t>
      </w:r>
      <w:r>
        <w:rPr>
          <w:color w:val="000000" w:themeColor="text1"/>
        </w:rPr>
        <w:t>) Mr Wen and R5 should make full disclosure of the facts, including the precise amount of the Group’s missing cash and whether such amount was  recoverable by the Group; (</w:t>
      </w:r>
      <w:r w:rsidR="00540203">
        <w:rPr>
          <w:color w:val="000000" w:themeColor="text1"/>
        </w:rPr>
        <w:t>d</w:t>
      </w:r>
      <w:r>
        <w:rPr>
          <w:color w:val="000000" w:themeColor="text1"/>
        </w:rPr>
        <w:t>) the audit committee should obtain bank statements from all the banks used by the Group; and (</w:t>
      </w:r>
      <w:r w:rsidR="00540203">
        <w:rPr>
          <w:color w:val="000000" w:themeColor="text1"/>
        </w:rPr>
        <w:t>e</w:t>
      </w:r>
      <w:r>
        <w:rPr>
          <w:color w:val="000000" w:themeColor="text1"/>
        </w:rPr>
        <w:t>) the audit committee should consider the need to suspend the directors from participation in the financial reporting process.</w:t>
      </w:r>
    </w:p>
    <w:p w14:paraId="0923435F" w14:textId="7ECF2997" w:rsidR="00D428EE" w:rsidRDefault="00D428EE" w:rsidP="005C174D">
      <w:pPr>
        <w:pStyle w:val="points"/>
        <w:numPr>
          <w:ilvl w:val="0"/>
          <w:numId w:val="21"/>
        </w:numPr>
        <w:tabs>
          <w:tab w:val="clear" w:pos="1400"/>
        </w:tabs>
      </w:pPr>
      <w:r w:rsidRPr="00BE4148">
        <w:t xml:space="preserve">Also on 12 March 2015, Mr Wen </w:t>
      </w:r>
      <w:r w:rsidRPr="004A2BF0">
        <w:rPr>
          <w:color w:val="000000" w:themeColor="text1"/>
        </w:rPr>
        <w:t>met</w:t>
      </w:r>
      <w:r w:rsidRPr="00BE4148">
        <w:t xml:space="preserve"> with and informed the audit committee that: (</w:t>
      </w:r>
      <w:r w:rsidR="00913357">
        <w:t>a</w:t>
      </w:r>
      <w:r w:rsidRPr="00BE4148">
        <w:t>) he was responsible for the 2015 Cash Discrepancy; (</w:t>
      </w:r>
      <w:r w:rsidR="00913357">
        <w:t>b</w:t>
      </w:r>
      <w:r w:rsidRPr="00BE4148">
        <w:t xml:space="preserve">) he had taken and used RMB 2 billion for his own investments; </w:t>
      </w:r>
      <w:r w:rsidR="004E3176">
        <w:t xml:space="preserve">and </w:t>
      </w:r>
      <w:r w:rsidRPr="00BE4148">
        <w:t>(</w:t>
      </w:r>
      <w:r w:rsidR="004E3176">
        <w:t>3</w:t>
      </w:r>
      <w:r w:rsidRPr="00BE4148">
        <w:t xml:space="preserve">) the amount had not been returned to </w:t>
      </w:r>
      <w:r w:rsidR="006E1B76">
        <w:t>the Group</w:t>
      </w:r>
      <w:r w:rsidRPr="00BE4148">
        <w:t>, but he would find the means to return the money as soon as possible</w:t>
      </w:r>
      <w:r w:rsidR="006E1B76">
        <w:t>.</w:t>
      </w:r>
    </w:p>
    <w:p w14:paraId="22C84A48" w14:textId="1A761072" w:rsidR="00FC7F7C" w:rsidRDefault="00FC7F7C" w:rsidP="005C174D">
      <w:pPr>
        <w:pStyle w:val="points"/>
        <w:numPr>
          <w:ilvl w:val="0"/>
          <w:numId w:val="21"/>
        </w:numPr>
        <w:tabs>
          <w:tab w:val="clear" w:pos="1400"/>
        </w:tabs>
      </w:pPr>
      <w:r>
        <w:t xml:space="preserve">On 16 March 2015, trading </w:t>
      </w:r>
      <w:r w:rsidR="000A0823">
        <w:t xml:space="preserve">of </w:t>
      </w:r>
      <w:r>
        <w:t>the shares was suspended</w:t>
      </w:r>
      <w:r w:rsidR="00AE6CFF">
        <w:t xml:space="preserve">.  </w:t>
      </w:r>
      <w:r>
        <w:t xml:space="preserve">At the meeting between the INEDs and Deloitte’s representatives, Mr Wen was urged to meet and cooperate with the audit committee, and the audit committee must ascertain from Mr Wen whether there was any other shortfall in the </w:t>
      </w:r>
      <w:proofErr w:type="gramStart"/>
      <w:r>
        <w:t>Group</w:t>
      </w:r>
      <w:r w:rsidR="000A0823">
        <w:t>’</w:t>
      </w:r>
      <w:r>
        <w:t>s  bank</w:t>
      </w:r>
      <w:proofErr w:type="gramEnd"/>
      <w:r>
        <w:t xml:space="preserve"> balances apart from the 2015 Cash Discrepancy.</w:t>
      </w:r>
    </w:p>
    <w:p w14:paraId="7C969A3F" w14:textId="6DDA65AC" w:rsidR="00FC7F7C" w:rsidRDefault="00FC7F7C" w:rsidP="005C174D">
      <w:pPr>
        <w:pStyle w:val="points"/>
        <w:numPr>
          <w:ilvl w:val="0"/>
          <w:numId w:val="21"/>
        </w:numPr>
        <w:tabs>
          <w:tab w:val="clear" w:pos="1400"/>
        </w:tabs>
      </w:pPr>
      <w:r>
        <w:t xml:space="preserve">At the board </w:t>
      </w:r>
      <w:r w:rsidRPr="004A2BF0">
        <w:rPr>
          <w:color w:val="000000" w:themeColor="text1"/>
        </w:rPr>
        <w:t>meeting</w:t>
      </w:r>
      <w:r>
        <w:t xml:space="preserve"> of the Company held on 19 March 2015, Mr Wen acknowledged the existence of the 2015 Cash Discrepancy but </w:t>
      </w:r>
      <w:r w:rsidR="007E5A47">
        <w:t>put forward a different explanation</w:t>
      </w:r>
      <w:r w:rsidR="00AE6CFF">
        <w:t xml:space="preserve">.  </w:t>
      </w:r>
      <w:r w:rsidR="008616AB">
        <w:t xml:space="preserve">He </w:t>
      </w:r>
      <w:proofErr w:type="gramStart"/>
      <w:r w:rsidR="008616AB">
        <w:t xml:space="preserve">said </w:t>
      </w:r>
      <w:r>
        <w:t xml:space="preserve"> RMB</w:t>
      </w:r>
      <w:proofErr w:type="gramEnd"/>
      <w:r>
        <w:t xml:space="preserve"> 2 billion had been used in the second half of 2014 in negotiating several acquisitions</w:t>
      </w:r>
      <w:r w:rsidR="009B5E22">
        <w:t xml:space="preserve"> carried on by </w:t>
      </w:r>
      <w:r w:rsidR="000A0823">
        <w:t>his</w:t>
      </w:r>
      <w:r w:rsidR="009B5E22">
        <w:t xml:space="preserve"> associated </w:t>
      </w:r>
      <w:r w:rsidR="009B5E22">
        <w:lastRenderedPageBreak/>
        <w:t xml:space="preserve">companies </w:t>
      </w:r>
      <w:r>
        <w:t>on behalf of the Group</w:t>
      </w:r>
      <w:r w:rsidR="008F1D32">
        <w:t xml:space="preserve"> as it was </w:t>
      </w:r>
      <w:r>
        <w:t xml:space="preserve">inconvenient to involve the </w:t>
      </w:r>
      <w:r w:rsidR="00114D2F">
        <w:t>C</w:t>
      </w:r>
      <w:r>
        <w:t>ompany</w:t>
      </w:r>
      <w:r w:rsidR="00597EF3">
        <w:t xml:space="preserve"> due to the scale of the acquisitions</w:t>
      </w:r>
      <w:r w:rsidR="00AE6CFF">
        <w:t xml:space="preserve">.  </w:t>
      </w:r>
      <w:r w:rsidR="00597EF3">
        <w:t xml:space="preserve">The matter was </w:t>
      </w:r>
      <w:r>
        <w:t>discuss</w:t>
      </w:r>
      <w:r w:rsidR="00597EF3">
        <w:t xml:space="preserve">ed with </w:t>
      </w:r>
      <w:r w:rsidR="00114D2F">
        <w:t>R3 and R4</w:t>
      </w:r>
      <w:r>
        <w:t xml:space="preserve">, </w:t>
      </w:r>
      <w:r w:rsidR="001D3BB1">
        <w:t xml:space="preserve">and </w:t>
      </w:r>
      <w:r>
        <w:t xml:space="preserve">it was decided that Mr Wen’s associated companies would be used </w:t>
      </w:r>
      <w:r w:rsidR="001B796B">
        <w:t>for such purpose</w:t>
      </w:r>
      <w:r w:rsidR="00AE6CFF">
        <w:t xml:space="preserve">.  </w:t>
      </w:r>
      <w:r w:rsidR="001B796B">
        <w:t>T</w:t>
      </w:r>
      <w:r>
        <w:t xml:space="preserve">he negotiations fell through but the funds had not yet been repaid to </w:t>
      </w:r>
      <w:r w:rsidR="00114D2F">
        <w:t>t</w:t>
      </w:r>
      <w:r>
        <w:t>he Company</w:t>
      </w:r>
      <w:r w:rsidR="00114D2F">
        <w:t xml:space="preserve"> </w:t>
      </w:r>
      <w:r>
        <w:t>(“</w:t>
      </w:r>
      <w:r>
        <w:rPr>
          <w:b/>
          <w:bCs/>
        </w:rPr>
        <w:t>2</w:t>
      </w:r>
      <w:r w:rsidRPr="00C35E4A">
        <w:rPr>
          <w:b/>
          <w:bCs/>
          <w:vertAlign w:val="superscript"/>
        </w:rPr>
        <w:t>nd</w:t>
      </w:r>
      <w:r>
        <w:rPr>
          <w:b/>
          <w:bCs/>
        </w:rPr>
        <w:t xml:space="preserve"> Explanation</w:t>
      </w:r>
      <w:r>
        <w:t>”)</w:t>
      </w:r>
      <w:r w:rsidR="00114D2F">
        <w:t>.</w:t>
      </w:r>
    </w:p>
    <w:p w14:paraId="45F3C5F9" w14:textId="0A30D382" w:rsidR="00775A6B" w:rsidRPr="00BE4148" w:rsidRDefault="00775A6B" w:rsidP="005C174D">
      <w:pPr>
        <w:pStyle w:val="points"/>
        <w:numPr>
          <w:ilvl w:val="0"/>
          <w:numId w:val="21"/>
        </w:numPr>
        <w:tabs>
          <w:tab w:val="clear" w:pos="1400"/>
        </w:tabs>
      </w:pPr>
      <w:r>
        <w:t xml:space="preserve">Further board and audit committee </w:t>
      </w:r>
      <w:r w:rsidR="00565439">
        <w:t xml:space="preserve">meetings were held </w:t>
      </w:r>
      <w:r>
        <w:t xml:space="preserve">on 20 March and 26 March 2015 </w:t>
      </w:r>
      <w:r w:rsidR="00C05ABA">
        <w:t xml:space="preserve">to discuss </w:t>
      </w:r>
      <w:r>
        <w:t>the 2015 Cash Discrepancy</w:t>
      </w:r>
      <w:r w:rsidR="00FA0B0D">
        <w:t xml:space="preserve"> at which R4 </w:t>
      </w:r>
      <w:r>
        <w:t>reported the status of obtaining bank statements from the Group’s 6 largest banks and further enquiries to be made with other banks</w:t>
      </w:r>
      <w:r w:rsidR="00A92E77">
        <w:t>.</w:t>
      </w:r>
    </w:p>
    <w:p w14:paraId="4E20F51F" w14:textId="13E01E89" w:rsidR="00A1242F" w:rsidRDefault="00A1242F" w:rsidP="004A2BF0">
      <w:pPr>
        <w:pStyle w:val="H-1"/>
        <w:tabs>
          <w:tab w:val="left" w:pos="720"/>
        </w:tabs>
      </w:pPr>
      <w:r>
        <w:t>B5</w:t>
      </w:r>
      <w:r w:rsidR="00AE6CFF">
        <w:t xml:space="preserve">.  </w:t>
      </w:r>
      <w:r>
        <w:tab/>
        <w:t>Investigations by PKF and RSM</w:t>
      </w:r>
    </w:p>
    <w:p w14:paraId="1C05620C" w14:textId="1888863D" w:rsidR="00A1242F" w:rsidRDefault="00A1242F">
      <w:pPr>
        <w:pStyle w:val="Final"/>
        <w:numPr>
          <w:ilvl w:val="0"/>
          <w:numId w:val="2"/>
        </w:numPr>
        <w:tabs>
          <w:tab w:val="clear" w:pos="720"/>
          <w:tab w:val="num" w:pos="0"/>
        </w:tabs>
        <w:ind w:left="0" w:firstLine="0"/>
        <w:rPr>
          <w:color w:val="000000" w:themeColor="text1"/>
        </w:rPr>
      </w:pPr>
      <w:bookmarkStart w:id="5" w:name="_Ref103676506"/>
      <w:r>
        <w:rPr>
          <w:color w:val="000000" w:themeColor="text1"/>
        </w:rPr>
        <w:t xml:space="preserve">On 23 June 2015, </w:t>
      </w:r>
      <w:r w:rsidR="00145C8F">
        <w:rPr>
          <w:color w:val="000000" w:themeColor="text1"/>
        </w:rPr>
        <w:t>t</w:t>
      </w:r>
      <w:r w:rsidR="00FA6553">
        <w:rPr>
          <w:color w:val="000000" w:themeColor="text1"/>
        </w:rPr>
        <w:t>he Company</w:t>
      </w:r>
      <w:r w:rsidR="00145C8F">
        <w:rPr>
          <w:color w:val="000000" w:themeColor="text1"/>
        </w:rPr>
        <w:t xml:space="preserve"> </w:t>
      </w:r>
      <w:r>
        <w:rPr>
          <w:color w:val="000000" w:themeColor="text1"/>
        </w:rPr>
        <w:t xml:space="preserve">announced that </w:t>
      </w:r>
      <w:r w:rsidR="00AB0F4E">
        <w:rPr>
          <w:color w:val="000000" w:themeColor="text1"/>
        </w:rPr>
        <w:t>PKF Accountants &amp; Business Advisors (“</w:t>
      </w:r>
      <w:r w:rsidR="00AB0F4E">
        <w:rPr>
          <w:b/>
          <w:bCs/>
          <w:color w:val="000000" w:themeColor="text1"/>
        </w:rPr>
        <w:t>PKF</w:t>
      </w:r>
      <w:r w:rsidR="00AB0F4E">
        <w:rPr>
          <w:color w:val="000000" w:themeColor="text1"/>
        </w:rPr>
        <w:t xml:space="preserve">”) engaged by the independent review committee of the Company to review the 2015 Cash </w:t>
      </w:r>
      <w:proofErr w:type="gramStart"/>
      <w:r w:rsidR="00AB0F4E">
        <w:rPr>
          <w:color w:val="000000" w:themeColor="text1"/>
        </w:rPr>
        <w:t>Discrepancy</w:t>
      </w:r>
      <w:r w:rsidR="00A3556A">
        <w:rPr>
          <w:color w:val="000000" w:themeColor="text1"/>
        </w:rPr>
        <w:t xml:space="preserve">, </w:t>
      </w:r>
      <w:r w:rsidR="00AB0F4E">
        <w:rPr>
          <w:color w:val="000000" w:themeColor="text1"/>
        </w:rPr>
        <w:t xml:space="preserve"> </w:t>
      </w:r>
      <w:r>
        <w:rPr>
          <w:color w:val="000000" w:themeColor="text1"/>
        </w:rPr>
        <w:t>reported</w:t>
      </w:r>
      <w:proofErr w:type="gramEnd"/>
      <w:r>
        <w:rPr>
          <w:color w:val="000000" w:themeColor="text1"/>
        </w:rPr>
        <w:t xml:space="preserve"> that the said </w:t>
      </w:r>
      <w:r w:rsidR="003D792D">
        <w:rPr>
          <w:color w:val="000000" w:themeColor="text1"/>
        </w:rPr>
        <w:t>D</w:t>
      </w:r>
      <w:r>
        <w:rPr>
          <w:color w:val="000000" w:themeColor="text1"/>
        </w:rPr>
        <w:t xml:space="preserve">iscrepancy was </w:t>
      </w:r>
      <w:r w:rsidR="00A93C8A">
        <w:rPr>
          <w:color w:val="000000" w:themeColor="text1"/>
        </w:rPr>
        <w:t>the</w:t>
      </w:r>
      <w:r>
        <w:rPr>
          <w:color w:val="000000" w:themeColor="text1"/>
        </w:rPr>
        <w:t xml:space="preserve"> result of:</w:t>
      </w:r>
      <w:bookmarkEnd w:id="5"/>
      <w:r>
        <w:rPr>
          <w:color w:val="000000" w:themeColor="text1"/>
        </w:rPr>
        <w:t xml:space="preserve"> </w:t>
      </w:r>
    </w:p>
    <w:p w14:paraId="4EFF9ACF" w14:textId="567DBCBF" w:rsidR="00E67DDC" w:rsidRDefault="00E67DDC" w:rsidP="005C174D">
      <w:pPr>
        <w:pStyle w:val="points"/>
        <w:numPr>
          <w:ilvl w:val="0"/>
          <w:numId w:val="22"/>
        </w:numPr>
        <w:tabs>
          <w:tab w:val="clear" w:pos="1400"/>
        </w:tabs>
      </w:pPr>
      <w:r>
        <w:rPr>
          <w:color w:val="000000" w:themeColor="text1"/>
        </w:rPr>
        <w:t xml:space="preserve">the Company having paid </w:t>
      </w:r>
      <w:r>
        <w:t xml:space="preserve">RMB 2 billion as earnest money for </w:t>
      </w:r>
      <w:r w:rsidR="00740CFB">
        <w:t xml:space="preserve">a </w:t>
      </w:r>
      <w:r>
        <w:t xml:space="preserve">proposed acquisition of </w:t>
      </w:r>
      <w:r w:rsidR="00740CFB">
        <w:t>2</w:t>
      </w:r>
      <w:r>
        <w:t xml:space="preserve"> Chinese water treatment companies (“</w:t>
      </w:r>
      <w:r>
        <w:rPr>
          <w:b/>
          <w:bCs/>
        </w:rPr>
        <w:t>Proposed Acquisitions</w:t>
      </w:r>
      <w:r>
        <w:t xml:space="preserve">”) </w:t>
      </w:r>
      <w:r w:rsidR="00FF394A">
        <w:t xml:space="preserve">through </w:t>
      </w:r>
      <w:r w:rsidR="009B700B">
        <w:rPr>
          <w:color w:val="000000" w:themeColor="text1"/>
        </w:rPr>
        <w:t>Sound Group Co Ltd (“</w:t>
      </w:r>
      <w:r w:rsidR="009B700B">
        <w:rPr>
          <w:b/>
          <w:bCs/>
          <w:color w:val="000000" w:themeColor="text1"/>
        </w:rPr>
        <w:t>S</w:t>
      </w:r>
      <w:r w:rsidR="00B5002E">
        <w:rPr>
          <w:b/>
          <w:bCs/>
          <w:color w:val="000000" w:themeColor="text1"/>
        </w:rPr>
        <w:t>GC</w:t>
      </w:r>
      <w:r w:rsidR="009B700B">
        <w:rPr>
          <w:color w:val="000000" w:themeColor="text1"/>
        </w:rPr>
        <w:t xml:space="preserve">”), </w:t>
      </w:r>
      <w:r>
        <w:t>a company held by Mr Wen and his wife</w:t>
      </w:r>
      <w:r w:rsidR="00AC7B12">
        <w:t xml:space="preserve">; and </w:t>
      </w:r>
    </w:p>
    <w:p w14:paraId="0DEDD0A1" w14:textId="6E5502E1" w:rsidR="00AC7B12" w:rsidRDefault="00AC7B12" w:rsidP="005C174D">
      <w:pPr>
        <w:pStyle w:val="points"/>
        <w:numPr>
          <w:ilvl w:val="0"/>
          <w:numId w:val="22"/>
        </w:numPr>
        <w:tabs>
          <w:tab w:val="clear" w:pos="1400"/>
        </w:tabs>
        <w:rPr>
          <w:color w:val="000000" w:themeColor="text1"/>
        </w:rPr>
      </w:pPr>
      <w:r>
        <w:rPr>
          <w:color w:val="000000" w:themeColor="text1"/>
        </w:rPr>
        <w:t>th</w:t>
      </w:r>
      <w:r w:rsidR="00C46FAD">
        <w:rPr>
          <w:color w:val="000000" w:themeColor="text1"/>
        </w:rPr>
        <w:t>e</w:t>
      </w:r>
      <w:r>
        <w:rPr>
          <w:color w:val="000000" w:themeColor="text1"/>
        </w:rPr>
        <w:t xml:space="preserve"> payment </w:t>
      </w:r>
      <w:r w:rsidR="00C46FAD">
        <w:rPr>
          <w:color w:val="000000" w:themeColor="text1"/>
        </w:rPr>
        <w:t xml:space="preserve">had not </w:t>
      </w:r>
      <w:r>
        <w:rPr>
          <w:color w:val="000000" w:themeColor="text1"/>
        </w:rPr>
        <w:t>been recorded in the Group’s bank accounts in a timely manner.</w:t>
      </w:r>
      <w:r>
        <w:rPr>
          <w:rStyle w:val="FootnoteReference"/>
          <w:color w:val="000000" w:themeColor="text1"/>
        </w:rPr>
        <w:footnoteReference w:id="19"/>
      </w:r>
    </w:p>
    <w:p w14:paraId="25BF485B" w14:textId="7F184AB9" w:rsidR="00A1242F" w:rsidRDefault="0056255C" w:rsidP="004A2BF0">
      <w:pPr>
        <w:pStyle w:val="Final"/>
        <w:numPr>
          <w:ilvl w:val="0"/>
          <w:numId w:val="2"/>
        </w:numPr>
        <w:tabs>
          <w:tab w:val="clear" w:pos="720"/>
          <w:tab w:val="num" w:pos="0"/>
        </w:tabs>
        <w:ind w:left="0" w:firstLine="0"/>
        <w:rPr>
          <w:color w:val="000000" w:themeColor="text1"/>
        </w:rPr>
      </w:pPr>
      <w:r>
        <w:rPr>
          <w:color w:val="000000" w:themeColor="text1"/>
        </w:rPr>
        <w:lastRenderedPageBreak/>
        <w:tab/>
      </w:r>
      <w:r w:rsidR="005A2EA9">
        <w:rPr>
          <w:color w:val="000000" w:themeColor="text1"/>
        </w:rPr>
        <w:t xml:space="preserve">In </w:t>
      </w:r>
      <w:r w:rsidR="00F92D6D">
        <w:rPr>
          <w:color w:val="000000" w:themeColor="text1"/>
        </w:rPr>
        <w:t xml:space="preserve">the </w:t>
      </w:r>
      <w:r w:rsidR="005A2EA9">
        <w:rPr>
          <w:color w:val="000000" w:themeColor="text1"/>
        </w:rPr>
        <w:t xml:space="preserve">further announcement dated </w:t>
      </w:r>
      <w:r w:rsidR="00A1242F">
        <w:rPr>
          <w:color w:val="000000" w:themeColor="text1"/>
        </w:rPr>
        <w:t xml:space="preserve">31 August 2015, </w:t>
      </w:r>
      <w:r w:rsidR="00F1063A">
        <w:rPr>
          <w:color w:val="000000" w:themeColor="text1"/>
        </w:rPr>
        <w:t>t</w:t>
      </w:r>
      <w:r w:rsidR="00FA6553">
        <w:rPr>
          <w:color w:val="000000" w:themeColor="text1"/>
        </w:rPr>
        <w:t>he Company</w:t>
      </w:r>
      <w:r w:rsidR="00F1063A">
        <w:rPr>
          <w:color w:val="000000" w:themeColor="text1"/>
        </w:rPr>
        <w:t xml:space="preserve"> </w:t>
      </w:r>
      <w:r w:rsidR="00317501">
        <w:rPr>
          <w:color w:val="000000" w:themeColor="text1"/>
        </w:rPr>
        <w:t>stated</w:t>
      </w:r>
      <w:r w:rsidR="00A1242F">
        <w:rPr>
          <w:color w:val="000000" w:themeColor="text1"/>
        </w:rPr>
        <w:t xml:space="preserve"> that RSM Corporate Advisory (Hong Kong) Limited (“</w:t>
      </w:r>
      <w:r w:rsidR="00A1242F">
        <w:rPr>
          <w:b/>
          <w:bCs/>
          <w:color w:val="000000" w:themeColor="text1"/>
        </w:rPr>
        <w:t>RSM</w:t>
      </w:r>
      <w:r w:rsidR="00A1242F">
        <w:rPr>
          <w:color w:val="000000" w:themeColor="text1"/>
        </w:rPr>
        <w:t xml:space="preserve">”) </w:t>
      </w:r>
      <w:r w:rsidR="00317501">
        <w:rPr>
          <w:color w:val="000000" w:themeColor="text1"/>
        </w:rPr>
        <w:t xml:space="preserve">had </w:t>
      </w:r>
      <w:r w:rsidR="00A1242F">
        <w:rPr>
          <w:color w:val="000000" w:themeColor="text1"/>
        </w:rPr>
        <w:t>conduct</w:t>
      </w:r>
      <w:r w:rsidR="00317501">
        <w:rPr>
          <w:color w:val="000000" w:themeColor="text1"/>
        </w:rPr>
        <w:t>ed</w:t>
      </w:r>
      <w:r w:rsidR="00A1242F">
        <w:rPr>
          <w:color w:val="000000" w:themeColor="text1"/>
        </w:rPr>
        <w:t xml:space="preserve"> forensic investigations into the 2015 Cash Discrepancy</w:t>
      </w:r>
      <w:r w:rsidR="00A1242F">
        <w:rPr>
          <w:rStyle w:val="FootnoteReference"/>
          <w:color w:val="000000" w:themeColor="text1"/>
        </w:rPr>
        <w:footnoteReference w:id="20"/>
      </w:r>
      <w:r w:rsidR="00AE6CFF">
        <w:rPr>
          <w:color w:val="000000" w:themeColor="text1"/>
        </w:rPr>
        <w:t xml:space="preserve">.  </w:t>
      </w:r>
      <w:r w:rsidR="00F06844">
        <w:rPr>
          <w:color w:val="000000" w:themeColor="text1"/>
        </w:rPr>
        <w:t xml:space="preserve">In its </w:t>
      </w:r>
      <w:r w:rsidR="009B700B">
        <w:rPr>
          <w:color w:val="000000" w:themeColor="text1"/>
        </w:rPr>
        <w:t>report dated 20 November 2015, RSM stated that PKF’s findings were consistent with the Company’s explanation that the 2015 Cash Discrepancy was due to the earnest money paid through S</w:t>
      </w:r>
      <w:r w:rsidR="00995841">
        <w:rPr>
          <w:color w:val="000000" w:themeColor="text1"/>
        </w:rPr>
        <w:t>GC</w:t>
      </w:r>
      <w:r w:rsidR="009B700B">
        <w:rPr>
          <w:color w:val="000000" w:themeColor="text1"/>
        </w:rPr>
        <w:t xml:space="preserve"> as its agent for the Proposed Acquisitions, which transactions had been omitted from </w:t>
      </w:r>
      <w:r w:rsidR="002B7A49">
        <w:rPr>
          <w:color w:val="000000" w:themeColor="text1"/>
        </w:rPr>
        <w:t>the Company</w:t>
      </w:r>
      <w:r w:rsidR="009B700B">
        <w:rPr>
          <w:color w:val="000000" w:themeColor="text1"/>
        </w:rPr>
        <w:t>’s accounting records.</w:t>
      </w:r>
      <w:r w:rsidR="009B700B">
        <w:rPr>
          <w:rStyle w:val="FootnoteReference"/>
          <w:color w:val="000000" w:themeColor="text1"/>
        </w:rPr>
        <w:footnoteReference w:id="21"/>
      </w:r>
      <w:r w:rsidR="009B700B">
        <w:rPr>
          <w:color w:val="000000" w:themeColor="text1"/>
        </w:rPr>
        <w:t xml:space="preserve"> </w:t>
      </w:r>
      <w:r w:rsidR="002958A9">
        <w:rPr>
          <w:color w:val="000000" w:themeColor="text1"/>
        </w:rPr>
        <w:t xml:space="preserve"> </w:t>
      </w:r>
      <w:r w:rsidR="009B700B">
        <w:rPr>
          <w:color w:val="000000" w:themeColor="text1"/>
        </w:rPr>
        <w:t>In particular, RSM reported tha</w:t>
      </w:r>
      <w:r w:rsidR="005E0820">
        <w:rPr>
          <w:color w:val="000000" w:themeColor="text1"/>
        </w:rPr>
        <w:t>t:</w:t>
      </w:r>
    </w:p>
    <w:p w14:paraId="73EA9516" w14:textId="102DC462" w:rsidR="005E0820" w:rsidRPr="00D65F96" w:rsidRDefault="005E0820" w:rsidP="005C174D">
      <w:pPr>
        <w:pStyle w:val="points"/>
        <w:numPr>
          <w:ilvl w:val="0"/>
          <w:numId w:val="23"/>
        </w:numPr>
        <w:tabs>
          <w:tab w:val="clear" w:pos="1400"/>
        </w:tabs>
      </w:pPr>
      <w:r>
        <w:t>According to its confirmation results</w:t>
      </w:r>
      <w:r w:rsidR="00EF71F1">
        <w:t xml:space="preserve">, RMB 2 billion was paid by </w:t>
      </w:r>
      <w:r w:rsidR="00C50312">
        <w:t>SGC</w:t>
      </w:r>
      <w:r w:rsidR="00EF71F1">
        <w:t xml:space="preserve"> on behalf of the Group in that</w:t>
      </w:r>
      <w:r>
        <w:t xml:space="preserve">: </w:t>
      </w:r>
      <w:r w:rsidR="00953148">
        <w:t xml:space="preserve">(a) </w:t>
      </w:r>
      <w:r>
        <w:t xml:space="preserve">on 4 November </w:t>
      </w:r>
      <w:r w:rsidRPr="00486F5D">
        <w:rPr>
          <w:color w:val="000000" w:themeColor="text1"/>
        </w:rPr>
        <w:t>2014</w:t>
      </w:r>
      <w:r>
        <w:t xml:space="preserve">, </w:t>
      </w:r>
      <w:r w:rsidRPr="00EF71F1">
        <w:t>RMB 600 million</w:t>
      </w:r>
      <w:r>
        <w:t xml:space="preserve"> </w:t>
      </w:r>
      <w:r w:rsidR="006B1350">
        <w:t xml:space="preserve">was paid </w:t>
      </w:r>
      <w:r>
        <w:t xml:space="preserve">to </w:t>
      </w:r>
      <w:proofErr w:type="spellStart"/>
      <w:r>
        <w:t>Changye</w:t>
      </w:r>
      <w:proofErr w:type="spellEnd"/>
      <w:r>
        <w:t xml:space="preserve"> Environ Prot</w:t>
      </w:r>
      <w:r w:rsidR="009A02CB">
        <w:t xml:space="preserve">. </w:t>
      </w:r>
      <w:r>
        <w:t>Group</w:t>
      </w:r>
      <w:r w:rsidR="006B1350">
        <w:t xml:space="preserve"> on behalf of BJ Sound</w:t>
      </w:r>
      <w:r w:rsidR="00325F46">
        <w:t xml:space="preserve">; </w:t>
      </w:r>
      <w:r w:rsidR="00953148">
        <w:t xml:space="preserve">(b) </w:t>
      </w:r>
      <w:r w:rsidR="00325F46">
        <w:rPr>
          <w:color w:val="000000" w:themeColor="text1"/>
        </w:rPr>
        <w:t xml:space="preserve">on 24 </w:t>
      </w:r>
      <w:r w:rsidR="00325F46" w:rsidRPr="00486F5D">
        <w:t>November</w:t>
      </w:r>
      <w:r w:rsidR="00325F46">
        <w:rPr>
          <w:color w:val="000000" w:themeColor="text1"/>
        </w:rPr>
        <w:t xml:space="preserve"> 2014, </w:t>
      </w:r>
      <w:r w:rsidR="00325F46" w:rsidRPr="00EF71F1">
        <w:rPr>
          <w:color w:val="000000" w:themeColor="text1"/>
        </w:rPr>
        <w:t>RMB 530 million</w:t>
      </w:r>
      <w:r w:rsidR="009109FF">
        <w:rPr>
          <w:color w:val="000000" w:themeColor="text1"/>
        </w:rPr>
        <w:t xml:space="preserve"> </w:t>
      </w:r>
      <w:r w:rsidR="00ED4816">
        <w:rPr>
          <w:color w:val="000000" w:themeColor="text1"/>
        </w:rPr>
        <w:t xml:space="preserve">was paid </w:t>
      </w:r>
      <w:r w:rsidR="009109FF">
        <w:rPr>
          <w:color w:val="000000" w:themeColor="text1"/>
        </w:rPr>
        <w:t>(on behalf of BJ Sound)</w:t>
      </w:r>
      <w:r w:rsidR="00FB7FFC">
        <w:rPr>
          <w:color w:val="000000" w:themeColor="text1"/>
        </w:rPr>
        <w:t>,</w:t>
      </w:r>
      <w:r w:rsidR="009109FF">
        <w:rPr>
          <w:color w:val="000000" w:themeColor="text1"/>
        </w:rPr>
        <w:t xml:space="preserve"> </w:t>
      </w:r>
      <w:proofErr w:type="gramStart"/>
      <w:r w:rsidR="008D7637">
        <w:rPr>
          <w:color w:val="000000" w:themeColor="text1"/>
        </w:rPr>
        <w:t xml:space="preserve">and </w:t>
      </w:r>
      <w:r w:rsidR="00325F46">
        <w:rPr>
          <w:color w:val="000000" w:themeColor="text1"/>
        </w:rPr>
        <w:t xml:space="preserve"> </w:t>
      </w:r>
      <w:r w:rsidR="00325F46" w:rsidRPr="00EF71F1">
        <w:rPr>
          <w:color w:val="000000" w:themeColor="text1"/>
        </w:rPr>
        <w:t>RMB</w:t>
      </w:r>
      <w:proofErr w:type="gramEnd"/>
      <w:r w:rsidR="00325F46" w:rsidRPr="00EF71F1">
        <w:rPr>
          <w:color w:val="000000" w:themeColor="text1"/>
        </w:rPr>
        <w:t xml:space="preserve"> 870 million</w:t>
      </w:r>
      <w:r w:rsidR="00E74B6B">
        <w:rPr>
          <w:color w:val="000000" w:themeColor="text1"/>
        </w:rPr>
        <w:t xml:space="preserve"> </w:t>
      </w:r>
      <w:r w:rsidR="00FB7FFC">
        <w:rPr>
          <w:color w:val="000000" w:themeColor="text1"/>
        </w:rPr>
        <w:t xml:space="preserve">was paid </w:t>
      </w:r>
      <w:r w:rsidR="00E74B6B">
        <w:rPr>
          <w:color w:val="000000" w:themeColor="text1"/>
        </w:rPr>
        <w:t xml:space="preserve">(on behalf of BJ </w:t>
      </w:r>
      <w:proofErr w:type="spellStart"/>
      <w:r w:rsidR="00E74B6B">
        <w:rPr>
          <w:color w:val="000000" w:themeColor="text1"/>
        </w:rPr>
        <w:t>Epure</w:t>
      </w:r>
      <w:proofErr w:type="spellEnd"/>
      <w:r w:rsidR="00E74B6B">
        <w:rPr>
          <w:color w:val="000000" w:themeColor="text1"/>
        </w:rPr>
        <w:t>)</w:t>
      </w:r>
      <w:r w:rsidR="00603A1F">
        <w:rPr>
          <w:color w:val="000000" w:themeColor="text1"/>
        </w:rPr>
        <w:t>, both</w:t>
      </w:r>
      <w:r w:rsidR="00325F46">
        <w:rPr>
          <w:color w:val="000000" w:themeColor="text1"/>
        </w:rPr>
        <w:t xml:space="preserve"> to </w:t>
      </w:r>
      <w:proofErr w:type="spellStart"/>
      <w:r w:rsidR="00325F46">
        <w:rPr>
          <w:color w:val="000000" w:themeColor="text1"/>
        </w:rPr>
        <w:t>Dongda</w:t>
      </w:r>
      <w:proofErr w:type="spellEnd"/>
      <w:r w:rsidR="00325F46">
        <w:rPr>
          <w:color w:val="000000" w:themeColor="text1"/>
        </w:rPr>
        <w:t xml:space="preserve"> Group Co Ltd.</w:t>
      </w:r>
    </w:p>
    <w:p w14:paraId="6B1AA040" w14:textId="609C5263" w:rsidR="00D65F96" w:rsidRPr="004D291C" w:rsidRDefault="00E82A88" w:rsidP="005C174D">
      <w:pPr>
        <w:pStyle w:val="points"/>
        <w:numPr>
          <w:ilvl w:val="0"/>
          <w:numId w:val="23"/>
        </w:numPr>
        <w:tabs>
          <w:tab w:val="clear" w:pos="1400"/>
        </w:tabs>
      </w:pPr>
      <w:r w:rsidRPr="00486F5D">
        <w:t>None</w:t>
      </w:r>
      <w:r>
        <w:rPr>
          <w:color w:val="000000" w:themeColor="text1"/>
        </w:rPr>
        <w:t xml:space="preserve"> </w:t>
      </w:r>
      <w:r w:rsidRPr="004A2BF0">
        <w:t>of</w:t>
      </w:r>
      <w:r>
        <w:rPr>
          <w:color w:val="000000" w:themeColor="text1"/>
        </w:rPr>
        <w:t xml:space="preserve"> the aforesaid payments were recorded in the accounts of BJ Sound, BJ </w:t>
      </w:r>
      <w:proofErr w:type="spellStart"/>
      <w:r>
        <w:rPr>
          <w:color w:val="000000" w:themeColor="text1"/>
        </w:rPr>
        <w:t>Epure</w:t>
      </w:r>
      <w:proofErr w:type="spellEnd"/>
      <w:r>
        <w:rPr>
          <w:color w:val="000000" w:themeColor="text1"/>
        </w:rPr>
        <w:t xml:space="preserve"> or the Group until 3 April 2015.</w:t>
      </w:r>
    </w:p>
    <w:p w14:paraId="68119CF1" w14:textId="25C217D1" w:rsidR="004D291C" w:rsidRPr="00057DC0" w:rsidRDefault="004D291C" w:rsidP="005C174D">
      <w:pPr>
        <w:pStyle w:val="points"/>
        <w:numPr>
          <w:ilvl w:val="0"/>
          <w:numId w:val="23"/>
        </w:numPr>
        <w:tabs>
          <w:tab w:val="clear" w:pos="1400"/>
        </w:tabs>
      </w:pPr>
      <w:r>
        <w:rPr>
          <w:color w:val="000000" w:themeColor="text1"/>
        </w:rPr>
        <w:t xml:space="preserve">By a </w:t>
      </w:r>
      <w:r w:rsidRPr="00486F5D">
        <w:t>supplemental</w:t>
      </w:r>
      <w:r>
        <w:rPr>
          <w:color w:val="000000" w:themeColor="text1"/>
        </w:rPr>
        <w:t xml:space="preserve"> agreement dated 20 March 2015, S</w:t>
      </w:r>
      <w:r w:rsidR="004F232C">
        <w:rPr>
          <w:color w:val="000000" w:themeColor="text1"/>
        </w:rPr>
        <w:t>GC</w:t>
      </w:r>
      <w:r>
        <w:rPr>
          <w:color w:val="000000" w:themeColor="text1"/>
        </w:rPr>
        <w:t xml:space="preserve"> agreed to transfer RMB 2 billion </w:t>
      </w:r>
      <w:r w:rsidR="00BC3BDB">
        <w:rPr>
          <w:color w:val="000000" w:themeColor="text1"/>
        </w:rPr>
        <w:t xml:space="preserve">(together with interest) </w:t>
      </w:r>
      <w:r>
        <w:rPr>
          <w:color w:val="000000" w:themeColor="text1"/>
        </w:rPr>
        <w:t>back to the Company’s bank accounts within 1 month</w:t>
      </w:r>
      <w:r w:rsidR="00AE6CFF">
        <w:rPr>
          <w:color w:val="000000" w:themeColor="text1"/>
        </w:rPr>
        <w:t xml:space="preserve">.  </w:t>
      </w:r>
    </w:p>
    <w:p w14:paraId="68A5832A" w14:textId="5F378F34" w:rsidR="00057DC0" w:rsidRDefault="00D543E0" w:rsidP="005C174D">
      <w:pPr>
        <w:pStyle w:val="points"/>
        <w:numPr>
          <w:ilvl w:val="0"/>
          <w:numId w:val="23"/>
        </w:numPr>
        <w:tabs>
          <w:tab w:val="clear" w:pos="1400"/>
        </w:tabs>
        <w:rPr>
          <w:color w:val="000000" w:themeColor="text1"/>
        </w:rPr>
      </w:pPr>
      <w:r>
        <w:rPr>
          <w:color w:val="000000" w:themeColor="text1"/>
        </w:rPr>
        <w:t>O</w:t>
      </w:r>
      <w:r w:rsidR="00057DC0">
        <w:rPr>
          <w:color w:val="000000" w:themeColor="text1"/>
        </w:rPr>
        <w:t xml:space="preserve">n 13 </w:t>
      </w:r>
      <w:r w:rsidR="00057DC0" w:rsidRPr="004A2BF0">
        <w:t>April</w:t>
      </w:r>
      <w:r w:rsidR="00057DC0">
        <w:rPr>
          <w:color w:val="000000" w:themeColor="text1"/>
        </w:rPr>
        <w:t xml:space="preserve"> 2015, S</w:t>
      </w:r>
      <w:r w:rsidR="00EA5A89">
        <w:rPr>
          <w:color w:val="000000" w:themeColor="text1"/>
        </w:rPr>
        <w:t>GC</w:t>
      </w:r>
      <w:r w:rsidR="00057DC0">
        <w:rPr>
          <w:color w:val="000000" w:themeColor="text1"/>
        </w:rPr>
        <w:t xml:space="preserve"> </w:t>
      </w:r>
      <w:r>
        <w:rPr>
          <w:color w:val="000000" w:themeColor="text1"/>
        </w:rPr>
        <w:t>repaid RMB2 billion to the Group of which</w:t>
      </w:r>
      <w:r w:rsidR="00057DC0">
        <w:rPr>
          <w:color w:val="000000" w:themeColor="text1"/>
        </w:rPr>
        <w:t xml:space="preserve"> </w:t>
      </w:r>
      <w:r w:rsidR="00057DC0" w:rsidRPr="00EF71F1">
        <w:t>RMB 870 million</w:t>
      </w:r>
      <w:r w:rsidR="00057DC0">
        <w:t xml:space="preserve"> </w:t>
      </w:r>
      <w:r>
        <w:t>was paid in</w:t>
      </w:r>
      <w:r w:rsidR="00057DC0">
        <w:t xml:space="preserve">to BJ </w:t>
      </w:r>
      <w:proofErr w:type="spellStart"/>
      <w:r w:rsidR="00057DC0">
        <w:t>Epure’s</w:t>
      </w:r>
      <w:proofErr w:type="spellEnd"/>
      <w:r w:rsidR="00057DC0">
        <w:t xml:space="preserve"> account </w:t>
      </w:r>
      <w:r w:rsidR="00057DC0">
        <w:lastRenderedPageBreak/>
        <w:t xml:space="preserve">with China Merchants Bank and </w:t>
      </w:r>
      <w:r w:rsidR="00057DC0" w:rsidRPr="00EF71F1">
        <w:rPr>
          <w:color w:val="000000" w:themeColor="text1"/>
        </w:rPr>
        <w:t>RMB1.13 billion</w:t>
      </w:r>
      <w:r w:rsidR="00057DC0">
        <w:rPr>
          <w:color w:val="000000" w:themeColor="text1"/>
        </w:rPr>
        <w:t xml:space="preserve"> </w:t>
      </w:r>
      <w:r w:rsidR="00B5002E">
        <w:rPr>
          <w:color w:val="000000" w:themeColor="text1"/>
        </w:rPr>
        <w:t>in</w:t>
      </w:r>
      <w:r w:rsidR="00057DC0">
        <w:rPr>
          <w:color w:val="000000" w:themeColor="text1"/>
        </w:rPr>
        <w:t xml:space="preserve">to BJ </w:t>
      </w:r>
      <w:r w:rsidR="00057DC0" w:rsidRPr="00486F5D">
        <w:t>Sound’s</w:t>
      </w:r>
      <w:r w:rsidR="00057DC0">
        <w:rPr>
          <w:color w:val="000000" w:themeColor="text1"/>
        </w:rPr>
        <w:t xml:space="preserve"> account with Bank of China</w:t>
      </w:r>
      <w:r w:rsidR="00A13764">
        <w:rPr>
          <w:color w:val="000000" w:themeColor="text1"/>
        </w:rPr>
        <w:t>.</w:t>
      </w:r>
    </w:p>
    <w:p w14:paraId="0DC94484" w14:textId="2DBBF7A5" w:rsidR="00A1242F" w:rsidRPr="0078132C" w:rsidRDefault="00A1242F">
      <w:pPr>
        <w:pStyle w:val="Final"/>
        <w:numPr>
          <w:ilvl w:val="0"/>
          <w:numId w:val="2"/>
        </w:numPr>
        <w:tabs>
          <w:tab w:val="clear" w:pos="720"/>
          <w:tab w:val="num" w:pos="0"/>
        </w:tabs>
        <w:ind w:left="0" w:firstLine="0"/>
        <w:rPr>
          <w:color w:val="000000" w:themeColor="text1"/>
          <w:u w:val="single"/>
        </w:rPr>
      </w:pPr>
      <w:r>
        <w:rPr>
          <w:color w:val="000000" w:themeColor="text1"/>
        </w:rPr>
        <w:t xml:space="preserve">In light of RSM’s findings, SEHK did not pursue the matter further, and trading in </w:t>
      </w:r>
      <w:r w:rsidR="005F6CFC">
        <w:rPr>
          <w:color w:val="000000" w:themeColor="text1"/>
        </w:rPr>
        <w:t>the Company</w:t>
      </w:r>
      <w:r>
        <w:rPr>
          <w:color w:val="000000" w:themeColor="text1"/>
        </w:rPr>
        <w:t>’s shares resumed on 25 January 2016</w:t>
      </w:r>
      <w:r w:rsidR="002B54DE">
        <w:rPr>
          <w:color w:val="000000" w:themeColor="text1"/>
        </w:rPr>
        <w:t>.</w:t>
      </w:r>
      <w:r>
        <w:rPr>
          <w:rStyle w:val="FootnoteReference"/>
          <w:color w:val="000000" w:themeColor="text1"/>
        </w:rPr>
        <w:footnoteReference w:id="22"/>
      </w:r>
      <w:r>
        <w:rPr>
          <w:color w:val="000000" w:themeColor="text1"/>
        </w:rPr>
        <w:t xml:space="preserve"> </w:t>
      </w:r>
    </w:p>
    <w:p w14:paraId="6E917EB1" w14:textId="1DCF4EBA" w:rsidR="00A1242F" w:rsidRDefault="00A1242F" w:rsidP="004A2BF0">
      <w:pPr>
        <w:pStyle w:val="H-1"/>
        <w:tabs>
          <w:tab w:val="clear" w:pos="1080"/>
        </w:tabs>
        <w:ind w:left="720" w:hanging="720"/>
      </w:pPr>
      <w:r>
        <w:t>B6</w:t>
      </w:r>
      <w:r w:rsidR="00AE6CFF">
        <w:t xml:space="preserve">.  </w:t>
      </w:r>
      <w:r>
        <w:tab/>
      </w:r>
      <w:r w:rsidR="006E2DC6">
        <w:t xml:space="preserve">Company’s Records </w:t>
      </w:r>
      <w:r w:rsidR="00EC326B">
        <w:t>v CSRC’s Records</w:t>
      </w:r>
      <w:r w:rsidR="006E2DC6">
        <w:t xml:space="preserve"> </w:t>
      </w:r>
    </w:p>
    <w:p w14:paraId="0B4F4B89" w14:textId="2C8111AE" w:rsidR="00A1242F" w:rsidRDefault="00A1242F">
      <w:pPr>
        <w:pStyle w:val="Final"/>
        <w:numPr>
          <w:ilvl w:val="0"/>
          <w:numId w:val="2"/>
        </w:numPr>
        <w:tabs>
          <w:tab w:val="clear" w:pos="720"/>
          <w:tab w:val="num" w:pos="0"/>
        </w:tabs>
        <w:ind w:left="0" w:firstLine="0"/>
        <w:rPr>
          <w:color w:val="000000" w:themeColor="text1"/>
        </w:rPr>
      </w:pPr>
      <w:r>
        <w:rPr>
          <w:color w:val="000000" w:themeColor="text1"/>
        </w:rPr>
        <w:t xml:space="preserve">Meanwhile, in response to the </w:t>
      </w:r>
      <w:r w:rsidR="00E91C8D">
        <w:rPr>
          <w:color w:val="000000" w:themeColor="text1"/>
        </w:rPr>
        <w:t>s.</w:t>
      </w:r>
      <w:r>
        <w:rPr>
          <w:color w:val="000000" w:themeColor="text1"/>
        </w:rPr>
        <w:t xml:space="preserve">183 Notice, on 13 July 2015 and 4 August 2015, </w:t>
      </w:r>
      <w:r w:rsidR="00E91C8D">
        <w:rPr>
          <w:color w:val="000000" w:themeColor="text1"/>
        </w:rPr>
        <w:t>t</w:t>
      </w:r>
      <w:r w:rsidR="00FA6553">
        <w:rPr>
          <w:color w:val="000000" w:themeColor="text1"/>
        </w:rPr>
        <w:t>he Company</w:t>
      </w:r>
      <w:r w:rsidR="00E91C8D">
        <w:rPr>
          <w:color w:val="000000" w:themeColor="text1"/>
        </w:rPr>
        <w:t xml:space="preserve"> </w:t>
      </w:r>
      <w:r>
        <w:rPr>
          <w:color w:val="000000" w:themeColor="text1"/>
        </w:rPr>
        <w:t xml:space="preserve">through </w:t>
      </w:r>
      <w:r w:rsidR="00CB65E2">
        <w:rPr>
          <w:color w:val="000000" w:themeColor="text1"/>
        </w:rPr>
        <w:t xml:space="preserve">its solicitors, </w:t>
      </w:r>
      <w:r w:rsidR="00E91C8D">
        <w:rPr>
          <w:color w:val="000000" w:themeColor="text1"/>
        </w:rPr>
        <w:t>Messrs</w:t>
      </w:r>
      <w:r w:rsidR="00AE6CFF">
        <w:rPr>
          <w:color w:val="000000" w:themeColor="text1"/>
        </w:rPr>
        <w:t xml:space="preserve">. </w:t>
      </w:r>
      <w:r>
        <w:rPr>
          <w:color w:val="000000" w:themeColor="text1"/>
        </w:rPr>
        <w:t xml:space="preserve">Brandt Chan &amp; Partners </w:t>
      </w:r>
      <w:r w:rsidRPr="00096B2B">
        <w:rPr>
          <w:color w:val="000000" w:themeColor="text1"/>
        </w:rPr>
        <w:t>(</w:t>
      </w:r>
      <w:r w:rsidR="004D024F" w:rsidRPr="00096B2B">
        <w:rPr>
          <w:color w:val="000000" w:themeColor="text1"/>
        </w:rPr>
        <w:t>“</w:t>
      </w:r>
      <w:r w:rsidR="004D024F" w:rsidRPr="00096B2B">
        <w:rPr>
          <w:b/>
          <w:bCs/>
          <w:color w:val="000000" w:themeColor="text1"/>
        </w:rPr>
        <w:t>BCP</w:t>
      </w:r>
      <w:r w:rsidR="004D024F" w:rsidRPr="00096B2B">
        <w:rPr>
          <w:color w:val="000000" w:themeColor="text1"/>
        </w:rPr>
        <w:t>”)</w:t>
      </w:r>
      <w:r w:rsidR="004D024F">
        <w:rPr>
          <w:color w:val="000000" w:themeColor="text1"/>
        </w:rPr>
        <w:t xml:space="preserve"> </w:t>
      </w:r>
      <w:r>
        <w:rPr>
          <w:color w:val="000000" w:themeColor="text1"/>
        </w:rPr>
        <w:t>provided to the SFC (</w:t>
      </w:r>
      <w:r w:rsidR="006E09E3">
        <w:rPr>
          <w:color w:val="000000" w:themeColor="text1"/>
        </w:rPr>
        <w:t>1</w:t>
      </w:r>
      <w:r>
        <w:rPr>
          <w:color w:val="000000" w:themeColor="text1"/>
        </w:rPr>
        <w:t xml:space="preserve">) </w:t>
      </w:r>
      <w:r w:rsidR="00C95BDE">
        <w:rPr>
          <w:color w:val="000000" w:themeColor="text1"/>
        </w:rPr>
        <w:t xml:space="preserve">some </w:t>
      </w:r>
      <w:r>
        <w:rPr>
          <w:color w:val="000000" w:themeColor="text1"/>
        </w:rPr>
        <w:t>excel tables setting out the Group’s bank details,</w:t>
      </w:r>
      <w:r>
        <w:rPr>
          <w:rStyle w:val="FootnoteReference"/>
          <w:color w:val="000000" w:themeColor="text1"/>
        </w:rPr>
        <w:footnoteReference w:id="23"/>
      </w:r>
      <w:r>
        <w:rPr>
          <w:color w:val="000000" w:themeColor="text1"/>
        </w:rPr>
        <w:t xml:space="preserve"> and (</w:t>
      </w:r>
      <w:r w:rsidR="006E09E3">
        <w:rPr>
          <w:color w:val="000000" w:themeColor="text1"/>
        </w:rPr>
        <w:t>2</w:t>
      </w:r>
      <w:r>
        <w:rPr>
          <w:color w:val="000000" w:themeColor="text1"/>
        </w:rPr>
        <w:t>) copies of the Group’s bank statements for the years 2012 and 2013</w:t>
      </w:r>
      <w:r>
        <w:rPr>
          <w:rStyle w:val="FootnoteReference"/>
          <w:color w:val="000000" w:themeColor="text1"/>
        </w:rPr>
        <w:footnoteReference w:id="24"/>
      </w:r>
      <w:r>
        <w:rPr>
          <w:color w:val="000000" w:themeColor="text1"/>
        </w:rPr>
        <w:t xml:space="preserve"> (“</w:t>
      </w:r>
      <w:r w:rsidR="00EF71F1">
        <w:rPr>
          <w:b/>
          <w:bCs/>
          <w:color w:val="000000" w:themeColor="text1"/>
        </w:rPr>
        <w:t>Company’s Records</w:t>
      </w:r>
      <w:r>
        <w:rPr>
          <w:color w:val="000000" w:themeColor="text1"/>
        </w:rPr>
        <w:t>”)</w:t>
      </w:r>
      <w:r w:rsidR="00EF71F1">
        <w:rPr>
          <w:color w:val="000000" w:themeColor="text1"/>
        </w:rPr>
        <w:t xml:space="preserve"> which, </w:t>
      </w:r>
      <w:r w:rsidR="00B10ACA">
        <w:rPr>
          <w:color w:val="000000" w:themeColor="text1"/>
        </w:rPr>
        <w:t>on their face, show</w:t>
      </w:r>
      <w:r w:rsidR="000E35EA">
        <w:rPr>
          <w:color w:val="000000" w:themeColor="text1"/>
        </w:rPr>
        <w:t>ed</w:t>
      </w:r>
      <w:r w:rsidR="00B10ACA">
        <w:rPr>
          <w:color w:val="000000" w:themeColor="text1"/>
        </w:rPr>
        <w:t xml:space="preserve"> that:</w:t>
      </w:r>
    </w:p>
    <w:p w14:paraId="0CEF2F6C" w14:textId="365DA87C" w:rsidR="00B10ACA" w:rsidRDefault="008F7C2B" w:rsidP="005C174D">
      <w:pPr>
        <w:pStyle w:val="points"/>
        <w:numPr>
          <w:ilvl w:val="0"/>
          <w:numId w:val="24"/>
        </w:numPr>
        <w:tabs>
          <w:tab w:val="clear" w:pos="1400"/>
        </w:tabs>
      </w:pPr>
      <w:r>
        <w:rPr>
          <w:color w:val="000000" w:themeColor="text1"/>
        </w:rPr>
        <w:t>T</w:t>
      </w:r>
      <w:r w:rsidR="00B10ACA">
        <w:rPr>
          <w:color w:val="000000" w:themeColor="text1"/>
        </w:rPr>
        <w:t xml:space="preserve">he </w:t>
      </w:r>
      <w:r w:rsidR="00B10ACA">
        <w:t xml:space="preserve">bank balance of the Group was </w:t>
      </w:r>
      <w:r w:rsidR="00B10ACA" w:rsidRPr="00EF71F1">
        <w:t>RMB 2,992,785,280</w:t>
      </w:r>
      <w:r w:rsidR="00B10ACA" w:rsidRPr="0022129F">
        <w:t xml:space="preserve"> as at 31 December 2012, and </w:t>
      </w:r>
      <w:r w:rsidR="00B10ACA" w:rsidRPr="00EF71F1">
        <w:t>RMB 3,643,039,301</w:t>
      </w:r>
      <w:r w:rsidRPr="00EF71F1">
        <w:t xml:space="preserve"> </w:t>
      </w:r>
      <w:r w:rsidR="00B10ACA" w:rsidRPr="0022129F">
        <w:t>as at 31 December 2013</w:t>
      </w:r>
      <w:r>
        <w:t>;</w:t>
      </w:r>
      <w:r w:rsidR="00F0074B">
        <w:t xml:space="preserve"> and</w:t>
      </w:r>
    </w:p>
    <w:p w14:paraId="0F7DFBA0" w14:textId="052C8D83" w:rsidR="008F7C2B" w:rsidRDefault="008F7C2B" w:rsidP="005C174D">
      <w:pPr>
        <w:pStyle w:val="points"/>
        <w:numPr>
          <w:ilvl w:val="0"/>
          <w:numId w:val="24"/>
        </w:numPr>
        <w:tabs>
          <w:tab w:val="clear" w:pos="1400"/>
        </w:tabs>
        <w:spacing w:after="360"/>
        <w:rPr>
          <w:color w:val="000000" w:themeColor="text1"/>
        </w:rPr>
      </w:pPr>
      <w:r>
        <w:rPr>
          <w:color w:val="000000" w:themeColor="text1"/>
        </w:rPr>
        <w:t xml:space="preserve">The </w:t>
      </w:r>
      <w:r w:rsidRPr="00FA55D3">
        <w:t>Group</w:t>
      </w:r>
      <w:r>
        <w:rPr>
          <w:color w:val="000000" w:themeColor="text1"/>
        </w:rPr>
        <w:t xml:space="preserve"> had over 200 bank </w:t>
      </w:r>
      <w:r w:rsidRPr="004A2BF0">
        <w:t>accounts</w:t>
      </w:r>
      <w:r>
        <w:rPr>
          <w:color w:val="000000" w:themeColor="text1"/>
        </w:rPr>
        <w:t xml:space="preserve">, </w:t>
      </w:r>
      <w:r w:rsidR="00583083">
        <w:rPr>
          <w:color w:val="000000" w:themeColor="text1"/>
        </w:rPr>
        <w:t xml:space="preserve">of which </w:t>
      </w:r>
      <w:r w:rsidR="00C0028F">
        <w:rPr>
          <w:color w:val="000000" w:themeColor="text1"/>
        </w:rPr>
        <w:t xml:space="preserve">the following </w:t>
      </w:r>
      <w:r>
        <w:rPr>
          <w:color w:val="000000" w:themeColor="text1"/>
        </w:rPr>
        <w:t xml:space="preserve">8 </w:t>
      </w:r>
      <w:r w:rsidR="00C0028F">
        <w:rPr>
          <w:color w:val="000000" w:themeColor="text1"/>
        </w:rPr>
        <w:t xml:space="preserve">accounts </w:t>
      </w:r>
      <w:r w:rsidR="00583083">
        <w:rPr>
          <w:color w:val="000000" w:themeColor="text1"/>
        </w:rPr>
        <w:t xml:space="preserve">maintained by the Subsidiaries </w:t>
      </w:r>
      <w:r w:rsidR="00C0028F">
        <w:rPr>
          <w:color w:val="000000" w:themeColor="text1"/>
        </w:rPr>
        <w:t xml:space="preserve">at HXB and PAB </w:t>
      </w:r>
      <w:r>
        <w:rPr>
          <w:color w:val="000000" w:themeColor="text1"/>
        </w:rPr>
        <w:t>(</w:t>
      </w:r>
      <w:r w:rsidR="00AC2CA1">
        <w:rPr>
          <w:color w:val="000000" w:themeColor="text1"/>
        </w:rPr>
        <w:t xml:space="preserve">collectively </w:t>
      </w:r>
      <w:r>
        <w:rPr>
          <w:color w:val="000000" w:themeColor="text1"/>
        </w:rPr>
        <w:t>“</w:t>
      </w:r>
      <w:r>
        <w:rPr>
          <w:b/>
          <w:bCs/>
          <w:color w:val="000000" w:themeColor="text1"/>
        </w:rPr>
        <w:t>8 Bank Accounts</w:t>
      </w:r>
      <w:r>
        <w:rPr>
          <w:color w:val="000000" w:themeColor="text1"/>
        </w:rPr>
        <w:t xml:space="preserve">”) </w:t>
      </w:r>
      <w:r w:rsidR="00C0028F">
        <w:rPr>
          <w:color w:val="000000" w:themeColor="text1"/>
        </w:rPr>
        <w:t xml:space="preserve">accounted for </w:t>
      </w:r>
      <w:r w:rsidR="00DA0259">
        <w:rPr>
          <w:color w:val="000000" w:themeColor="text1"/>
        </w:rPr>
        <w:t>75%</w:t>
      </w:r>
      <w:r w:rsidR="00DA0259" w:rsidRPr="00DA0259">
        <w:rPr>
          <w:color w:val="000000" w:themeColor="text1"/>
          <w:spacing w:val="20"/>
        </w:rPr>
        <w:t> </w:t>
      </w:r>
      <w:r>
        <w:rPr>
          <w:color w:val="000000" w:themeColor="text1"/>
        </w:rPr>
        <w:t>of the Group’s balance as at 31 December 2012 and 77% as at 31 December 2013</w:t>
      </w:r>
      <w:r w:rsidR="00C0028F">
        <w:rPr>
          <w:rStyle w:val="FootnoteReference"/>
          <w:color w:val="000000" w:themeColor="text1"/>
        </w:rPr>
        <w:footnoteReference w:id="25"/>
      </w:r>
      <w:r w:rsidR="00C0028F">
        <w:rPr>
          <w:color w:val="000000" w:themeColor="text1"/>
        </w:rPr>
        <w:t>:</w:t>
      </w:r>
    </w:p>
    <w:tbl>
      <w:tblPr>
        <w:tblStyle w:val="TableGrid"/>
        <w:tblW w:w="7938" w:type="dxa"/>
        <w:tblInd w:w="704" w:type="dxa"/>
        <w:tblLayout w:type="fixed"/>
        <w:tblLook w:val="04A0" w:firstRow="1" w:lastRow="0" w:firstColumn="1" w:lastColumn="0" w:noHBand="0" w:noVBand="1"/>
      </w:tblPr>
      <w:tblGrid>
        <w:gridCol w:w="851"/>
        <w:gridCol w:w="1320"/>
        <w:gridCol w:w="2649"/>
        <w:gridCol w:w="1559"/>
        <w:gridCol w:w="1559"/>
      </w:tblGrid>
      <w:tr w:rsidR="00C0028F" w:rsidRPr="00B76F88" w14:paraId="47893DF1" w14:textId="77777777" w:rsidTr="00223A4A">
        <w:tc>
          <w:tcPr>
            <w:tcW w:w="851" w:type="dxa"/>
          </w:tcPr>
          <w:p w14:paraId="0A2287D2" w14:textId="17F1C34C" w:rsidR="00C0028F" w:rsidRPr="000E5668" w:rsidRDefault="00C0028F" w:rsidP="00F07B94">
            <w:pPr>
              <w:pStyle w:val="Text1"/>
              <w:tabs>
                <w:tab w:val="clear" w:pos="567"/>
              </w:tabs>
              <w:spacing w:line="340" w:lineRule="exact"/>
              <w:ind w:left="0" w:firstLine="0"/>
              <w:jc w:val="left"/>
              <w:rPr>
                <w:b/>
                <w:sz w:val="22"/>
              </w:rPr>
            </w:pPr>
          </w:p>
        </w:tc>
        <w:tc>
          <w:tcPr>
            <w:tcW w:w="1320" w:type="dxa"/>
          </w:tcPr>
          <w:p w14:paraId="69C13258" w14:textId="09F505F2" w:rsidR="00C0028F" w:rsidRPr="000E5668" w:rsidRDefault="00C0028F" w:rsidP="00F07B94">
            <w:pPr>
              <w:pStyle w:val="Text1"/>
              <w:tabs>
                <w:tab w:val="clear" w:pos="567"/>
              </w:tabs>
              <w:spacing w:line="340" w:lineRule="exact"/>
              <w:ind w:left="0" w:firstLine="0"/>
              <w:jc w:val="left"/>
              <w:rPr>
                <w:b/>
                <w:sz w:val="22"/>
              </w:rPr>
            </w:pPr>
          </w:p>
        </w:tc>
        <w:tc>
          <w:tcPr>
            <w:tcW w:w="2649" w:type="dxa"/>
          </w:tcPr>
          <w:p w14:paraId="33B53682" w14:textId="195B30C7" w:rsidR="00C0028F" w:rsidRPr="000E5668" w:rsidRDefault="00C0028F" w:rsidP="00096B2B">
            <w:pPr>
              <w:pStyle w:val="Text1"/>
              <w:tabs>
                <w:tab w:val="clear" w:pos="567"/>
              </w:tabs>
              <w:spacing w:line="340" w:lineRule="exact"/>
              <w:ind w:left="0" w:firstLine="0"/>
              <w:jc w:val="left"/>
              <w:rPr>
                <w:b/>
                <w:sz w:val="22"/>
              </w:rPr>
            </w:pPr>
            <w:r w:rsidRPr="000E5668">
              <w:rPr>
                <w:b/>
                <w:sz w:val="22"/>
              </w:rPr>
              <w:t xml:space="preserve">Account </w:t>
            </w:r>
            <w:r w:rsidR="00A84ECA">
              <w:rPr>
                <w:b/>
                <w:sz w:val="22"/>
              </w:rPr>
              <w:t>no.</w:t>
            </w:r>
          </w:p>
        </w:tc>
        <w:tc>
          <w:tcPr>
            <w:tcW w:w="1559" w:type="dxa"/>
          </w:tcPr>
          <w:p w14:paraId="49F8D937" w14:textId="3E5DDB2C" w:rsidR="00C0028F" w:rsidRPr="000E5668" w:rsidRDefault="00C0028F" w:rsidP="00096B2B">
            <w:pPr>
              <w:pStyle w:val="Text1"/>
              <w:tabs>
                <w:tab w:val="clear" w:pos="567"/>
              </w:tabs>
              <w:spacing w:line="340" w:lineRule="exact"/>
              <w:ind w:left="0" w:firstLine="0"/>
              <w:jc w:val="right"/>
              <w:rPr>
                <w:b/>
                <w:sz w:val="22"/>
              </w:rPr>
            </w:pPr>
            <w:r w:rsidRPr="000E5668">
              <w:rPr>
                <w:b/>
                <w:sz w:val="22"/>
              </w:rPr>
              <w:t>As at 31.12.2012 RMB</w:t>
            </w:r>
          </w:p>
        </w:tc>
        <w:tc>
          <w:tcPr>
            <w:tcW w:w="1559" w:type="dxa"/>
          </w:tcPr>
          <w:p w14:paraId="6AB1F176" w14:textId="68B0A2A9" w:rsidR="00C0028F" w:rsidRPr="000E5668" w:rsidRDefault="00C0028F" w:rsidP="00096B2B">
            <w:pPr>
              <w:pStyle w:val="Text1"/>
              <w:tabs>
                <w:tab w:val="clear" w:pos="567"/>
              </w:tabs>
              <w:spacing w:line="340" w:lineRule="exact"/>
              <w:ind w:left="0" w:firstLine="0"/>
              <w:jc w:val="right"/>
              <w:rPr>
                <w:b/>
                <w:sz w:val="22"/>
              </w:rPr>
            </w:pPr>
            <w:r w:rsidRPr="000E5668">
              <w:rPr>
                <w:b/>
                <w:sz w:val="22"/>
              </w:rPr>
              <w:t>As at 31.12.2013 RMB</w:t>
            </w:r>
          </w:p>
        </w:tc>
      </w:tr>
      <w:tr w:rsidR="00E01F2F" w:rsidRPr="00B76F88" w14:paraId="4201EA45" w14:textId="77777777" w:rsidTr="00223A4A">
        <w:tc>
          <w:tcPr>
            <w:tcW w:w="851" w:type="dxa"/>
            <w:vMerge w:val="restart"/>
          </w:tcPr>
          <w:p w14:paraId="771A2CFA" w14:textId="09FCD6F5" w:rsidR="00C0028F" w:rsidRPr="000E5668" w:rsidRDefault="00C0028F" w:rsidP="00F07B94">
            <w:pPr>
              <w:pStyle w:val="Text1"/>
              <w:tabs>
                <w:tab w:val="clear" w:pos="567"/>
              </w:tabs>
              <w:spacing w:line="340" w:lineRule="exact"/>
              <w:ind w:left="0" w:firstLine="0"/>
              <w:rPr>
                <w:sz w:val="22"/>
              </w:rPr>
            </w:pPr>
            <w:r w:rsidRPr="000E5668">
              <w:rPr>
                <w:sz w:val="22"/>
              </w:rPr>
              <w:t>H</w:t>
            </w:r>
            <w:r w:rsidR="001350AB">
              <w:rPr>
                <w:sz w:val="22"/>
              </w:rPr>
              <w:t>XB</w:t>
            </w:r>
          </w:p>
        </w:tc>
        <w:tc>
          <w:tcPr>
            <w:tcW w:w="1320" w:type="dxa"/>
          </w:tcPr>
          <w:p w14:paraId="423C5846" w14:textId="77777777" w:rsidR="00C0028F" w:rsidRPr="000E5668" w:rsidRDefault="00C0028F" w:rsidP="00F07B94">
            <w:pPr>
              <w:pStyle w:val="Text1"/>
              <w:tabs>
                <w:tab w:val="clear" w:pos="567"/>
              </w:tabs>
              <w:spacing w:line="340" w:lineRule="exact"/>
              <w:ind w:left="0" w:firstLine="0"/>
              <w:jc w:val="left"/>
              <w:rPr>
                <w:sz w:val="22"/>
              </w:rPr>
            </w:pPr>
            <w:r w:rsidRPr="000E5668">
              <w:rPr>
                <w:sz w:val="22"/>
              </w:rPr>
              <w:t xml:space="preserve">BJ </w:t>
            </w:r>
            <w:proofErr w:type="spellStart"/>
            <w:r w:rsidRPr="000E5668">
              <w:rPr>
                <w:sz w:val="22"/>
              </w:rPr>
              <w:t>Epure</w:t>
            </w:r>
            <w:proofErr w:type="spellEnd"/>
            <w:r w:rsidRPr="000E5668">
              <w:rPr>
                <w:sz w:val="22"/>
              </w:rPr>
              <w:t xml:space="preserve"> </w:t>
            </w:r>
          </w:p>
        </w:tc>
        <w:tc>
          <w:tcPr>
            <w:tcW w:w="2649" w:type="dxa"/>
          </w:tcPr>
          <w:p w14:paraId="20134D2C" w14:textId="1CD3B122" w:rsidR="00C0028F" w:rsidRPr="000E5668" w:rsidRDefault="00C0028F" w:rsidP="00F07B94">
            <w:pPr>
              <w:pStyle w:val="Text1"/>
              <w:tabs>
                <w:tab w:val="clear" w:pos="567"/>
              </w:tabs>
              <w:spacing w:line="340" w:lineRule="exact"/>
              <w:ind w:left="0" w:firstLine="0"/>
              <w:rPr>
                <w:sz w:val="22"/>
              </w:rPr>
            </w:pPr>
            <w:r w:rsidRPr="000E5668">
              <w:rPr>
                <w:sz w:val="22"/>
              </w:rPr>
              <w:t>10282000000392483</w:t>
            </w:r>
            <w:r w:rsidR="00B01EC7">
              <w:rPr>
                <w:sz w:val="22"/>
              </w:rPr>
              <w:t xml:space="preserve"> (“</w:t>
            </w:r>
            <w:r w:rsidR="00B01EC7" w:rsidRPr="00DC5C03">
              <w:rPr>
                <w:b/>
                <w:bCs/>
                <w:sz w:val="22"/>
              </w:rPr>
              <w:t>483</w:t>
            </w:r>
            <w:r w:rsidR="00B01EC7">
              <w:rPr>
                <w:sz w:val="22"/>
              </w:rPr>
              <w:t>”)</w:t>
            </w:r>
          </w:p>
        </w:tc>
        <w:tc>
          <w:tcPr>
            <w:tcW w:w="1559" w:type="dxa"/>
          </w:tcPr>
          <w:p w14:paraId="1F845F5D" w14:textId="7898001B" w:rsidR="00C0028F" w:rsidRPr="000E5668" w:rsidRDefault="00C0028F" w:rsidP="00F07B94">
            <w:pPr>
              <w:pStyle w:val="Text1"/>
              <w:tabs>
                <w:tab w:val="clear" w:pos="567"/>
              </w:tabs>
              <w:spacing w:line="340" w:lineRule="exact"/>
              <w:ind w:left="0" w:firstLine="0"/>
              <w:jc w:val="right"/>
              <w:rPr>
                <w:sz w:val="22"/>
              </w:rPr>
            </w:pPr>
            <w:r w:rsidRPr="000E5668">
              <w:rPr>
                <w:sz w:val="22"/>
              </w:rPr>
              <w:t>36,363,637</w:t>
            </w:r>
          </w:p>
        </w:tc>
        <w:tc>
          <w:tcPr>
            <w:tcW w:w="1559" w:type="dxa"/>
          </w:tcPr>
          <w:p w14:paraId="344B261D" w14:textId="505E7AFB" w:rsidR="00C0028F" w:rsidRPr="000E5668" w:rsidRDefault="00C0028F" w:rsidP="00F07B94">
            <w:pPr>
              <w:pStyle w:val="Text1"/>
              <w:tabs>
                <w:tab w:val="clear" w:pos="567"/>
              </w:tabs>
              <w:spacing w:line="340" w:lineRule="exact"/>
              <w:ind w:left="0" w:firstLine="0"/>
              <w:jc w:val="right"/>
              <w:rPr>
                <w:sz w:val="22"/>
              </w:rPr>
            </w:pPr>
            <w:r w:rsidRPr="000E5668">
              <w:rPr>
                <w:sz w:val="22"/>
              </w:rPr>
              <w:t>302,726,462</w:t>
            </w:r>
          </w:p>
        </w:tc>
      </w:tr>
      <w:tr w:rsidR="00C0028F" w:rsidRPr="00B76F88" w14:paraId="1B49A422" w14:textId="77777777" w:rsidTr="00223A4A">
        <w:tc>
          <w:tcPr>
            <w:tcW w:w="851" w:type="dxa"/>
            <w:vMerge/>
          </w:tcPr>
          <w:p w14:paraId="5E853AB2" w14:textId="77777777" w:rsidR="00C0028F" w:rsidRPr="000E5668" w:rsidRDefault="00C0028F" w:rsidP="00F07B94">
            <w:pPr>
              <w:pStyle w:val="Text1"/>
              <w:tabs>
                <w:tab w:val="clear" w:pos="567"/>
              </w:tabs>
              <w:spacing w:line="340" w:lineRule="exact"/>
              <w:ind w:left="0" w:firstLine="0"/>
              <w:rPr>
                <w:sz w:val="22"/>
              </w:rPr>
            </w:pPr>
          </w:p>
        </w:tc>
        <w:tc>
          <w:tcPr>
            <w:tcW w:w="1320" w:type="dxa"/>
          </w:tcPr>
          <w:p w14:paraId="3829B281" w14:textId="77777777" w:rsidR="00C0028F" w:rsidRPr="000E5668" w:rsidRDefault="00C0028F" w:rsidP="00F07B94">
            <w:pPr>
              <w:pStyle w:val="Text1"/>
              <w:tabs>
                <w:tab w:val="clear" w:pos="567"/>
              </w:tabs>
              <w:spacing w:line="340" w:lineRule="exact"/>
              <w:ind w:left="0" w:firstLine="0"/>
              <w:jc w:val="left"/>
              <w:rPr>
                <w:sz w:val="22"/>
              </w:rPr>
            </w:pPr>
            <w:r w:rsidRPr="000E5668">
              <w:rPr>
                <w:sz w:val="22"/>
              </w:rPr>
              <w:t xml:space="preserve">BJ Sound </w:t>
            </w:r>
          </w:p>
        </w:tc>
        <w:tc>
          <w:tcPr>
            <w:tcW w:w="2649" w:type="dxa"/>
          </w:tcPr>
          <w:p w14:paraId="239AFB49" w14:textId="77777777" w:rsidR="00C0028F" w:rsidRDefault="00C0028F" w:rsidP="00F07B94">
            <w:pPr>
              <w:pStyle w:val="Text1"/>
              <w:tabs>
                <w:tab w:val="clear" w:pos="567"/>
              </w:tabs>
              <w:spacing w:line="340" w:lineRule="exact"/>
              <w:ind w:left="0" w:firstLine="0"/>
              <w:rPr>
                <w:sz w:val="22"/>
              </w:rPr>
            </w:pPr>
            <w:r w:rsidRPr="000E5668">
              <w:rPr>
                <w:sz w:val="22"/>
              </w:rPr>
              <w:t>4066200001801500001551</w:t>
            </w:r>
          </w:p>
          <w:p w14:paraId="32B1D1A9" w14:textId="47AB3A1E" w:rsidR="00DC5C03" w:rsidRPr="000E5668" w:rsidRDefault="00DC5C03" w:rsidP="00F07B94">
            <w:pPr>
              <w:pStyle w:val="Text1"/>
              <w:tabs>
                <w:tab w:val="clear" w:pos="567"/>
              </w:tabs>
              <w:spacing w:line="340" w:lineRule="exact"/>
              <w:ind w:left="0" w:firstLine="0"/>
              <w:rPr>
                <w:sz w:val="22"/>
              </w:rPr>
            </w:pPr>
            <w:r>
              <w:rPr>
                <w:sz w:val="22"/>
              </w:rPr>
              <w:t>(“</w:t>
            </w:r>
            <w:r w:rsidRPr="00A96652">
              <w:rPr>
                <w:b/>
                <w:bCs/>
                <w:sz w:val="22"/>
              </w:rPr>
              <w:t>551</w:t>
            </w:r>
            <w:r>
              <w:rPr>
                <w:sz w:val="22"/>
              </w:rPr>
              <w:t>”)</w:t>
            </w:r>
          </w:p>
        </w:tc>
        <w:tc>
          <w:tcPr>
            <w:tcW w:w="1559" w:type="dxa"/>
          </w:tcPr>
          <w:p w14:paraId="6AC50F38" w14:textId="0566B9BE" w:rsidR="00C0028F" w:rsidRPr="000E5668" w:rsidRDefault="00C0028F" w:rsidP="00F07B94">
            <w:pPr>
              <w:pStyle w:val="Text1"/>
              <w:tabs>
                <w:tab w:val="clear" w:pos="567"/>
              </w:tabs>
              <w:spacing w:line="340" w:lineRule="exact"/>
              <w:ind w:left="0" w:firstLine="0"/>
              <w:jc w:val="right"/>
              <w:rPr>
                <w:sz w:val="22"/>
              </w:rPr>
            </w:pPr>
            <w:r w:rsidRPr="000E5668">
              <w:rPr>
                <w:sz w:val="22"/>
              </w:rPr>
              <w:t>553,252,948</w:t>
            </w:r>
          </w:p>
        </w:tc>
        <w:tc>
          <w:tcPr>
            <w:tcW w:w="1559" w:type="dxa"/>
          </w:tcPr>
          <w:p w14:paraId="24E5B47B" w14:textId="7ACE275D" w:rsidR="00C0028F" w:rsidRPr="000E5668" w:rsidRDefault="00C0028F" w:rsidP="00F07B94">
            <w:pPr>
              <w:pStyle w:val="Text1"/>
              <w:tabs>
                <w:tab w:val="clear" w:pos="567"/>
              </w:tabs>
              <w:spacing w:line="340" w:lineRule="exact"/>
              <w:ind w:left="0" w:firstLine="0"/>
              <w:jc w:val="right"/>
              <w:rPr>
                <w:sz w:val="22"/>
              </w:rPr>
            </w:pPr>
            <w:r w:rsidRPr="000E5668">
              <w:rPr>
                <w:sz w:val="22"/>
              </w:rPr>
              <w:t>785,393,39</w:t>
            </w:r>
            <w:r w:rsidR="0075249A">
              <w:rPr>
                <w:sz w:val="22"/>
              </w:rPr>
              <w:t>2</w:t>
            </w:r>
          </w:p>
        </w:tc>
      </w:tr>
      <w:tr w:rsidR="00C0028F" w:rsidRPr="00B76F88" w14:paraId="4608003C" w14:textId="77777777" w:rsidTr="00223A4A">
        <w:tc>
          <w:tcPr>
            <w:tcW w:w="851" w:type="dxa"/>
            <w:vMerge/>
          </w:tcPr>
          <w:p w14:paraId="732A70D5" w14:textId="77777777" w:rsidR="00C0028F" w:rsidRPr="000E5668" w:rsidRDefault="00C0028F" w:rsidP="00F07B94">
            <w:pPr>
              <w:pStyle w:val="Text1"/>
              <w:tabs>
                <w:tab w:val="clear" w:pos="567"/>
              </w:tabs>
              <w:spacing w:line="340" w:lineRule="exact"/>
              <w:ind w:left="0" w:firstLine="0"/>
              <w:rPr>
                <w:sz w:val="22"/>
              </w:rPr>
            </w:pPr>
          </w:p>
        </w:tc>
        <w:tc>
          <w:tcPr>
            <w:tcW w:w="1320" w:type="dxa"/>
          </w:tcPr>
          <w:p w14:paraId="3E379C55" w14:textId="77777777" w:rsidR="00C0028F" w:rsidRPr="000E5668" w:rsidRDefault="00C0028F" w:rsidP="00F07B94">
            <w:pPr>
              <w:pStyle w:val="Text1"/>
              <w:tabs>
                <w:tab w:val="clear" w:pos="567"/>
              </w:tabs>
              <w:spacing w:line="340" w:lineRule="exact"/>
              <w:ind w:left="0" w:firstLine="0"/>
              <w:jc w:val="left"/>
              <w:rPr>
                <w:sz w:val="22"/>
              </w:rPr>
            </w:pPr>
            <w:r w:rsidRPr="000E5668">
              <w:rPr>
                <w:sz w:val="22"/>
              </w:rPr>
              <w:t>BJ Sound</w:t>
            </w:r>
          </w:p>
        </w:tc>
        <w:tc>
          <w:tcPr>
            <w:tcW w:w="2649" w:type="dxa"/>
          </w:tcPr>
          <w:p w14:paraId="6F066B77" w14:textId="77777777" w:rsidR="00C0028F" w:rsidRDefault="00C0028F" w:rsidP="00F07B94">
            <w:pPr>
              <w:pStyle w:val="Text1"/>
              <w:tabs>
                <w:tab w:val="clear" w:pos="567"/>
              </w:tabs>
              <w:spacing w:line="340" w:lineRule="exact"/>
              <w:ind w:left="0" w:firstLine="0"/>
              <w:rPr>
                <w:sz w:val="22"/>
              </w:rPr>
            </w:pPr>
            <w:r w:rsidRPr="000E5668">
              <w:rPr>
                <w:sz w:val="22"/>
              </w:rPr>
              <w:t>10282000000448756</w:t>
            </w:r>
          </w:p>
          <w:p w14:paraId="76753394" w14:textId="2E3659CE" w:rsidR="00A96652" w:rsidRPr="000E5668" w:rsidRDefault="00A96652" w:rsidP="00F07B94">
            <w:pPr>
              <w:pStyle w:val="Text1"/>
              <w:tabs>
                <w:tab w:val="clear" w:pos="567"/>
              </w:tabs>
              <w:spacing w:line="340" w:lineRule="exact"/>
              <w:ind w:left="0" w:firstLine="0"/>
              <w:rPr>
                <w:sz w:val="22"/>
              </w:rPr>
            </w:pPr>
            <w:r>
              <w:rPr>
                <w:sz w:val="22"/>
              </w:rPr>
              <w:t>(“</w:t>
            </w:r>
            <w:r w:rsidRPr="008C70DE">
              <w:rPr>
                <w:b/>
                <w:bCs/>
                <w:sz w:val="22"/>
              </w:rPr>
              <w:t>756</w:t>
            </w:r>
            <w:r>
              <w:rPr>
                <w:sz w:val="22"/>
              </w:rPr>
              <w:t>”)</w:t>
            </w:r>
          </w:p>
        </w:tc>
        <w:tc>
          <w:tcPr>
            <w:tcW w:w="1559" w:type="dxa"/>
          </w:tcPr>
          <w:p w14:paraId="0948B8A5" w14:textId="77777777" w:rsidR="00C0028F" w:rsidRPr="000E5668" w:rsidRDefault="00C0028F" w:rsidP="00F07B94">
            <w:pPr>
              <w:pStyle w:val="Text1"/>
              <w:tabs>
                <w:tab w:val="clear" w:pos="567"/>
              </w:tabs>
              <w:spacing w:line="340" w:lineRule="exact"/>
              <w:ind w:left="0" w:firstLine="0"/>
              <w:jc w:val="right"/>
              <w:rPr>
                <w:sz w:val="22"/>
              </w:rPr>
            </w:pPr>
          </w:p>
        </w:tc>
        <w:tc>
          <w:tcPr>
            <w:tcW w:w="1559" w:type="dxa"/>
          </w:tcPr>
          <w:p w14:paraId="45E0396E" w14:textId="4558CE7B" w:rsidR="00C0028F" w:rsidRPr="000E5668" w:rsidRDefault="00C0028F" w:rsidP="00F07B94">
            <w:pPr>
              <w:pStyle w:val="Text1"/>
              <w:tabs>
                <w:tab w:val="clear" w:pos="567"/>
              </w:tabs>
              <w:spacing w:line="340" w:lineRule="exact"/>
              <w:ind w:left="0" w:firstLine="0"/>
              <w:jc w:val="right"/>
              <w:rPr>
                <w:sz w:val="22"/>
              </w:rPr>
            </w:pPr>
            <w:r w:rsidRPr="000E5668">
              <w:rPr>
                <w:sz w:val="22"/>
              </w:rPr>
              <w:t>30,000,000</w:t>
            </w:r>
          </w:p>
        </w:tc>
      </w:tr>
      <w:tr w:rsidR="00C0028F" w:rsidRPr="00B76F88" w14:paraId="3975D07D" w14:textId="77777777" w:rsidTr="00223A4A">
        <w:tc>
          <w:tcPr>
            <w:tcW w:w="851" w:type="dxa"/>
            <w:vMerge/>
          </w:tcPr>
          <w:p w14:paraId="3BFDDE61" w14:textId="77777777" w:rsidR="00C0028F" w:rsidRPr="000E5668" w:rsidRDefault="00C0028F" w:rsidP="00F07B94">
            <w:pPr>
              <w:pStyle w:val="Text1"/>
              <w:tabs>
                <w:tab w:val="clear" w:pos="567"/>
              </w:tabs>
              <w:spacing w:line="340" w:lineRule="exact"/>
              <w:ind w:left="0" w:firstLine="0"/>
              <w:rPr>
                <w:sz w:val="22"/>
              </w:rPr>
            </w:pPr>
          </w:p>
        </w:tc>
        <w:tc>
          <w:tcPr>
            <w:tcW w:w="1320" w:type="dxa"/>
          </w:tcPr>
          <w:p w14:paraId="15490E40" w14:textId="77777777" w:rsidR="00C0028F" w:rsidRPr="000E5668" w:rsidRDefault="00C0028F" w:rsidP="00F07B94">
            <w:pPr>
              <w:pStyle w:val="Text1"/>
              <w:tabs>
                <w:tab w:val="clear" w:pos="567"/>
              </w:tabs>
              <w:spacing w:line="340" w:lineRule="exact"/>
              <w:ind w:left="0" w:firstLine="0"/>
              <w:jc w:val="left"/>
              <w:rPr>
                <w:sz w:val="22"/>
              </w:rPr>
            </w:pPr>
            <w:r w:rsidRPr="000E5668">
              <w:rPr>
                <w:sz w:val="22"/>
              </w:rPr>
              <w:t>BJ Hi-Standard</w:t>
            </w:r>
          </w:p>
        </w:tc>
        <w:tc>
          <w:tcPr>
            <w:tcW w:w="2649" w:type="dxa"/>
          </w:tcPr>
          <w:p w14:paraId="0A7A8694" w14:textId="77777777" w:rsidR="00C0028F" w:rsidRDefault="00C0028F" w:rsidP="00F07B94">
            <w:pPr>
              <w:pStyle w:val="Text1"/>
              <w:tabs>
                <w:tab w:val="clear" w:pos="567"/>
              </w:tabs>
              <w:spacing w:line="340" w:lineRule="exact"/>
              <w:ind w:left="0" w:firstLine="0"/>
              <w:rPr>
                <w:sz w:val="22"/>
              </w:rPr>
            </w:pPr>
            <w:r w:rsidRPr="000E5668">
              <w:rPr>
                <w:sz w:val="22"/>
              </w:rPr>
              <w:t>4066200001819100006105</w:t>
            </w:r>
          </w:p>
          <w:p w14:paraId="2EB46D04" w14:textId="2C346479" w:rsidR="008C70DE" w:rsidRPr="000E5668" w:rsidRDefault="008C70DE" w:rsidP="00F07B94">
            <w:pPr>
              <w:pStyle w:val="Text1"/>
              <w:tabs>
                <w:tab w:val="clear" w:pos="567"/>
              </w:tabs>
              <w:spacing w:line="340" w:lineRule="exact"/>
              <w:ind w:left="0" w:firstLine="0"/>
              <w:rPr>
                <w:sz w:val="22"/>
              </w:rPr>
            </w:pPr>
            <w:r>
              <w:rPr>
                <w:sz w:val="22"/>
              </w:rPr>
              <w:t>(“</w:t>
            </w:r>
            <w:r w:rsidRPr="005D3A66">
              <w:rPr>
                <w:b/>
                <w:bCs/>
                <w:sz w:val="22"/>
              </w:rPr>
              <w:t>105</w:t>
            </w:r>
            <w:r>
              <w:rPr>
                <w:sz w:val="22"/>
              </w:rPr>
              <w:t>”)</w:t>
            </w:r>
          </w:p>
        </w:tc>
        <w:tc>
          <w:tcPr>
            <w:tcW w:w="1559" w:type="dxa"/>
          </w:tcPr>
          <w:p w14:paraId="5AC6FC08" w14:textId="6DD8EBBE" w:rsidR="00C0028F" w:rsidRPr="000E5668" w:rsidRDefault="00C0028F" w:rsidP="00F07B94">
            <w:pPr>
              <w:pStyle w:val="Text1"/>
              <w:tabs>
                <w:tab w:val="clear" w:pos="567"/>
              </w:tabs>
              <w:spacing w:line="340" w:lineRule="exact"/>
              <w:ind w:left="0" w:firstLine="0"/>
              <w:jc w:val="right"/>
              <w:rPr>
                <w:sz w:val="22"/>
              </w:rPr>
            </w:pPr>
            <w:r w:rsidRPr="000E5668">
              <w:rPr>
                <w:sz w:val="22"/>
              </w:rPr>
              <w:t>120,971,86</w:t>
            </w:r>
            <w:r w:rsidR="0075249A">
              <w:rPr>
                <w:sz w:val="22"/>
              </w:rPr>
              <w:t>6</w:t>
            </w:r>
          </w:p>
        </w:tc>
        <w:tc>
          <w:tcPr>
            <w:tcW w:w="1559" w:type="dxa"/>
          </w:tcPr>
          <w:p w14:paraId="1EBFA6FC" w14:textId="52428A89" w:rsidR="00C0028F" w:rsidRPr="000E5668" w:rsidRDefault="00C0028F" w:rsidP="00F07B94">
            <w:pPr>
              <w:pStyle w:val="Text1"/>
              <w:tabs>
                <w:tab w:val="clear" w:pos="567"/>
              </w:tabs>
              <w:spacing w:line="340" w:lineRule="exact"/>
              <w:ind w:left="0" w:firstLine="0"/>
              <w:jc w:val="right"/>
              <w:rPr>
                <w:sz w:val="22"/>
              </w:rPr>
            </w:pPr>
            <w:r w:rsidRPr="000E5668">
              <w:rPr>
                <w:sz w:val="22"/>
              </w:rPr>
              <w:t>90,925,10</w:t>
            </w:r>
            <w:r w:rsidR="0075249A">
              <w:rPr>
                <w:sz w:val="22"/>
              </w:rPr>
              <w:t>2</w:t>
            </w:r>
          </w:p>
        </w:tc>
      </w:tr>
      <w:tr w:rsidR="00C0028F" w:rsidRPr="00B76F88" w14:paraId="20CC07C3" w14:textId="77777777" w:rsidTr="00223A4A">
        <w:tc>
          <w:tcPr>
            <w:tcW w:w="851" w:type="dxa"/>
            <w:vMerge w:val="restart"/>
          </w:tcPr>
          <w:p w14:paraId="77CC1510" w14:textId="3E0675DB" w:rsidR="00C0028F" w:rsidRPr="000E5668" w:rsidRDefault="00C0028F" w:rsidP="00F07B94">
            <w:pPr>
              <w:pStyle w:val="Text1"/>
              <w:tabs>
                <w:tab w:val="clear" w:pos="567"/>
              </w:tabs>
              <w:spacing w:line="340" w:lineRule="exact"/>
              <w:ind w:left="0" w:firstLine="0"/>
              <w:rPr>
                <w:sz w:val="22"/>
              </w:rPr>
            </w:pPr>
            <w:r w:rsidRPr="000E5668">
              <w:rPr>
                <w:sz w:val="22"/>
              </w:rPr>
              <w:t>P</w:t>
            </w:r>
            <w:r w:rsidR="001350AB">
              <w:rPr>
                <w:sz w:val="22"/>
              </w:rPr>
              <w:t>AB</w:t>
            </w:r>
          </w:p>
        </w:tc>
        <w:tc>
          <w:tcPr>
            <w:tcW w:w="1320" w:type="dxa"/>
          </w:tcPr>
          <w:p w14:paraId="6B50F5DB" w14:textId="77777777" w:rsidR="00C0028F" w:rsidRPr="000E5668" w:rsidRDefault="00C0028F" w:rsidP="00F07B94">
            <w:pPr>
              <w:pStyle w:val="Text1"/>
              <w:tabs>
                <w:tab w:val="clear" w:pos="567"/>
              </w:tabs>
              <w:spacing w:line="340" w:lineRule="exact"/>
              <w:ind w:left="0" w:firstLine="0"/>
              <w:jc w:val="left"/>
              <w:rPr>
                <w:sz w:val="22"/>
              </w:rPr>
            </w:pPr>
            <w:r w:rsidRPr="000E5668">
              <w:rPr>
                <w:sz w:val="22"/>
              </w:rPr>
              <w:t xml:space="preserve">BJ </w:t>
            </w:r>
            <w:proofErr w:type="spellStart"/>
            <w:r w:rsidRPr="000E5668">
              <w:rPr>
                <w:sz w:val="22"/>
              </w:rPr>
              <w:t>Epure</w:t>
            </w:r>
            <w:proofErr w:type="spellEnd"/>
          </w:p>
        </w:tc>
        <w:tc>
          <w:tcPr>
            <w:tcW w:w="2649" w:type="dxa"/>
          </w:tcPr>
          <w:p w14:paraId="1BF4B3E5" w14:textId="15FDFB35" w:rsidR="00C0028F" w:rsidRPr="000E5668" w:rsidRDefault="00C0028F" w:rsidP="00F07B94">
            <w:pPr>
              <w:pStyle w:val="Text1"/>
              <w:tabs>
                <w:tab w:val="clear" w:pos="567"/>
              </w:tabs>
              <w:spacing w:line="340" w:lineRule="exact"/>
              <w:ind w:left="0" w:firstLine="0"/>
              <w:rPr>
                <w:sz w:val="22"/>
              </w:rPr>
            </w:pPr>
            <w:r w:rsidRPr="000E5668">
              <w:rPr>
                <w:sz w:val="22"/>
              </w:rPr>
              <w:t>11008393782501</w:t>
            </w:r>
            <w:r w:rsidR="005D3A66">
              <w:rPr>
                <w:sz w:val="22"/>
              </w:rPr>
              <w:t xml:space="preserve"> (“</w:t>
            </w:r>
            <w:r w:rsidR="005D3A66" w:rsidRPr="004C5B79">
              <w:rPr>
                <w:b/>
                <w:bCs/>
                <w:sz w:val="22"/>
              </w:rPr>
              <w:t>501</w:t>
            </w:r>
            <w:r w:rsidR="005D3A66">
              <w:rPr>
                <w:sz w:val="22"/>
              </w:rPr>
              <w:t>”)</w:t>
            </w:r>
          </w:p>
        </w:tc>
        <w:tc>
          <w:tcPr>
            <w:tcW w:w="1559" w:type="dxa"/>
          </w:tcPr>
          <w:p w14:paraId="15A609DF" w14:textId="0923D7C4" w:rsidR="00C0028F" w:rsidRPr="000E5668" w:rsidRDefault="00C0028F" w:rsidP="00F07B94">
            <w:pPr>
              <w:pStyle w:val="Text1"/>
              <w:tabs>
                <w:tab w:val="clear" w:pos="567"/>
              </w:tabs>
              <w:spacing w:line="340" w:lineRule="exact"/>
              <w:ind w:left="0" w:firstLine="0"/>
              <w:jc w:val="right"/>
              <w:rPr>
                <w:sz w:val="22"/>
              </w:rPr>
            </w:pPr>
            <w:r w:rsidRPr="000E5668">
              <w:rPr>
                <w:sz w:val="22"/>
              </w:rPr>
              <w:t>1,089,049,99</w:t>
            </w:r>
            <w:r w:rsidR="0075249A">
              <w:rPr>
                <w:sz w:val="22"/>
              </w:rPr>
              <w:t>2</w:t>
            </w:r>
          </w:p>
        </w:tc>
        <w:tc>
          <w:tcPr>
            <w:tcW w:w="1559" w:type="dxa"/>
          </w:tcPr>
          <w:p w14:paraId="1DD573E6" w14:textId="4E92972A" w:rsidR="00C0028F" w:rsidRPr="000E5668" w:rsidRDefault="00C0028F" w:rsidP="00F07B94">
            <w:pPr>
              <w:pStyle w:val="Text1"/>
              <w:tabs>
                <w:tab w:val="clear" w:pos="567"/>
              </w:tabs>
              <w:spacing w:line="340" w:lineRule="exact"/>
              <w:ind w:left="0" w:firstLine="0"/>
              <w:jc w:val="right"/>
              <w:rPr>
                <w:sz w:val="22"/>
              </w:rPr>
            </w:pPr>
            <w:r w:rsidRPr="000E5668">
              <w:rPr>
                <w:sz w:val="22"/>
              </w:rPr>
              <w:t>994,904,877</w:t>
            </w:r>
          </w:p>
        </w:tc>
      </w:tr>
      <w:tr w:rsidR="00C0028F" w:rsidRPr="00B76F88" w14:paraId="200DD7D2" w14:textId="77777777" w:rsidTr="00223A4A">
        <w:tc>
          <w:tcPr>
            <w:tcW w:w="851" w:type="dxa"/>
            <w:vMerge/>
          </w:tcPr>
          <w:p w14:paraId="4E528913" w14:textId="77777777" w:rsidR="00C0028F" w:rsidRPr="000E5668" w:rsidRDefault="00C0028F" w:rsidP="00F07B94">
            <w:pPr>
              <w:pStyle w:val="Text1"/>
              <w:tabs>
                <w:tab w:val="clear" w:pos="567"/>
              </w:tabs>
              <w:spacing w:line="340" w:lineRule="exact"/>
              <w:ind w:left="0" w:firstLine="0"/>
              <w:rPr>
                <w:sz w:val="22"/>
              </w:rPr>
            </w:pPr>
          </w:p>
        </w:tc>
        <w:tc>
          <w:tcPr>
            <w:tcW w:w="1320" w:type="dxa"/>
          </w:tcPr>
          <w:p w14:paraId="4F617172" w14:textId="77777777" w:rsidR="00C0028F" w:rsidRPr="000E5668" w:rsidRDefault="00C0028F" w:rsidP="00F07B94">
            <w:pPr>
              <w:pStyle w:val="Text1"/>
              <w:tabs>
                <w:tab w:val="clear" w:pos="567"/>
              </w:tabs>
              <w:spacing w:line="340" w:lineRule="exact"/>
              <w:ind w:left="0" w:firstLine="0"/>
              <w:jc w:val="left"/>
              <w:rPr>
                <w:sz w:val="22"/>
              </w:rPr>
            </w:pPr>
            <w:r w:rsidRPr="000E5668">
              <w:rPr>
                <w:sz w:val="22"/>
              </w:rPr>
              <w:t xml:space="preserve">BJ Sound </w:t>
            </w:r>
          </w:p>
        </w:tc>
        <w:tc>
          <w:tcPr>
            <w:tcW w:w="2649" w:type="dxa"/>
          </w:tcPr>
          <w:p w14:paraId="684A108E" w14:textId="1E6B6326" w:rsidR="00C0028F" w:rsidRPr="000E5668" w:rsidRDefault="00C0028F" w:rsidP="00F07B94">
            <w:pPr>
              <w:pStyle w:val="Text1"/>
              <w:tabs>
                <w:tab w:val="clear" w:pos="567"/>
              </w:tabs>
              <w:spacing w:line="340" w:lineRule="exact"/>
              <w:ind w:left="0" w:firstLine="0"/>
              <w:rPr>
                <w:sz w:val="22"/>
              </w:rPr>
            </w:pPr>
            <w:r w:rsidRPr="000E5668">
              <w:rPr>
                <w:sz w:val="22"/>
              </w:rPr>
              <w:t>11000951057002</w:t>
            </w:r>
            <w:r w:rsidR="004C5B79">
              <w:rPr>
                <w:sz w:val="22"/>
              </w:rPr>
              <w:t xml:space="preserve"> (“</w:t>
            </w:r>
            <w:r w:rsidR="004C5B79" w:rsidRPr="00FB1510">
              <w:rPr>
                <w:b/>
                <w:bCs/>
                <w:sz w:val="22"/>
              </w:rPr>
              <w:t>002</w:t>
            </w:r>
            <w:r w:rsidR="004C5B79">
              <w:rPr>
                <w:sz w:val="22"/>
              </w:rPr>
              <w:t>”)</w:t>
            </w:r>
          </w:p>
        </w:tc>
        <w:tc>
          <w:tcPr>
            <w:tcW w:w="1559" w:type="dxa"/>
          </w:tcPr>
          <w:p w14:paraId="7C6A183C" w14:textId="0B0586B2" w:rsidR="00C0028F" w:rsidRPr="000E5668" w:rsidRDefault="00C0028F" w:rsidP="00F07B94">
            <w:pPr>
              <w:pStyle w:val="Text1"/>
              <w:tabs>
                <w:tab w:val="clear" w:pos="567"/>
              </w:tabs>
              <w:spacing w:line="340" w:lineRule="exact"/>
              <w:ind w:left="0" w:firstLine="0"/>
              <w:jc w:val="right"/>
              <w:rPr>
                <w:sz w:val="22"/>
              </w:rPr>
            </w:pPr>
            <w:r w:rsidRPr="000E5668">
              <w:rPr>
                <w:sz w:val="22"/>
              </w:rPr>
              <w:t>433,281,40</w:t>
            </w:r>
            <w:r w:rsidR="0075249A">
              <w:rPr>
                <w:sz w:val="22"/>
              </w:rPr>
              <w:t>6</w:t>
            </w:r>
          </w:p>
        </w:tc>
        <w:tc>
          <w:tcPr>
            <w:tcW w:w="1559" w:type="dxa"/>
          </w:tcPr>
          <w:p w14:paraId="0D30B148" w14:textId="723E89D2" w:rsidR="00C0028F" w:rsidRPr="000E5668" w:rsidRDefault="00C0028F" w:rsidP="00F07B94">
            <w:pPr>
              <w:pStyle w:val="Text1"/>
              <w:tabs>
                <w:tab w:val="clear" w:pos="567"/>
              </w:tabs>
              <w:spacing w:line="340" w:lineRule="exact"/>
              <w:ind w:left="0" w:firstLine="0"/>
              <w:jc w:val="right"/>
              <w:rPr>
                <w:sz w:val="22"/>
              </w:rPr>
            </w:pPr>
            <w:r w:rsidRPr="000E5668">
              <w:rPr>
                <w:sz w:val="22"/>
              </w:rPr>
              <w:t>571,497,631</w:t>
            </w:r>
          </w:p>
        </w:tc>
      </w:tr>
      <w:tr w:rsidR="00C0028F" w:rsidRPr="00B76F88" w14:paraId="7E3D8D3F" w14:textId="77777777" w:rsidTr="00223A4A">
        <w:tc>
          <w:tcPr>
            <w:tcW w:w="851" w:type="dxa"/>
            <w:vMerge/>
          </w:tcPr>
          <w:p w14:paraId="4E1D63C3" w14:textId="77777777" w:rsidR="00C0028F" w:rsidRPr="000E5668" w:rsidRDefault="00C0028F" w:rsidP="00F07B94">
            <w:pPr>
              <w:pStyle w:val="Text1"/>
              <w:tabs>
                <w:tab w:val="clear" w:pos="567"/>
              </w:tabs>
              <w:spacing w:line="340" w:lineRule="exact"/>
              <w:ind w:left="0" w:firstLine="0"/>
              <w:rPr>
                <w:sz w:val="22"/>
              </w:rPr>
            </w:pPr>
          </w:p>
        </w:tc>
        <w:tc>
          <w:tcPr>
            <w:tcW w:w="1320" w:type="dxa"/>
          </w:tcPr>
          <w:p w14:paraId="58890CD3" w14:textId="77777777" w:rsidR="00C0028F" w:rsidRPr="000E5668" w:rsidRDefault="00C0028F" w:rsidP="00F07B94">
            <w:pPr>
              <w:pStyle w:val="Text1"/>
              <w:tabs>
                <w:tab w:val="clear" w:pos="567"/>
              </w:tabs>
              <w:spacing w:line="340" w:lineRule="exact"/>
              <w:ind w:left="0" w:firstLine="0"/>
              <w:jc w:val="left"/>
              <w:rPr>
                <w:sz w:val="22"/>
              </w:rPr>
            </w:pPr>
            <w:r w:rsidRPr="000E5668">
              <w:rPr>
                <w:sz w:val="22"/>
              </w:rPr>
              <w:t xml:space="preserve">BJ Sound </w:t>
            </w:r>
          </w:p>
        </w:tc>
        <w:tc>
          <w:tcPr>
            <w:tcW w:w="2649" w:type="dxa"/>
          </w:tcPr>
          <w:p w14:paraId="1CBDE474" w14:textId="4EE8BC81" w:rsidR="00C0028F" w:rsidRPr="000E5668" w:rsidRDefault="00C0028F" w:rsidP="00F07B94">
            <w:pPr>
              <w:pStyle w:val="Text1"/>
              <w:tabs>
                <w:tab w:val="clear" w:pos="567"/>
              </w:tabs>
              <w:spacing w:line="340" w:lineRule="exact"/>
              <w:ind w:left="0" w:firstLine="0"/>
              <w:rPr>
                <w:sz w:val="22"/>
              </w:rPr>
            </w:pPr>
            <w:r w:rsidRPr="000E5668">
              <w:rPr>
                <w:sz w:val="22"/>
              </w:rPr>
              <w:t>18000951057001</w:t>
            </w:r>
            <w:r w:rsidR="00FB1510">
              <w:rPr>
                <w:sz w:val="22"/>
              </w:rPr>
              <w:t xml:space="preserve"> (“</w:t>
            </w:r>
            <w:r w:rsidR="00FB1510" w:rsidRPr="008B75A0">
              <w:rPr>
                <w:b/>
                <w:bCs/>
                <w:sz w:val="22"/>
              </w:rPr>
              <w:t>001</w:t>
            </w:r>
            <w:r w:rsidR="00FB1510">
              <w:rPr>
                <w:sz w:val="22"/>
              </w:rPr>
              <w:t>”)</w:t>
            </w:r>
          </w:p>
        </w:tc>
        <w:tc>
          <w:tcPr>
            <w:tcW w:w="1559" w:type="dxa"/>
          </w:tcPr>
          <w:p w14:paraId="3BF1FBE6" w14:textId="68CB1F4C" w:rsidR="00C0028F" w:rsidRPr="000E5668" w:rsidRDefault="00C0028F" w:rsidP="00F07B94">
            <w:pPr>
              <w:pStyle w:val="Text1"/>
              <w:tabs>
                <w:tab w:val="clear" w:pos="567"/>
              </w:tabs>
              <w:spacing w:line="340" w:lineRule="exact"/>
              <w:ind w:left="0" w:firstLine="0"/>
              <w:jc w:val="right"/>
              <w:rPr>
                <w:sz w:val="22"/>
              </w:rPr>
            </w:pPr>
            <w:r w:rsidRPr="000E5668">
              <w:rPr>
                <w:sz w:val="22"/>
              </w:rPr>
              <w:t>10,000,000</w:t>
            </w:r>
          </w:p>
        </w:tc>
        <w:tc>
          <w:tcPr>
            <w:tcW w:w="1559" w:type="dxa"/>
          </w:tcPr>
          <w:p w14:paraId="4D598484" w14:textId="2F39734F" w:rsidR="00C0028F" w:rsidRPr="000E5668" w:rsidRDefault="00C0028F" w:rsidP="00F07B94">
            <w:pPr>
              <w:pStyle w:val="Text1"/>
              <w:tabs>
                <w:tab w:val="clear" w:pos="567"/>
              </w:tabs>
              <w:spacing w:line="340" w:lineRule="exact"/>
              <w:ind w:left="0" w:firstLine="0"/>
              <w:jc w:val="right"/>
              <w:rPr>
                <w:sz w:val="22"/>
              </w:rPr>
            </w:pPr>
            <w:r w:rsidRPr="000E5668">
              <w:rPr>
                <w:sz w:val="22"/>
              </w:rPr>
              <w:t>27,000,000</w:t>
            </w:r>
          </w:p>
        </w:tc>
      </w:tr>
      <w:tr w:rsidR="00C0028F" w:rsidRPr="00B76F88" w14:paraId="50C7E755" w14:textId="77777777" w:rsidTr="00223A4A">
        <w:tc>
          <w:tcPr>
            <w:tcW w:w="851" w:type="dxa"/>
            <w:vMerge/>
          </w:tcPr>
          <w:p w14:paraId="1A60AD2A" w14:textId="77777777" w:rsidR="00C0028F" w:rsidRPr="000E5668" w:rsidRDefault="00C0028F" w:rsidP="00F07B94">
            <w:pPr>
              <w:pStyle w:val="Text1"/>
              <w:tabs>
                <w:tab w:val="clear" w:pos="567"/>
              </w:tabs>
              <w:spacing w:line="340" w:lineRule="exact"/>
              <w:ind w:left="0" w:firstLine="0"/>
              <w:rPr>
                <w:sz w:val="22"/>
              </w:rPr>
            </w:pPr>
          </w:p>
        </w:tc>
        <w:tc>
          <w:tcPr>
            <w:tcW w:w="1320" w:type="dxa"/>
          </w:tcPr>
          <w:p w14:paraId="09DFE0BB" w14:textId="77777777" w:rsidR="00C0028F" w:rsidRPr="000E5668" w:rsidRDefault="00C0028F" w:rsidP="00F07B94">
            <w:pPr>
              <w:pStyle w:val="Text1"/>
              <w:tabs>
                <w:tab w:val="clear" w:pos="567"/>
              </w:tabs>
              <w:spacing w:line="340" w:lineRule="exact"/>
              <w:ind w:left="0" w:firstLine="0"/>
              <w:jc w:val="left"/>
              <w:rPr>
                <w:sz w:val="22"/>
              </w:rPr>
            </w:pPr>
            <w:r w:rsidRPr="000E5668">
              <w:rPr>
                <w:sz w:val="22"/>
              </w:rPr>
              <w:t>BJ Hi-Standard</w:t>
            </w:r>
          </w:p>
        </w:tc>
        <w:tc>
          <w:tcPr>
            <w:tcW w:w="2649" w:type="dxa"/>
          </w:tcPr>
          <w:p w14:paraId="6CBD0972" w14:textId="099C17E5" w:rsidR="00C0028F" w:rsidRPr="000E5668" w:rsidRDefault="00C0028F" w:rsidP="00F07B94">
            <w:pPr>
              <w:pStyle w:val="Text1"/>
              <w:tabs>
                <w:tab w:val="clear" w:pos="567"/>
              </w:tabs>
              <w:spacing w:line="340" w:lineRule="exact"/>
              <w:ind w:left="0" w:firstLine="0"/>
              <w:rPr>
                <w:sz w:val="22"/>
              </w:rPr>
            </w:pPr>
            <w:r w:rsidRPr="000E5668">
              <w:rPr>
                <w:sz w:val="22"/>
              </w:rPr>
              <w:t>11009345733702</w:t>
            </w:r>
            <w:r w:rsidR="008B75A0">
              <w:rPr>
                <w:sz w:val="22"/>
              </w:rPr>
              <w:t xml:space="preserve"> (“</w:t>
            </w:r>
            <w:r w:rsidR="008B75A0" w:rsidRPr="008B75A0">
              <w:rPr>
                <w:b/>
                <w:bCs/>
                <w:sz w:val="22"/>
              </w:rPr>
              <w:t>702</w:t>
            </w:r>
            <w:r w:rsidR="008B75A0">
              <w:rPr>
                <w:sz w:val="22"/>
              </w:rPr>
              <w:t>”)</w:t>
            </w:r>
          </w:p>
        </w:tc>
        <w:tc>
          <w:tcPr>
            <w:tcW w:w="1559" w:type="dxa"/>
          </w:tcPr>
          <w:p w14:paraId="2B205E5D" w14:textId="5ED8E47D" w:rsidR="00C0028F" w:rsidRPr="000E5668" w:rsidRDefault="00C0028F" w:rsidP="00F07B94">
            <w:pPr>
              <w:pStyle w:val="Text1"/>
              <w:tabs>
                <w:tab w:val="clear" w:pos="567"/>
              </w:tabs>
              <w:spacing w:line="340" w:lineRule="exact"/>
              <w:ind w:left="0" w:firstLine="0"/>
              <w:jc w:val="right"/>
              <w:rPr>
                <w:sz w:val="22"/>
              </w:rPr>
            </w:pPr>
            <w:r w:rsidRPr="000E5668">
              <w:rPr>
                <w:sz w:val="22"/>
              </w:rPr>
              <w:t>4,20</w:t>
            </w:r>
            <w:r w:rsidR="0075249A">
              <w:rPr>
                <w:sz w:val="22"/>
              </w:rPr>
              <w:t>7</w:t>
            </w:r>
          </w:p>
        </w:tc>
        <w:tc>
          <w:tcPr>
            <w:tcW w:w="1559" w:type="dxa"/>
          </w:tcPr>
          <w:p w14:paraId="13D0EAAF" w14:textId="4EA07FC1" w:rsidR="00C0028F" w:rsidRPr="000E5668" w:rsidRDefault="00C0028F" w:rsidP="00F07B94">
            <w:pPr>
              <w:pStyle w:val="Text1"/>
              <w:tabs>
                <w:tab w:val="clear" w:pos="567"/>
              </w:tabs>
              <w:spacing w:line="340" w:lineRule="exact"/>
              <w:ind w:left="0" w:firstLine="0"/>
              <w:jc w:val="right"/>
              <w:rPr>
                <w:sz w:val="22"/>
              </w:rPr>
            </w:pPr>
            <w:r w:rsidRPr="000E5668">
              <w:rPr>
                <w:sz w:val="22"/>
              </w:rPr>
              <w:t>4,223</w:t>
            </w:r>
          </w:p>
        </w:tc>
      </w:tr>
      <w:tr w:rsidR="00C0028F" w:rsidRPr="00B76F88" w14:paraId="7A260C4D" w14:textId="77777777" w:rsidTr="00223A4A">
        <w:tc>
          <w:tcPr>
            <w:tcW w:w="4820" w:type="dxa"/>
            <w:gridSpan w:val="3"/>
          </w:tcPr>
          <w:p w14:paraId="200284B8" w14:textId="064B626D" w:rsidR="00C0028F" w:rsidRPr="000E5668" w:rsidRDefault="00C0028F" w:rsidP="00F07B94">
            <w:pPr>
              <w:pStyle w:val="Text1"/>
              <w:tabs>
                <w:tab w:val="clear" w:pos="567"/>
              </w:tabs>
              <w:spacing w:line="340" w:lineRule="exact"/>
              <w:ind w:left="0" w:firstLine="0"/>
              <w:rPr>
                <w:b/>
                <w:sz w:val="22"/>
              </w:rPr>
            </w:pPr>
            <w:r w:rsidRPr="000E5668">
              <w:rPr>
                <w:b/>
                <w:sz w:val="22"/>
              </w:rPr>
              <w:t>Total</w:t>
            </w:r>
          </w:p>
        </w:tc>
        <w:tc>
          <w:tcPr>
            <w:tcW w:w="1559" w:type="dxa"/>
          </w:tcPr>
          <w:p w14:paraId="1BAA3C58" w14:textId="284E0D35" w:rsidR="00C0028F" w:rsidRPr="000E5668" w:rsidRDefault="00C0028F" w:rsidP="00F07B94">
            <w:pPr>
              <w:pStyle w:val="Text1"/>
              <w:tabs>
                <w:tab w:val="clear" w:pos="567"/>
              </w:tabs>
              <w:spacing w:line="340" w:lineRule="exact"/>
              <w:ind w:left="0" w:firstLine="0"/>
              <w:jc w:val="right"/>
              <w:rPr>
                <w:b/>
                <w:sz w:val="22"/>
              </w:rPr>
            </w:pPr>
            <w:r w:rsidRPr="000E5668">
              <w:rPr>
                <w:b/>
                <w:sz w:val="22"/>
              </w:rPr>
              <w:t>2,242,924,055</w:t>
            </w:r>
          </w:p>
        </w:tc>
        <w:tc>
          <w:tcPr>
            <w:tcW w:w="1559" w:type="dxa"/>
          </w:tcPr>
          <w:p w14:paraId="6CD9C9F7" w14:textId="071C280C" w:rsidR="00C0028F" w:rsidRPr="000E5668" w:rsidRDefault="00C0028F" w:rsidP="00F07B94">
            <w:pPr>
              <w:pStyle w:val="Text1"/>
              <w:tabs>
                <w:tab w:val="clear" w:pos="567"/>
              </w:tabs>
              <w:spacing w:line="340" w:lineRule="exact"/>
              <w:ind w:left="0" w:firstLine="0"/>
              <w:jc w:val="right"/>
              <w:rPr>
                <w:b/>
                <w:sz w:val="22"/>
              </w:rPr>
            </w:pPr>
            <w:r w:rsidRPr="000E5668">
              <w:rPr>
                <w:b/>
                <w:sz w:val="22"/>
              </w:rPr>
              <w:t>2,802,451,687</w:t>
            </w:r>
          </w:p>
        </w:tc>
      </w:tr>
      <w:tr w:rsidR="00C0028F" w:rsidRPr="00B76F88" w14:paraId="423DB5E8" w14:textId="77777777" w:rsidTr="00223A4A">
        <w:tc>
          <w:tcPr>
            <w:tcW w:w="4820" w:type="dxa"/>
            <w:gridSpan w:val="3"/>
          </w:tcPr>
          <w:p w14:paraId="20B2E4AE" w14:textId="0AE3F693" w:rsidR="00C0028F" w:rsidRPr="000E5668" w:rsidRDefault="001350AB" w:rsidP="00F07B94">
            <w:pPr>
              <w:pStyle w:val="Text1"/>
              <w:tabs>
                <w:tab w:val="clear" w:pos="567"/>
              </w:tabs>
              <w:spacing w:line="340" w:lineRule="exact"/>
              <w:ind w:left="0" w:firstLine="0"/>
              <w:rPr>
                <w:b/>
                <w:sz w:val="22"/>
              </w:rPr>
            </w:pPr>
            <w:r>
              <w:rPr>
                <w:b/>
                <w:sz w:val="22"/>
              </w:rPr>
              <w:t xml:space="preserve">Bank balance </w:t>
            </w:r>
            <w:r w:rsidR="00C0028F" w:rsidRPr="000E5668">
              <w:rPr>
                <w:b/>
                <w:sz w:val="22"/>
              </w:rPr>
              <w:t xml:space="preserve">in all </w:t>
            </w:r>
            <w:r>
              <w:rPr>
                <w:b/>
                <w:sz w:val="22"/>
              </w:rPr>
              <w:t xml:space="preserve">Group’s bank </w:t>
            </w:r>
            <w:r w:rsidR="00C0028F" w:rsidRPr="000E5668">
              <w:rPr>
                <w:b/>
                <w:sz w:val="22"/>
              </w:rPr>
              <w:t xml:space="preserve">accounts </w:t>
            </w:r>
          </w:p>
        </w:tc>
        <w:tc>
          <w:tcPr>
            <w:tcW w:w="1559" w:type="dxa"/>
          </w:tcPr>
          <w:p w14:paraId="09FBA0AF" w14:textId="21FDD4B0" w:rsidR="00C0028F" w:rsidRPr="000E5668" w:rsidRDefault="00C0028F" w:rsidP="00F07B94">
            <w:pPr>
              <w:pStyle w:val="Text1"/>
              <w:tabs>
                <w:tab w:val="clear" w:pos="567"/>
              </w:tabs>
              <w:spacing w:line="340" w:lineRule="exact"/>
              <w:ind w:left="0" w:firstLine="0"/>
              <w:jc w:val="right"/>
              <w:rPr>
                <w:color w:val="000000" w:themeColor="text1"/>
                <w:sz w:val="22"/>
              </w:rPr>
            </w:pPr>
            <w:r w:rsidRPr="000E5668">
              <w:rPr>
                <w:b/>
                <w:sz w:val="22"/>
              </w:rPr>
              <w:t>2,992,785,28</w:t>
            </w:r>
            <w:r w:rsidR="00026758">
              <w:rPr>
                <w:b/>
                <w:sz w:val="22"/>
              </w:rPr>
              <w:t>1</w:t>
            </w:r>
          </w:p>
          <w:p w14:paraId="15501944" w14:textId="63D13F0A" w:rsidR="00C0028F" w:rsidRPr="000E5668" w:rsidRDefault="00C0028F" w:rsidP="00096B2B">
            <w:pPr>
              <w:pStyle w:val="Text1"/>
              <w:tabs>
                <w:tab w:val="clear" w:pos="567"/>
              </w:tabs>
              <w:spacing w:line="340" w:lineRule="exact"/>
              <w:ind w:left="0" w:right="110" w:firstLine="0"/>
              <w:jc w:val="right"/>
              <w:rPr>
                <w:b/>
                <w:bCs/>
                <w:sz w:val="22"/>
              </w:rPr>
            </w:pPr>
          </w:p>
        </w:tc>
        <w:tc>
          <w:tcPr>
            <w:tcW w:w="1559" w:type="dxa"/>
          </w:tcPr>
          <w:p w14:paraId="3CE60851" w14:textId="570940E3" w:rsidR="00C0028F" w:rsidRPr="000E5668" w:rsidRDefault="00C0028F" w:rsidP="00F07B94">
            <w:pPr>
              <w:pStyle w:val="Text1"/>
              <w:tabs>
                <w:tab w:val="clear" w:pos="567"/>
              </w:tabs>
              <w:spacing w:line="340" w:lineRule="exact"/>
              <w:ind w:left="0" w:firstLine="0"/>
              <w:jc w:val="right"/>
              <w:rPr>
                <w:b/>
                <w:sz w:val="22"/>
              </w:rPr>
            </w:pPr>
            <w:r w:rsidRPr="000E5668">
              <w:rPr>
                <w:b/>
                <w:sz w:val="22"/>
              </w:rPr>
              <w:t>3,643,039,301</w:t>
            </w:r>
          </w:p>
          <w:p w14:paraId="5FD9D142" w14:textId="05A0859C" w:rsidR="00C0028F" w:rsidRPr="000E5668" w:rsidRDefault="00C0028F" w:rsidP="00F07B94">
            <w:pPr>
              <w:pStyle w:val="Text1"/>
              <w:tabs>
                <w:tab w:val="clear" w:pos="567"/>
              </w:tabs>
              <w:spacing w:line="340" w:lineRule="exact"/>
              <w:ind w:left="0" w:firstLine="0"/>
              <w:jc w:val="right"/>
              <w:rPr>
                <w:b/>
                <w:sz w:val="22"/>
              </w:rPr>
            </w:pPr>
          </w:p>
        </w:tc>
      </w:tr>
      <w:tr w:rsidR="00C0028F" w:rsidRPr="00B76F88" w14:paraId="34035CF0" w14:textId="77777777" w:rsidTr="00223A4A">
        <w:tc>
          <w:tcPr>
            <w:tcW w:w="4820" w:type="dxa"/>
            <w:gridSpan w:val="3"/>
          </w:tcPr>
          <w:p w14:paraId="54785275" w14:textId="6F4622DB" w:rsidR="00C0028F" w:rsidRPr="000E5668" w:rsidRDefault="00243BEB" w:rsidP="00F07B94">
            <w:pPr>
              <w:pStyle w:val="Text1"/>
              <w:tabs>
                <w:tab w:val="clear" w:pos="567"/>
              </w:tabs>
              <w:spacing w:line="340" w:lineRule="exact"/>
              <w:ind w:left="0" w:firstLine="0"/>
              <w:rPr>
                <w:b/>
                <w:sz w:val="22"/>
              </w:rPr>
            </w:pPr>
            <w:r>
              <w:rPr>
                <w:b/>
                <w:sz w:val="22"/>
              </w:rPr>
              <w:t xml:space="preserve">% held in </w:t>
            </w:r>
            <w:r w:rsidR="00C0028F" w:rsidRPr="000E5668">
              <w:rPr>
                <w:b/>
                <w:sz w:val="22"/>
              </w:rPr>
              <w:t xml:space="preserve">8 Bank Accounts  </w:t>
            </w:r>
          </w:p>
        </w:tc>
        <w:tc>
          <w:tcPr>
            <w:tcW w:w="1559" w:type="dxa"/>
          </w:tcPr>
          <w:p w14:paraId="27002FCB" w14:textId="77777777" w:rsidR="00C0028F" w:rsidRPr="000E5668" w:rsidRDefault="00C0028F" w:rsidP="00F07B94">
            <w:pPr>
              <w:pStyle w:val="Text1"/>
              <w:tabs>
                <w:tab w:val="clear" w:pos="567"/>
              </w:tabs>
              <w:spacing w:line="340" w:lineRule="exact"/>
              <w:ind w:left="0" w:firstLine="0"/>
              <w:jc w:val="right"/>
              <w:rPr>
                <w:bCs/>
                <w:sz w:val="22"/>
              </w:rPr>
            </w:pPr>
            <w:r w:rsidRPr="000E5668">
              <w:rPr>
                <w:b/>
                <w:sz w:val="22"/>
              </w:rPr>
              <w:t>75%</w:t>
            </w:r>
          </w:p>
        </w:tc>
        <w:tc>
          <w:tcPr>
            <w:tcW w:w="1559" w:type="dxa"/>
          </w:tcPr>
          <w:p w14:paraId="4D3637B1" w14:textId="77777777" w:rsidR="00C0028F" w:rsidRPr="000E5668" w:rsidRDefault="00C0028F" w:rsidP="00F07B94">
            <w:pPr>
              <w:pStyle w:val="Text1"/>
              <w:tabs>
                <w:tab w:val="clear" w:pos="567"/>
              </w:tabs>
              <w:spacing w:line="340" w:lineRule="exact"/>
              <w:ind w:left="0" w:firstLine="0"/>
              <w:jc w:val="right"/>
              <w:rPr>
                <w:b/>
                <w:sz w:val="22"/>
              </w:rPr>
            </w:pPr>
            <w:r w:rsidRPr="000E5668">
              <w:rPr>
                <w:b/>
                <w:sz w:val="22"/>
              </w:rPr>
              <w:t>77%</w:t>
            </w:r>
          </w:p>
        </w:tc>
      </w:tr>
    </w:tbl>
    <w:p w14:paraId="2C8D657E" w14:textId="77777777" w:rsidR="00A1242F" w:rsidRDefault="00A1242F" w:rsidP="00A1242F">
      <w:pPr>
        <w:pStyle w:val="Style1"/>
        <w:tabs>
          <w:tab w:val="clear" w:pos="720"/>
        </w:tabs>
        <w:spacing w:line="340" w:lineRule="exact"/>
        <w:ind w:left="0" w:firstLine="0"/>
        <w:rPr>
          <w:color w:val="000000" w:themeColor="text1"/>
        </w:rPr>
      </w:pPr>
    </w:p>
    <w:p w14:paraId="40E8705C" w14:textId="720295C4" w:rsidR="00A1242F" w:rsidRDefault="0072491F" w:rsidP="00834647">
      <w:pPr>
        <w:pStyle w:val="H-1"/>
        <w:tabs>
          <w:tab w:val="left" w:pos="720"/>
        </w:tabs>
      </w:pPr>
      <w:r>
        <w:t>B7.</w:t>
      </w:r>
      <w:r>
        <w:tab/>
      </w:r>
      <w:r w:rsidR="00A1242F">
        <w:t>CSRC</w:t>
      </w:r>
      <w:r w:rsidR="00890F4A">
        <w:t>’s</w:t>
      </w:r>
      <w:r w:rsidR="00A1242F">
        <w:t xml:space="preserve"> Records</w:t>
      </w:r>
    </w:p>
    <w:p w14:paraId="09739F86" w14:textId="5ACF7F31" w:rsidR="00A1242F" w:rsidRDefault="00A1242F">
      <w:pPr>
        <w:pStyle w:val="Final"/>
        <w:numPr>
          <w:ilvl w:val="0"/>
          <w:numId w:val="2"/>
        </w:numPr>
        <w:tabs>
          <w:tab w:val="clear" w:pos="720"/>
          <w:tab w:val="num" w:pos="0"/>
        </w:tabs>
        <w:ind w:left="0" w:firstLine="0"/>
        <w:rPr>
          <w:color w:val="000000" w:themeColor="text1"/>
        </w:rPr>
      </w:pPr>
      <w:r>
        <w:rPr>
          <w:color w:val="000000" w:themeColor="text1"/>
        </w:rPr>
        <w:t xml:space="preserve">On 25 March 2016 and 12 August 2016, the SFC received </w:t>
      </w:r>
      <w:r w:rsidR="00287352">
        <w:rPr>
          <w:color w:val="000000" w:themeColor="text1"/>
        </w:rPr>
        <w:t>from</w:t>
      </w:r>
      <w:r>
        <w:rPr>
          <w:color w:val="000000" w:themeColor="text1"/>
        </w:rPr>
        <w:t xml:space="preserve"> C</w:t>
      </w:r>
      <w:r w:rsidR="00287352">
        <w:rPr>
          <w:color w:val="000000" w:themeColor="text1"/>
        </w:rPr>
        <w:t xml:space="preserve">SRC </w:t>
      </w:r>
      <w:r>
        <w:rPr>
          <w:color w:val="000000" w:themeColor="text1"/>
        </w:rPr>
        <w:t xml:space="preserve">the bank records </w:t>
      </w:r>
      <w:r w:rsidR="001B6AD8">
        <w:rPr>
          <w:color w:val="000000" w:themeColor="text1"/>
        </w:rPr>
        <w:t xml:space="preserve">of </w:t>
      </w:r>
      <w:r>
        <w:rPr>
          <w:color w:val="000000" w:themeColor="text1"/>
        </w:rPr>
        <w:t xml:space="preserve">the 8 Bank Accounts for the period </w:t>
      </w:r>
      <w:r w:rsidR="00523288">
        <w:rPr>
          <w:color w:val="000000" w:themeColor="text1"/>
        </w:rPr>
        <w:t xml:space="preserve">from </w:t>
      </w:r>
      <w:r>
        <w:rPr>
          <w:color w:val="000000" w:themeColor="text1"/>
        </w:rPr>
        <w:t xml:space="preserve">2012 </w:t>
      </w:r>
      <w:r w:rsidR="00523288">
        <w:rPr>
          <w:color w:val="000000" w:themeColor="text1"/>
        </w:rPr>
        <w:t xml:space="preserve">to </w:t>
      </w:r>
      <w:r>
        <w:rPr>
          <w:color w:val="000000" w:themeColor="text1"/>
        </w:rPr>
        <w:t>2015</w:t>
      </w:r>
      <w:r>
        <w:rPr>
          <w:rStyle w:val="FootnoteReference"/>
          <w:color w:val="000000" w:themeColor="text1"/>
        </w:rPr>
        <w:footnoteReference w:id="26"/>
      </w:r>
      <w:r w:rsidR="00AE6CFF">
        <w:rPr>
          <w:color w:val="000000" w:themeColor="text1"/>
        </w:rPr>
        <w:t xml:space="preserve">. </w:t>
      </w:r>
      <w:r>
        <w:rPr>
          <w:color w:val="000000" w:themeColor="text1"/>
        </w:rPr>
        <w:t xml:space="preserve"> The CSRC</w:t>
      </w:r>
      <w:r w:rsidR="007F6D49">
        <w:rPr>
          <w:color w:val="000000" w:themeColor="text1"/>
        </w:rPr>
        <w:t>’s</w:t>
      </w:r>
      <w:r>
        <w:rPr>
          <w:color w:val="000000" w:themeColor="text1"/>
        </w:rPr>
        <w:t xml:space="preserve"> Records were obtained from </w:t>
      </w:r>
      <w:r w:rsidR="007F6D49">
        <w:rPr>
          <w:color w:val="000000" w:themeColor="text1"/>
        </w:rPr>
        <w:t>PAB and HXB</w:t>
      </w:r>
      <w:r w:rsidR="00AE6CFF">
        <w:rPr>
          <w:color w:val="000000" w:themeColor="text1"/>
        </w:rPr>
        <w:t xml:space="preserve">.  </w:t>
      </w:r>
    </w:p>
    <w:p w14:paraId="6290B327" w14:textId="52DDDCAC" w:rsidR="00822125" w:rsidRPr="00785A63" w:rsidRDefault="00822125" w:rsidP="00834647">
      <w:pPr>
        <w:pStyle w:val="H-1"/>
        <w:tabs>
          <w:tab w:val="left" w:pos="720"/>
        </w:tabs>
      </w:pPr>
      <w:bookmarkStart w:id="6" w:name="_Ref103673174"/>
      <w:r>
        <w:t>C</w:t>
      </w:r>
      <w:r w:rsidRPr="00785A63">
        <w:t>.</w:t>
      </w:r>
      <w:r w:rsidRPr="00785A63">
        <w:tab/>
        <w:t>ISSUES</w:t>
      </w:r>
    </w:p>
    <w:p w14:paraId="6435D388" w14:textId="31B724AA" w:rsidR="00822125" w:rsidRPr="00785A63" w:rsidRDefault="005B76AF" w:rsidP="00834647">
      <w:pPr>
        <w:pStyle w:val="Final"/>
        <w:numPr>
          <w:ilvl w:val="0"/>
          <w:numId w:val="2"/>
        </w:numPr>
        <w:tabs>
          <w:tab w:val="clear" w:pos="720"/>
          <w:tab w:val="num" w:pos="0"/>
        </w:tabs>
        <w:ind w:left="0" w:firstLine="0"/>
        <w:rPr>
          <w:color w:val="000000" w:themeColor="text1"/>
        </w:rPr>
      </w:pPr>
      <w:r>
        <w:rPr>
          <w:color w:val="000000" w:themeColor="text1"/>
        </w:rPr>
        <w:t>It is t</w:t>
      </w:r>
      <w:r w:rsidR="00822125" w:rsidRPr="00785A63">
        <w:rPr>
          <w:color w:val="000000" w:themeColor="text1"/>
        </w:rPr>
        <w:t xml:space="preserve">he SFC’s case </w:t>
      </w:r>
      <w:r>
        <w:rPr>
          <w:color w:val="000000" w:themeColor="text1"/>
        </w:rPr>
        <w:t>that</w:t>
      </w:r>
      <w:r w:rsidR="00822125" w:rsidRPr="00785A63">
        <w:rPr>
          <w:color w:val="000000" w:themeColor="text1"/>
        </w:rPr>
        <w:t>:</w:t>
      </w:r>
    </w:p>
    <w:p w14:paraId="0000E59F" w14:textId="41334300" w:rsidR="00822125" w:rsidRPr="00785A63" w:rsidRDefault="00822125" w:rsidP="00BC134A">
      <w:pPr>
        <w:pStyle w:val="points"/>
        <w:numPr>
          <w:ilvl w:val="0"/>
          <w:numId w:val="7"/>
        </w:numPr>
        <w:tabs>
          <w:tab w:val="clear" w:pos="1400"/>
        </w:tabs>
      </w:pPr>
      <w:r w:rsidRPr="00785A63">
        <w:t xml:space="preserve">The Group’s financial position in the </w:t>
      </w:r>
      <w:r>
        <w:t xml:space="preserve">2012 AFS </w:t>
      </w:r>
      <w:r w:rsidRPr="00BD01D6">
        <w:t>and 2013</w:t>
      </w:r>
      <w:r>
        <w:t xml:space="preserve"> AFS </w:t>
      </w:r>
      <w:r w:rsidRPr="00785A63">
        <w:t xml:space="preserve">had been falsely and substantially inflated as a result of the </w:t>
      </w:r>
      <w:r w:rsidRPr="00785A63">
        <w:lastRenderedPageBreak/>
        <w:t xml:space="preserve">fictitious balances in the </w:t>
      </w:r>
      <w:r w:rsidR="00775970" w:rsidRPr="00CE154C">
        <w:t>5</w:t>
      </w:r>
      <w:r w:rsidR="00C0526E">
        <w:t xml:space="preserve"> out of the</w:t>
      </w:r>
      <w:r w:rsidR="00A9490B">
        <w:t xml:space="preserve"> 8</w:t>
      </w:r>
      <w:r w:rsidR="000F176C">
        <w:t xml:space="preserve"> </w:t>
      </w:r>
      <w:r w:rsidR="00775970">
        <w:t>B</w:t>
      </w:r>
      <w:r w:rsidRPr="00785A63">
        <w:t xml:space="preserve">ank </w:t>
      </w:r>
      <w:r w:rsidR="00775970">
        <w:t>A</w:t>
      </w:r>
      <w:r w:rsidRPr="00785A63">
        <w:t xml:space="preserve">ccounts maintained by </w:t>
      </w:r>
      <w:r w:rsidR="00B1509F">
        <w:t>the S</w:t>
      </w:r>
      <w:r w:rsidRPr="00785A63">
        <w:t>ubsidiaries</w:t>
      </w:r>
      <w:r w:rsidR="00AE6CFF">
        <w:t xml:space="preserve">.  </w:t>
      </w:r>
    </w:p>
    <w:p w14:paraId="3D75B6BD" w14:textId="61E17E5E" w:rsidR="00822125" w:rsidRPr="00785A63" w:rsidRDefault="00822125" w:rsidP="00BC134A">
      <w:pPr>
        <w:pStyle w:val="points"/>
        <w:numPr>
          <w:ilvl w:val="0"/>
          <w:numId w:val="7"/>
        </w:numPr>
        <w:tabs>
          <w:tab w:val="clear" w:pos="1400"/>
        </w:tabs>
      </w:pPr>
      <w:r w:rsidRPr="00785A63">
        <w:rPr>
          <w:color w:val="000000" w:themeColor="text1"/>
        </w:rPr>
        <w:t xml:space="preserve">Mr Wen </w:t>
      </w:r>
      <w:r w:rsidRPr="00785A63">
        <w:t>knowingly</w:t>
      </w:r>
      <w:r w:rsidRPr="00785A63">
        <w:rPr>
          <w:color w:val="000000" w:themeColor="text1"/>
        </w:rPr>
        <w:t xml:space="preserve"> caused, directed and/or orchestrated a scheme for (a) the fraudulent inflation and falsification in the Subsidiaries’ </w:t>
      </w:r>
      <w:r w:rsidR="002A42C5">
        <w:rPr>
          <w:color w:val="000000" w:themeColor="text1"/>
        </w:rPr>
        <w:t xml:space="preserve">bank </w:t>
      </w:r>
      <w:r w:rsidRPr="00785A63">
        <w:rPr>
          <w:color w:val="000000" w:themeColor="text1"/>
        </w:rPr>
        <w:t xml:space="preserve">balances </w:t>
      </w:r>
      <w:r w:rsidR="000C2DB0">
        <w:rPr>
          <w:color w:val="000000" w:themeColor="text1"/>
        </w:rPr>
        <w:t>at</w:t>
      </w:r>
      <w:r w:rsidRPr="00785A63">
        <w:rPr>
          <w:color w:val="000000" w:themeColor="text1"/>
        </w:rPr>
        <w:t xml:space="preserve"> HXB and PAB for the financial years of 2011, 2012 and 2013 (“</w:t>
      </w:r>
      <w:r w:rsidRPr="00785A63">
        <w:rPr>
          <w:b/>
          <w:bCs/>
          <w:color w:val="000000" w:themeColor="text1"/>
        </w:rPr>
        <w:t>Falsification Scheme</w:t>
      </w:r>
      <w:r w:rsidRPr="00785A63">
        <w:rPr>
          <w:color w:val="000000" w:themeColor="text1"/>
        </w:rPr>
        <w:t>”) and/or (b) the fabrication of falsified bank statements and bank balance confirmations to support the inflated and fictitious bank balances (“</w:t>
      </w:r>
      <w:r w:rsidRPr="00785A63">
        <w:rPr>
          <w:b/>
          <w:bCs/>
          <w:color w:val="000000" w:themeColor="text1"/>
        </w:rPr>
        <w:t>Fabrication Scheme</w:t>
      </w:r>
      <w:r w:rsidRPr="00785A63">
        <w:rPr>
          <w:color w:val="000000" w:themeColor="text1"/>
        </w:rPr>
        <w:t>”) (collectively “</w:t>
      </w:r>
      <w:r w:rsidRPr="00785A63">
        <w:rPr>
          <w:b/>
          <w:bCs/>
          <w:color w:val="000000" w:themeColor="text1"/>
        </w:rPr>
        <w:t>Schemes</w:t>
      </w:r>
      <w:r w:rsidRPr="00785A63">
        <w:rPr>
          <w:color w:val="000000" w:themeColor="text1"/>
        </w:rPr>
        <w:t>”).</w:t>
      </w:r>
    </w:p>
    <w:p w14:paraId="67F0506B" w14:textId="77777777" w:rsidR="00822125" w:rsidRPr="00785A63" w:rsidRDefault="00822125" w:rsidP="00BC134A">
      <w:pPr>
        <w:pStyle w:val="points"/>
        <w:numPr>
          <w:ilvl w:val="0"/>
          <w:numId w:val="7"/>
        </w:numPr>
        <w:tabs>
          <w:tab w:val="clear" w:pos="1400"/>
        </w:tabs>
      </w:pPr>
      <w:r w:rsidRPr="00785A63">
        <w:t>Alternatively</w:t>
      </w:r>
      <w:r w:rsidRPr="00785A63">
        <w:rPr>
          <w:color w:val="000000" w:themeColor="text1"/>
        </w:rPr>
        <w:t>, Mr Wen</w:t>
      </w:r>
      <w:r>
        <w:rPr>
          <w:color w:val="000000" w:themeColor="text1"/>
        </w:rPr>
        <w:t>:</w:t>
      </w:r>
    </w:p>
    <w:p w14:paraId="094A05BF" w14:textId="4D6C3C93" w:rsidR="00822125" w:rsidRPr="00785A63" w:rsidRDefault="00822125" w:rsidP="00BC134A">
      <w:pPr>
        <w:pStyle w:val="points"/>
        <w:numPr>
          <w:ilvl w:val="0"/>
          <w:numId w:val="8"/>
        </w:numPr>
        <w:tabs>
          <w:tab w:val="clear" w:pos="1400"/>
          <w:tab w:val="clear" w:pos="1960"/>
        </w:tabs>
        <w:ind w:left="2160" w:hanging="740"/>
      </w:pPr>
      <w:r w:rsidRPr="00834647">
        <w:t>knew</w:t>
      </w:r>
      <w:r w:rsidRPr="00785A63">
        <w:t xml:space="preserve"> or turned a blind eye to the Schemes and did not report the same to other members of the Company’s board of directors, shareholders, auditors and/or the regulatory authorities;</w:t>
      </w:r>
    </w:p>
    <w:p w14:paraId="77CB20F0" w14:textId="43F4A478" w:rsidR="00822125" w:rsidRPr="00785A63" w:rsidRDefault="00822125" w:rsidP="00BC134A">
      <w:pPr>
        <w:pStyle w:val="points"/>
        <w:numPr>
          <w:ilvl w:val="0"/>
          <w:numId w:val="8"/>
        </w:numPr>
        <w:tabs>
          <w:tab w:val="clear" w:pos="1400"/>
          <w:tab w:val="clear" w:pos="1960"/>
        </w:tabs>
        <w:ind w:left="2160" w:hanging="740"/>
        <w:rPr>
          <w:color w:val="000000" w:themeColor="text1"/>
        </w:rPr>
      </w:pPr>
      <w:r w:rsidRPr="00785A63">
        <w:rPr>
          <w:color w:val="000000" w:themeColor="text1"/>
        </w:rPr>
        <w:t xml:space="preserve">took </w:t>
      </w:r>
      <w:r w:rsidRPr="00785A63">
        <w:t>active</w:t>
      </w:r>
      <w:r w:rsidRPr="00785A63">
        <w:rPr>
          <w:color w:val="000000" w:themeColor="text1"/>
        </w:rPr>
        <w:t xml:space="preserve"> steps to conceal the Schemes and to mislead other members of the board of directors, shareholders, auditors and/or the regulatory authorities; and/or</w:t>
      </w:r>
    </w:p>
    <w:p w14:paraId="46BB8C00" w14:textId="77777777" w:rsidR="00822125" w:rsidRPr="00785A63" w:rsidRDefault="00822125" w:rsidP="00BC134A">
      <w:pPr>
        <w:pStyle w:val="points"/>
        <w:numPr>
          <w:ilvl w:val="0"/>
          <w:numId w:val="8"/>
        </w:numPr>
        <w:tabs>
          <w:tab w:val="clear" w:pos="1400"/>
          <w:tab w:val="clear" w:pos="1960"/>
        </w:tabs>
        <w:ind w:left="2160" w:hanging="740"/>
        <w:rPr>
          <w:color w:val="000000" w:themeColor="text1"/>
        </w:rPr>
      </w:pPr>
      <w:r w:rsidRPr="00785A63">
        <w:rPr>
          <w:color w:val="000000" w:themeColor="text1"/>
        </w:rPr>
        <w:t xml:space="preserve">acted </w:t>
      </w:r>
      <w:r w:rsidRPr="00834647">
        <w:rPr>
          <w:color w:val="000000" w:themeColor="text1"/>
        </w:rPr>
        <w:t>negligently</w:t>
      </w:r>
      <w:r w:rsidRPr="00785A63">
        <w:rPr>
          <w:color w:val="000000" w:themeColor="text1"/>
        </w:rPr>
        <w:t xml:space="preserve"> and/or in breach of his duties of skill, care and diligence owed to the Company.</w:t>
      </w:r>
      <w:r w:rsidRPr="00785A63">
        <w:rPr>
          <w:rStyle w:val="FootnoteReference"/>
          <w:color w:val="000000" w:themeColor="text1"/>
        </w:rPr>
        <w:footnoteReference w:id="27"/>
      </w:r>
    </w:p>
    <w:p w14:paraId="23F6BCBC" w14:textId="2EDFB63D" w:rsidR="00822125" w:rsidRPr="00785A63" w:rsidRDefault="00822125" w:rsidP="00BC134A">
      <w:pPr>
        <w:pStyle w:val="points"/>
        <w:numPr>
          <w:ilvl w:val="0"/>
          <w:numId w:val="7"/>
        </w:numPr>
        <w:tabs>
          <w:tab w:val="clear" w:pos="1400"/>
        </w:tabs>
      </w:pPr>
      <w:r w:rsidRPr="00785A63">
        <w:t>Further</w:t>
      </w:r>
      <w:r w:rsidRPr="00785A63">
        <w:rPr>
          <w:color w:val="000000" w:themeColor="text1"/>
        </w:rPr>
        <w:t xml:space="preserve">, Mr Wen knowingly gave false and/or misleading explanations regarding </w:t>
      </w:r>
      <w:r w:rsidR="00457858">
        <w:rPr>
          <w:color w:val="000000" w:themeColor="text1"/>
        </w:rPr>
        <w:t xml:space="preserve">the 2015 </w:t>
      </w:r>
      <w:r w:rsidR="00E4753F">
        <w:rPr>
          <w:color w:val="000000" w:themeColor="text1"/>
        </w:rPr>
        <w:t>C</w:t>
      </w:r>
      <w:r w:rsidRPr="00785A63">
        <w:rPr>
          <w:color w:val="000000" w:themeColor="text1"/>
        </w:rPr>
        <w:t xml:space="preserve">ash </w:t>
      </w:r>
      <w:r w:rsidR="00E4753F">
        <w:rPr>
          <w:color w:val="000000" w:themeColor="text1"/>
        </w:rPr>
        <w:t>D</w:t>
      </w:r>
      <w:r w:rsidRPr="00785A63">
        <w:rPr>
          <w:color w:val="000000" w:themeColor="text1"/>
        </w:rPr>
        <w:t>iscrepanc</w:t>
      </w:r>
      <w:r w:rsidR="00E4753F">
        <w:rPr>
          <w:color w:val="000000" w:themeColor="text1"/>
        </w:rPr>
        <w:t xml:space="preserve">y </w:t>
      </w:r>
      <w:r w:rsidRPr="00785A63">
        <w:rPr>
          <w:color w:val="000000" w:themeColor="text1"/>
        </w:rPr>
        <w:t xml:space="preserve">to </w:t>
      </w:r>
      <w:r w:rsidRPr="00785A63">
        <w:rPr>
          <w:i/>
          <w:iCs/>
          <w:color w:val="000000" w:themeColor="text1"/>
        </w:rPr>
        <w:t>inter alios</w:t>
      </w:r>
      <w:r w:rsidRPr="00785A63">
        <w:rPr>
          <w:color w:val="000000" w:themeColor="text1"/>
        </w:rPr>
        <w:t xml:space="preserve"> RSM, the independent accountants appointed by the </w:t>
      </w:r>
      <w:r w:rsidRPr="00785A63">
        <w:rPr>
          <w:color w:val="000000" w:themeColor="text1"/>
        </w:rPr>
        <w:lastRenderedPageBreak/>
        <w:t>Company to investigate the issue, the Company’s auditors, board of directors and/or members.</w:t>
      </w:r>
    </w:p>
    <w:p w14:paraId="4BB33EE1" w14:textId="77777777" w:rsidR="00822125" w:rsidRPr="00785A63" w:rsidRDefault="00822125" w:rsidP="00BC134A">
      <w:pPr>
        <w:pStyle w:val="points"/>
        <w:numPr>
          <w:ilvl w:val="0"/>
          <w:numId w:val="7"/>
        </w:numPr>
        <w:tabs>
          <w:tab w:val="clear" w:pos="1400"/>
        </w:tabs>
      </w:pPr>
      <w:r w:rsidRPr="00785A63">
        <w:rPr>
          <w:color w:val="000000" w:themeColor="text1"/>
        </w:rPr>
        <w:t>By reason of the above matters, the business and affairs of the Company were conducted by Mr Wen in a manner:</w:t>
      </w:r>
    </w:p>
    <w:p w14:paraId="36801BA0" w14:textId="77777777" w:rsidR="00822125" w:rsidRPr="00785A63" w:rsidRDefault="00822125" w:rsidP="005C174D">
      <w:pPr>
        <w:pStyle w:val="points"/>
        <w:numPr>
          <w:ilvl w:val="0"/>
          <w:numId w:val="25"/>
        </w:numPr>
        <w:tabs>
          <w:tab w:val="clear" w:pos="1400"/>
          <w:tab w:val="clear" w:pos="1960"/>
        </w:tabs>
        <w:ind w:left="2160" w:hanging="740"/>
        <w:rPr>
          <w:color w:val="000000" w:themeColor="text1"/>
        </w:rPr>
      </w:pPr>
      <w:r w:rsidRPr="00785A63">
        <w:rPr>
          <w:color w:val="000000" w:themeColor="text1"/>
        </w:rPr>
        <w:t xml:space="preserve">involving defalcation, misfeasance or misconduct towards the Company, its subsidiaries and its members (s.214(1)(b)); </w:t>
      </w:r>
    </w:p>
    <w:p w14:paraId="6BB09374" w14:textId="77777777" w:rsidR="00822125" w:rsidRPr="00785A63" w:rsidRDefault="00822125" w:rsidP="005C174D">
      <w:pPr>
        <w:pStyle w:val="points"/>
        <w:numPr>
          <w:ilvl w:val="0"/>
          <w:numId w:val="25"/>
        </w:numPr>
        <w:tabs>
          <w:tab w:val="clear" w:pos="1400"/>
          <w:tab w:val="clear" w:pos="1960"/>
        </w:tabs>
        <w:ind w:left="2160" w:hanging="740"/>
        <w:rPr>
          <w:color w:val="000000" w:themeColor="text1"/>
        </w:rPr>
      </w:pPr>
      <w:r w:rsidRPr="00785A63">
        <w:rPr>
          <w:color w:val="000000" w:themeColor="text1"/>
        </w:rPr>
        <w:t>resulting in its members not having been given all the information with respect to its business or affairs that they might reasonably expect (s.214(1)(c)); and/or</w:t>
      </w:r>
    </w:p>
    <w:p w14:paraId="7015AA2C" w14:textId="77777777" w:rsidR="00822125" w:rsidRPr="00785A63" w:rsidRDefault="00822125" w:rsidP="005C174D">
      <w:pPr>
        <w:pStyle w:val="points"/>
        <w:numPr>
          <w:ilvl w:val="0"/>
          <w:numId w:val="25"/>
        </w:numPr>
        <w:tabs>
          <w:tab w:val="clear" w:pos="1400"/>
          <w:tab w:val="clear" w:pos="1960"/>
        </w:tabs>
        <w:ind w:left="2160" w:hanging="740"/>
        <w:rPr>
          <w:color w:val="000000" w:themeColor="text1"/>
        </w:rPr>
      </w:pPr>
      <w:r w:rsidRPr="00785A63">
        <w:rPr>
          <w:color w:val="000000" w:themeColor="text1"/>
        </w:rPr>
        <w:t>which was unfairly prejudicial to its members or part of its members (s.214(1)(d)).</w:t>
      </w:r>
      <w:r w:rsidRPr="00785A63">
        <w:rPr>
          <w:rStyle w:val="FootnoteReference"/>
          <w:color w:val="000000" w:themeColor="text1"/>
        </w:rPr>
        <w:footnoteReference w:id="28"/>
      </w:r>
      <w:r w:rsidRPr="00785A63">
        <w:rPr>
          <w:color w:val="000000" w:themeColor="text1"/>
        </w:rPr>
        <w:t xml:space="preserve"> </w:t>
      </w:r>
    </w:p>
    <w:p w14:paraId="078548A7" w14:textId="49BC8E3E" w:rsidR="00CD2FDD" w:rsidRDefault="008F6699">
      <w:pPr>
        <w:pStyle w:val="Final"/>
        <w:numPr>
          <w:ilvl w:val="0"/>
          <w:numId w:val="2"/>
        </w:numPr>
        <w:tabs>
          <w:tab w:val="clear" w:pos="720"/>
          <w:tab w:val="num" w:pos="142"/>
        </w:tabs>
        <w:ind w:left="0" w:firstLine="0"/>
        <w:rPr>
          <w:color w:val="000000" w:themeColor="text1"/>
        </w:rPr>
      </w:pPr>
      <w:r>
        <w:rPr>
          <w:color w:val="000000" w:themeColor="text1"/>
        </w:rPr>
        <w:t xml:space="preserve">Ms Liao’s in her Opening and Closing </w:t>
      </w:r>
      <w:r w:rsidR="00F56598">
        <w:rPr>
          <w:color w:val="000000" w:themeColor="text1"/>
        </w:rPr>
        <w:t>ma</w:t>
      </w:r>
      <w:r w:rsidR="00457858">
        <w:rPr>
          <w:color w:val="000000" w:themeColor="text1"/>
        </w:rPr>
        <w:t>d</w:t>
      </w:r>
      <w:r w:rsidR="00F56598">
        <w:rPr>
          <w:color w:val="000000" w:themeColor="text1"/>
        </w:rPr>
        <w:t xml:space="preserve">e much </w:t>
      </w:r>
      <w:r>
        <w:rPr>
          <w:color w:val="000000" w:themeColor="text1"/>
        </w:rPr>
        <w:t>submission</w:t>
      </w:r>
      <w:r w:rsidR="00F56598">
        <w:rPr>
          <w:color w:val="000000" w:themeColor="text1"/>
        </w:rPr>
        <w:t xml:space="preserve"> on the </w:t>
      </w:r>
      <w:r w:rsidR="003559CA">
        <w:rPr>
          <w:color w:val="000000" w:themeColor="text1"/>
        </w:rPr>
        <w:t xml:space="preserve">SFC’s </w:t>
      </w:r>
      <w:r w:rsidR="00425EDC">
        <w:rPr>
          <w:color w:val="000000" w:themeColor="text1"/>
        </w:rPr>
        <w:t xml:space="preserve">pleaded </w:t>
      </w:r>
      <w:r w:rsidR="003559CA">
        <w:rPr>
          <w:color w:val="000000" w:themeColor="text1"/>
        </w:rPr>
        <w:t xml:space="preserve">case </w:t>
      </w:r>
      <w:r w:rsidR="00F56598">
        <w:rPr>
          <w:color w:val="000000" w:themeColor="text1"/>
        </w:rPr>
        <w:t xml:space="preserve">and </w:t>
      </w:r>
      <w:r w:rsidR="00425EDC">
        <w:rPr>
          <w:color w:val="000000" w:themeColor="text1"/>
        </w:rPr>
        <w:t xml:space="preserve">the </w:t>
      </w:r>
      <w:r w:rsidR="00F56598">
        <w:rPr>
          <w:color w:val="000000" w:themeColor="text1"/>
        </w:rPr>
        <w:t xml:space="preserve">evidence </w:t>
      </w:r>
      <w:r w:rsidR="00425EDC">
        <w:rPr>
          <w:color w:val="000000" w:themeColor="text1"/>
        </w:rPr>
        <w:t xml:space="preserve">adduced </w:t>
      </w:r>
      <w:r w:rsidR="00F56598">
        <w:rPr>
          <w:color w:val="000000" w:themeColor="text1"/>
        </w:rPr>
        <w:t>and argue</w:t>
      </w:r>
      <w:r w:rsidR="001318E3">
        <w:rPr>
          <w:color w:val="000000" w:themeColor="text1"/>
        </w:rPr>
        <w:t>d</w:t>
      </w:r>
      <w:r w:rsidR="00F56598">
        <w:rPr>
          <w:color w:val="000000" w:themeColor="text1"/>
        </w:rPr>
        <w:t xml:space="preserve"> that the</w:t>
      </w:r>
      <w:r w:rsidR="001A3EA0">
        <w:rPr>
          <w:color w:val="000000" w:themeColor="text1"/>
        </w:rPr>
        <w:t>y f</w:t>
      </w:r>
      <w:r w:rsidR="001318E3">
        <w:rPr>
          <w:color w:val="000000" w:themeColor="text1"/>
        </w:rPr>
        <w:t>e</w:t>
      </w:r>
      <w:r w:rsidR="001A3EA0">
        <w:rPr>
          <w:color w:val="000000" w:themeColor="text1"/>
        </w:rPr>
        <w:t xml:space="preserve">ll short of the standard and cogency </w:t>
      </w:r>
      <w:r w:rsidR="00B60946">
        <w:rPr>
          <w:color w:val="000000" w:themeColor="text1"/>
        </w:rPr>
        <w:t>commensurate with the serious nature of the allegations</w:t>
      </w:r>
      <w:r w:rsidR="00AE6CFF">
        <w:rPr>
          <w:color w:val="000000" w:themeColor="text1"/>
        </w:rPr>
        <w:t xml:space="preserve">.  </w:t>
      </w:r>
      <w:r w:rsidR="006276D3">
        <w:rPr>
          <w:color w:val="000000" w:themeColor="text1"/>
        </w:rPr>
        <w:t xml:space="preserve">While it is correct that the burden is on the SFC to prove its allegations </w:t>
      </w:r>
      <w:r w:rsidR="00DE5686">
        <w:rPr>
          <w:color w:val="000000" w:themeColor="text1"/>
        </w:rPr>
        <w:t>with cogent evidence,</w:t>
      </w:r>
      <w:r w:rsidR="00247D73">
        <w:rPr>
          <w:color w:val="000000" w:themeColor="text1"/>
        </w:rPr>
        <w:t xml:space="preserve"> </w:t>
      </w:r>
      <w:r w:rsidR="00C76CFB">
        <w:rPr>
          <w:color w:val="000000" w:themeColor="text1"/>
        </w:rPr>
        <w:t xml:space="preserve">one </w:t>
      </w:r>
      <w:r w:rsidR="00FD41D3">
        <w:rPr>
          <w:color w:val="000000" w:themeColor="text1"/>
        </w:rPr>
        <w:t xml:space="preserve">cannot </w:t>
      </w:r>
      <w:r w:rsidR="00C76CFB">
        <w:rPr>
          <w:color w:val="000000" w:themeColor="text1"/>
        </w:rPr>
        <w:t>lose sight of the fact that</w:t>
      </w:r>
      <w:r w:rsidR="00085AD0">
        <w:rPr>
          <w:color w:val="000000" w:themeColor="text1"/>
        </w:rPr>
        <w:t xml:space="preserve"> </w:t>
      </w:r>
      <w:r w:rsidR="00247D73">
        <w:rPr>
          <w:color w:val="000000" w:themeColor="text1"/>
        </w:rPr>
        <w:t xml:space="preserve">under cross-examination, Mr Wen </w:t>
      </w:r>
      <w:r w:rsidR="00654384">
        <w:rPr>
          <w:color w:val="000000" w:themeColor="text1"/>
        </w:rPr>
        <w:t>no longer dispute</w:t>
      </w:r>
      <w:r w:rsidR="001318E3">
        <w:rPr>
          <w:color w:val="000000" w:themeColor="text1"/>
        </w:rPr>
        <w:t>d</w:t>
      </w:r>
      <w:r w:rsidR="00654384">
        <w:rPr>
          <w:color w:val="000000" w:themeColor="text1"/>
        </w:rPr>
        <w:t xml:space="preserve"> the existence of </w:t>
      </w:r>
      <w:r w:rsidR="00247D73">
        <w:rPr>
          <w:color w:val="000000" w:themeColor="text1"/>
        </w:rPr>
        <w:t xml:space="preserve">the </w:t>
      </w:r>
      <w:r w:rsidR="00A85309">
        <w:rPr>
          <w:color w:val="000000" w:themeColor="text1"/>
        </w:rPr>
        <w:t>“</w:t>
      </w:r>
      <w:r w:rsidR="00247D73">
        <w:rPr>
          <w:color w:val="000000" w:themeColor="text1"/>
        </w:rPr>
        <w:t>2012 Discrepancy</w:t>
      </w:r>
      <w:r w:rsidR="00A85309">
        <w:rPr>
          <w:color w:val="000000" w:themeColor="text1"/>
        </w:rPr>
        <w:t xml:space="preserve">” (as defined in </w:t>
      </w:r>
      <w:r w:rsidR="00A85309" w:rsidRPr="00096B2B">
        <w:rPr>
          <w:color w:val="000000" w:themeColor="text1"/>
        </w:rPr>
        <w:t>§</w:t>
      </w:r>
      <w:r w:rsidR="00A3037E" w:rsidRPr="00096B2B">
        <w:rPr>
          <w:color w:val="000000" w:themeColor="text1"/>
        </w:rPr>
        <w:t>47(1)</w:t>
      </w:r>
      <w:r w:rsidR="00A85309">
        <w:rPr>
          <w:color w:val="000000" w:themeColor="text1"/>
        </w:rPr>
        <w:t xml:space="preserve"> </w:t>
      </w:r>
      <w:r w:rsidR="00A85309">
        <w:t>below)</w:t>
      </w:r>
      <w:r w:rsidR="00247D73">
        <w:rPr>
          <w:color w:val="000000" w:themeColor="text1"/>
        </w:rPr>
        <w:t xml:space="preserve">, the </w:t>
      </w:r>
      <w:r w:rsidR="00A85309">
        <w:rPr>
          <w:color w:val="000000" w:themeColor="text1"/>
        </w:rPr>
        <w:t>“</w:t>
      </w:r>
      <w:r w:rsidR="00247D73">
        <w:rPr>
          <w:color w:val="000000" w:themeColor="text1"/>
        </w:rPr>
        <w:t>2013 Discrepancy</w:t>
      </w:r>
      <w:r w:rsidR="00A85309">
        <w:rPr>
          <w:color w:val="000000" w:themeColor="text1"/>
        </w:rPr>
        <w:t xml:space="preserve">” (as defined in </w:t>
      </w:r>
      <w:r w:rsidR="00A85309" w:rsidRPr="00096B2B">
        <w:rPr>
          <w:color w:val="000000" w:themeColor="text1"/>
        </w:rPr>
        <w:t>§</w:t>
      </w:r>
      <w:r w:rsidR="00A3037E" w:rsidRPr="00096B2B">
        <w:rPr>
          <w:color w:val="000000" w:themeColor="text1"/>
        </w:rPr>
        <w:t>47(2)</w:t>
      </w:r>
      <w:r w:rsidR="00A85309">
        <w:rPr>
          <w:color w:val="000000" w:themeColor="text1"/>
        </w:rPr>
        <w:t xml:space="preserve"> below)</w:t>
      </w:r>
      <w:r w:rsidR="00247D73">
        <w:rPr>
          <w:color w:val="000000" w:themeColor="text1"/>
        </w:rPr>
        <w:t xml:space="preserve"> </w:t>
      </w:r>
      <w:r w:rsidR="001D00AE">
        <w:rPr>
          <w:color w:val="000000" w:themeColor="text1"/>
        </w:rPr>
        <w:t>(together “</w:t>
      </w:r>
      <w:r w:rsidR="001D00AE" w:rsidRPr="005A3F53">
        <w:rPr>
          <w:b/>
          <w:bCs/>
          <w:color w:val="000000" w:themeColor="text1"/>
        </w:rPr>
        <w:t>Discrepancies</w:t>
      </w:r>
      <w:r w:rsidR="001D00AE">
        <w:rPr>
          <w:color w:val="000000" w:themeColor="text1"/>
        </w:rPr>
        <w:t xml:space="preserve">”) </w:t>
      </w:r>
      <w:r w:rsidR="00247D73">
        <w:rPr>
          <w:color w:val="000000" w:themeColor="text1"/>
        </w:rPr>
        <w:t>and the 2015 Cash Discrepancy</w:t>
      </w:r>
      <w:r w:rsidR="00AE6CFF">
        <w:rPr>
          <w:color w:val="000000" w:themeColor="text1"/>
        </w:rPr>
        <w:t xml:space="preserve">.  </w:t>
      </w:r>
      <w:r w:rsidR="00654384">
        <w:rPr>
          <w:color w:val="000000" w:themeColor="text1"/>
        </w:rPr>
        <w:t>Rather, his case is</w:t>
      </w:r>
      <w:r w:rsidR="005411D9">
        <w:rPr>
          <w:color w:val="000000" w:themeColor="text1"/>
        </w:rPr>
        <w:t xml:space="preserve"> </w:t>
      </w:r>
      <w:r w:rsidR="00654384">
        <w:rPr>
          <w:color w:val="000000" w:themeColor="text1"/>
        </w:rPr>
        <w:t>that</w:t>
      </w:r>
      <w:r w:rsidR="00CD2FDD">
        <w:rPr>
          <w:color w:val="000000" w:themeColor="text1"/>
        </w:rPr>
        <w:t>:</w:t>
      </w:r>
    </w:p>
    <w:p w14:paraId="6974FC9E" w14:textId="77777777" w:rsidR="00CD2FDD" w:rsidRDefault="00E82B8B" w:rsidP="005C174D">
      <w:pPr>
        <w:pStyle w:val="points"/>
        <w:numPr>
          <w:ilvl w:val="0"/>
          <w:numId w:val="26"/>
        </w:numPr>
        <w:tabs>
          <w:tab w:val="clear" w:pos="1400"/>
        </w:tabs>
      </w:pPr>
      <w:r>
        <w:t>he was not involved in and had no knowledge of the Discrepanc</w:t>
      </w:r>
      <w:r w:rsidR="00D61D07">
        <w:t>i</w:t>
      </w:r>
      <w:r>
        <w:t>es</w:t>
      </w:r>
      <w:r w:rsidR="00CD2FDD">
        <w:t>;</w:t>
      </w:r>
    </w:p>
    <w:p w14:paraId="6646CD00" w14:textId="27C1BEB8" w:rsidR="00CD2FDD" w:rsidRDefault="00CD2FDD" w:rsidP="005C174D">
      <w:pPr>
        <w:pStyle w:val="points"/>
        <w:numPr>
          <w:ilvl w:val="0"/>
          <w:numId w:val="26"/>
        </w:numPr>
        <w:tabs>
          <w:tab w:val="clear" w:pos="1400"/>
        </w:tabs>
        <w:rPr>
          <w:color w:val="000000" w:themeColor="text1"/>
        </w:rPr>
      </w:pPr>
      <w:r>
        <w:rPr>
          <w:color w:val="000000" w:themeColor="text1"/>
        </w:rPr>
        <w:lastRenderedPageBreak/>
        <w:t>h</w:t>
      </w:r>
      <w:r w:rsidR="00B6013D">
        <w:rPr>
          <w:color w:val="000000" w:themeColor="text1"/>
        </w:rPr>
        <w:t xml:space="preserve">e did not deliberately </w:t>
      </w:r>
      <w:proofErr w:type="gramStart"/>
      <w:r w:rsidR="00B6013D">
        <w:rPr>
          <w:color w:val="000000" w:themeColor="text1"/>
        </w:rPr>
        <w:t>provided</w:t>
      </w:r>
      <w:proofErr w:type="gramEnd"/>
      <w:r w:rsidR="00B6013D">
        <w:rPr>
          <w:color w:val="000000" w:themeColor="text1"/>
        </w:rPr>
        <w:t xml:space="preserve"> a false explanation for the 2015 Cash Discrepancy</w:t>
      </w:r>
      <w:r>
        <w:rPr>
          <w:color w:val="000000" w:themeColor="text1"/>
        </w:rPr>
        <w:t xml:space="preserve">; </w:t>
      </w:r>
      <w:r w:rsidR="00C35014">
        <w:rPr>
          <w:color w:val="000000" w:themeColor="text1"/>
        </w:rPr>
        <w:t>and</w:t>
      </w:r>
    </w:p>
    <w:p w14:paraId="5206EA04" w14:textId="79A15D4D" w:rsidR="00413370" w:rsidRDefault="0013685A" w:rsidP="005C174D">
      <w:pPr>
        <w:pStyle w:val="points"/>
        <w:numPr>
          <w:ilvl w:val="0"/>
          <w:numId w:val="26"/>
        </w:numPr>
        <w:tabs>
          <w:tab w:val="clear" w:pos="1400"/>
        </w:tabs>
        <w:rPr>
          <w:color w:val="000000" w:themeColor="text1"/>
        </w:rPr>
      </w:pPr>
      <w:r>
        <w:rPr>
          <w:color w:val="000000" w:themeColor="text1"/>
        </w:rPr>
        <w:t xml:space="preserve">he </w:t>
      </w:r>
      <w:r w:rsidR="00DF4478">
        <w:rPr>
          <w:color w:val="000000" w:themeColor="text1"/>
        </w:rPr>
        <w:t xml:space="preserve">acted honestly and reasonably by taking </w:t>
      </w:r>
      <w:r>
        <w:rPr>
          <w:color w:val="000000" w:themeColor="text1"/>
        </w:rPr>
        <w:t xml:space="preserve">reasonable steps to investigate the Discrepancies </w:t>
      </w:r>
      <w:r w:rsidR="00C74865">
        <w:rPr>
          <w:color w:val="000000" w:themeColor="text1"/>
        </w:rPr>
        <w:t xml:space="preserve">and the 2015 Cash Discrepancy </w:t>
      </w:r>
      <w:r w:rsidR="00413370">
        <w:rPr>
          <w:color w:val="000000" w:themeColor="text1"/>
        </w:rPr>
        <w:t xml:space="preserve">after they had been uncovered including appointing PKF and RSM to investigate </w:t>
      </w:r>
      <w:r w:rsidR="00C74865">
        <w:rPr>
          <w:color w:val="000000" w:themeColor="text1"/>
        </w:rPr>
        <w:t>them</w:t>
      </w:r>
      <w:r w:rsidR="00C35014">
        <w:rPr>
          <w:color w:val="000000" w:themeColor="text1"/>
        </w:rPr>
        <w:t>.</w:t>
      </w:r>
    </w:p>
    <w:p w14:paraId="47D3FDC7" w14:textId="0ACBCE9D" w:rsidR="000F3FEF" w:rsidRPr="00CC24C9" w:rsidRDefault="000F3FEF" w:rsidP="008362C9">
      <w:pPr>
        <w:pStyle w:val="Final"/>
        <w:numPr>
          <w:ilvl w:val="0"/>
          <w:numId w:val="2"/>
        </w:numPr>
        <w:tabs>
          <w:tab w:val="clear" w:pos="720"/>
          <w:tab w:val="num" w:pos="142"/>
        </w:tabs>
        <w:ind w:left="0" w:firstLine="0"/>
        <w:rPr>
          <w:color w:val="000000" w:themeColor="text1"/>
        </w:rPr>
      </w:pPr>
      <w:r w:rsidRPr="00CC24C9">
        <w:rPr>
          <w:color w:val="000000" w:themeColor="text1"/>
        </w:rPr>
        <w:t xml:space="preserve">As </w:t>
      </w:r>
      <w:r w:rsidR="003740BD">
        <w:rPr>
          <w:color w:val="000000" w:themeColor="text1"/>
        </w:rPr>
        <w:t>for</w:t>
      </w:r>
      <w:r w:rsidRPr="00CC24C9">
        <w:rPr>
          <w:color w:val="000000" w:themeColor="text1"/>
        </w:rPr>
        <w:t xml:space="preserve"> relief, </w:t>
      </w:r>
      <w:r w:rsidR="003740BD">
        <w:rPr>
          <w:color w:val="000000" w:themeColor="text1"/>
        </w:rPr>
        <w:t>Ms Liao argue</w:t>
      </w:r>
      <w:r w:rsidR="00F9498C">
        <w:rPr>
          <w:color w:val="000000" w:themeColor="text1"/>
        </w:rPr>
        <w:t>d</w:t>
      </w:r>
      <w:r w:rsidR="003740BD">
        <w:rPr>
          <w:color w:val="000000" w:themeColor="text1"/>
        </w:rPr>
        <w:t xml:space="preserve"> </w:t>
      </w:r>
      <w:r w:rsidRPr="00CC24C9">
        <w:rPr>
          <w:color w:val="000000" w:themeColor="text1"/>
        </w:rPr>
        <w:t>that:</w:t>
      </w:r>
    </w:p>
    <w:p w14:paraId="4FE3C338" w14:textId="683E0093" w:rsidR="00F120FB" w:rsidRPr="00CC24C9" w:rsidRDefault="00F120FB" w:rsidP="005C174D">
      <w:pPr>
        <w:pStyle w:val="points"/>
        <w:numPr>
          <w:ilvl w:val="0"/>
          <w:numId w:val="27"/>
        </w:numPr>
        <w:tabs>
          <w:tab w:val="clear" w:pos="1400"/>
        </w:tabs>
      </w:pPr>
      <w:r w:rsidRPr="00CC24C9">
        <w:t>N</w:t>
      </w:r>
      <w:r w:rsidR="003722C7" w:rsidRPr="00CC24C9">
        <w:t xml:space="preserve">o disqualification order should be </w:t>
      </w:r>
      <w:r w:rsidR="002C52A7" w:rsidRPr="00CC24C9">
        <w:t xml:space="preserve">made against </w:t>
      </w:r>
      <w:r w:rsidR="004521A7">
        <w:t xml:space="preserve">Mr Wen </w:t>
      </w:r>
      <w:r w:rsidR="001E6D60" w:rsidRPr="00CC24C9">
        <w:t>as he did not act in breach of duties owed to the Company</w:t>
      </w:r>
      <w:r w:rsidRPr="00CC24C9">
        <w:t>;</w:t>
      </w:r>
    </w:p>
    <w:p w14:paraId="35942467" w14:textId="31496AE5" w:rsidR="0041354A" w:rsidRPr="00CC24C9" w:rsidRDefault="002C52A7" w:rsidP="005C174D">
      <w:pPr>
        <w:pStyle w:val="points"/>
        <w:numPr>
          <w:ilvl w:val="0"/>
          <w:numId w:val="27"/>
        </w:numPr>
        <w:tabs>
          <w:tab w:val="clear" w:pos="1400"/>
        </w:tabs>
        <w:rPr>
          <w:color w:val="000000" w:themeColor="text1"/>
        </w:rPr>
      </w:pPr>
      <w:r w:rsidRPr="00CC24C9">
        <w:rPr>
          <w:color w:val="000000" w:themeColor="text1"/>
        </w:rPr>
        <w:t xml:space="preserve">Even if the court finds that </w:t>
      </w:r>
      <w:r w:rsidR="00D2594E" w:rsidRPr="00CC24C9">
        <w:rPr>
          <w:color w:val="000000" w:themeColor="text1"/>
        </w:rPr>
        <w:t xml:space="preserve">Mr Wen </w:t>
      </w:r>
      <w:r w:rsidR="00C5655B" w:rsidRPr="00CC24C9">
        <w:rPr>
          <w:color w:val="000000" w:themeColor="text1"/>
        </w:rPr>
        <w:t xml:space="preserve">was negligent in allowing the Schemes to take place or that he </w:t>
      </w:r>
      <w:r w:rsidRPr="00CC24C9">
        <w:rPr>
          <w:color w:val="000000" w:themeColor="text1"/>
        </w:rPr>
        <w:t xml:space="preserve">participated in the Schemes, </w:t>
      </w:r>
      <w:r w:rsidR="00D2594E" w:rsidRPr="00CC24C9">
        <w:rPr>
          <w:color w:val="000000" w:themeColor="text1"/>
        </w:rPr>
        <w:t xml:space="preserve">the disqualification should be within the middle bracket of 6-10 years </w:t>
      </w:r>
      <w:r w:rsidR="00690A84">
        <w:rPr>
          <w:color w:val="000000" w:themeColor="text1"/>
        </w:rPr>
        <w:t xml:space="preserve">given that </w:t>
      </w:r>
      <w:r w:rsidRPr="00CC24C9">
        <w:rPr>
          <w:color w:val="000000" w:themeColor="text1"/>
        </w:rPr>
        <w:t xml:space="preserve">no financial loss has been </w:t>
      </w:r>
      <w:r w:rsidR="00D2594E" w:rsidRPr="00CC24C9">
        <w:rPr>
          <w:color w:val="000000" w:themeColor="text1"/>
        </w:rPr>
        <w:t>suffered by the Company</w:t>
      </w:r>
      <w:r w:rsidR="00F120FB" w:rsidRPr="00CC24C9">
        <w:rPr>
          <w:color w:val="000000" w:themeColor="text1"/>
        </w:rPr>
        <w:t xml:space="preserve"> and Mr Wen did not derive any benefit from the Schemes</w:t>
      </w:r>
      <w:r w:rsidR="00CD59EE">
        <w:rPr>
          <w:color w:val="000000" w:themeColor="text1"/>
        </w:rPr>
        <w:t>; and</w:t>
      </w:r>
    </w:p>
    <w:p w14:paraId="2AD46866" w14:textId="2857CF9E" w:rsidR="00822125" w:rsidRPr="00CC24C9" w:rsidRDefault="000720D3" w:rsidP="005C174D">
      <w:pPr>
        <w:pStyle w:val="points"/>
        <w:numPr>
          <w:ilvl w:val="0"/>
          <w:numId w:val="27"/>
        </w:numPr>
        <w:tabs>
          <w:tab w:val="clear" w:pos="1400"/>
        </w:tabs>
        <w:rPr>
          <w:color w:val="000000" w:themeColor="text1"/>
        </w:rPr>
      </w:pPr>
      <w:r w:rsidRPr="00CC24C9">
        <w:rPr>
          <w:color w:val="000000" w:themeColor="text1"/>
        </w:rPr>
        <w:t xml:space="preserve">There is </w:t>
      </w:r>
      <w:r w:rsidRPr="008362C9">
        <w:t>no</w:t>
      </w:r>
      <w:r w:rsidRPr="00CC24C9">
        <w:rPr>
          <w:color w:val="000000" w:themeColor="text1"/>
        </w:rPr>
        <w:t xml:space="preserve"> justification for the court to order Mr Wen to buy out the shares </w:t>
      </w:r>
      <w:r w:rsidR="00F9498C">
        <w:rPr>
          <w:color w:val="000000" w:themeColor="text1"/>
        </w:rPr>
        <w:t xml:space="preserve">held by </w:t>
      </w:r>
      <w:r w:rsidRPr="00CC24C9">
        <w:rPr>
          <w:color w:val="000000" w:themeColor="text1"/>
        </w:rPr>
        <w:t xml:space="preserve">other </w:t>
      </w:r>
      <w:r w:rsidR="00913129">
        <w:rPr>
          <w:color w:val="000000" w:themeColor="text1"/>
        </w:rPr>
        <w:t>members</w:t>
      </w:r>
      <w:r w:rsidRPr="00CC24C9">
        <w:rPr>
          <w:color w:val="000000" w:themeColor="text1"/>
        </w:rPr>
        <w:t>.</w:t>
      </w:r>
    </w:p>
    <w:p w14:paraId="31B5DFBB" w14:textId="6234820B" w:rsidR="00822125" w:rsidRPr="00501E0C" w:rsidRDefault="00CC24C9" w:rsidP="008362C9">
      <w:pPr>
        <w:pStyle w:val="Final"/>
        <w:numPr>
          <w:ilvl w:val="0"/>
          <w:numId w:val="2"/>
        </w:numPr>
        <w:tabs>
          <w:tab w:val="clear" w:pos="720"/>
          <w:tab w:val="num" w:pos="142"/>
        </w:tabs>
        <w:ind w:left="0" w:firstLine="0"/>
        <w:rPr>
          <w:color w:val="000000" w:themeColor="text1"/>
        </w:rPr>
      </w:pPr>
      <w:r w:rsidRPr="00501E0C">
        <w:rPr>
          <w:color w:val="000000" w:themeColor="text1"/>
        </w:rPr>
        <w:t>Accordingly</w:t>
      </w:r>
      <w:r w:rsidR="00D53B76">
        <w:rPr>
          <w:color w:val="000000" w:themeColor="text1"/>
        </w:rPr>
        <w:t>,</w:t>
      </w:r>
      <w:r w:rsidRPr="00501E0C">
        <w:rPr>
          <w:color w:val="000000" w:themeColor="text1"/>
        </w:rPr>
        <w:t xml:space="preserve"> the issues which </w:t>
      </w:r>
      <w:r w:rsidR="001D6CE7">
        <w:rPr>
          <w:color w:val="000000" w:themeColor="text1"/>
        </w:rPr>
        <w:t xml:space="preserve">require determination by the </w:t>
      </w:r>
      <w:r w:rsidRPr="00501E0C">
        <w:rPr>
          <w:color w:val="000000" w:themeColor="text1"/>
        </w:rPr>
        <w:t>court are as follow</w:t>
      </w:r>
      <w:r w:rsidR="008A1BA3" w:rsidRPr="00501E0C">
        <w:rPr>
          <w:color w:val="000000" w:themeColor="text1"/>
        </w:rPr>
        <w:t>s:</w:t>
      </w:r>
    </w:p>
    <w:p w14:paraId="6399EE78" w14:textId="60D06BEA" w:rsidR="00EE3F77" w:rsidRPr="00501E0C" w:rsidRDefault="004E55E5" w:rsidP="005C174D">
      <w:pPr>
        <w:pStyle w:val="points"/>
        <w:numPr>
          <w:ilvl w:val="0"/>
          <w:numId w:val="28"/>
        </w:numPr>
        <w:tabs>
          <w:tab w:val="clear" w:pos="1400"/>
        </w:tabs>
      </w:pPr>
      <w:r w:rsidRPr="00501E0C">
        <w:t xml:space="preserve">whether the financial position of the Group </w:t>
      </w:r>
      <w:r w:rsidR="002F2C63">
        <w:t xml:space="preserve">in the 2012 AFS and 2013 AFS </w:t>
      </w:r>
      <w:r w:rsidRPr="00501E0C">
        <w:t xml:space="preserve">had been inflated as a result of the </w:t>
      </w:r>
      <w:r w:rsidR="00EE5198">
        <w:t xml:space="preserve">Falsification </w:t>
      </w:r>
      <w:r w:rsidRPr="00501E0C">
        <w:t>Scheme</w:t>
      </w:r>
      <w:r w:rsidR="00EE5198">
        <w:t xml:space="preserve"> and/or </w:t>
      </w:r>
      <w:r w:rsidR="000437CD">
        <w:t xml:space="preserve">the </w:t>
      </w:r>
      <w:r w:rsidR="00EE5198">
        <w:t>Fabrication Scheme</w:t>
      </w:r>
      <w:r w:rsidR="000F0572">
        <w:t xml:space="preserve"> (</w:t>
      </w:r>
      <w:r w:rsidR="000F0572" w:rsidRPr="005F179D">
        <w:rPr>
          <w:u w:val="single"/>
        </w:rPr>
        <w:t>1</w:t>
      </w:r>
      <w:r w:rsidR="000F0572" w:rsidRPr="005F179D">
        <w:rPr>
          <w:u w:val="single"/>
          <w:vertAlign w:val="superscript"/>
        </w:rPr>
        <w:t>st</w:t>
      </w:r>
      <w:r w:rsidR="000F0572" w:rsidRPr="005F179D">
        <w:rPr>
          <w:u w:val="single"/>
        </w:rPr>
        <w:t xml:space="preserve"> </w:t>
      </w:r>
      <w:r w:rsidR="00142C93" w:rsidRPr="005F179D">
        <w:rPr>
          <w:u w:val="single"/>
        </w:rPr>
        <w:t>Issue</w:t>
      </w:r>
      <w:r w:rsidR="00142C93">
        <w:t>)</w:t>
      </w:r>
      <w:r w:rsidRPr="00501E0C">
        <w:t>;</w:t>
      </w:r>
    </w:p>
    <w:p w14:paraId="506A0152" w14:textId="6E351398" w:rsidR="00F302DD" w:rsidRDefault="00D45263" w:rsidP="005C174D">
      <w:pPr>
        <w:pStyle w:val="points"/>
        <w:numPr>
          <w:ilvl w:val="0"/>
          <w:numId w:val="28"/>
        </w:numPr>
        <w:tabs>
          <w:tab w:val="clear" w:pos="1400"/>
        </w:tabs>
        <w:rPr>
          <w:color w:val="000000" w:themeColor="text1"/>
        </w:rPr>
      </w:pPr>
      <w:r w:rsidRPr="008362C9">
        <w:lastRenderedPageBreak/>
        <w:t>whether</w:t>
      </w:r>
      <w:r>
        <w:rPr>
          <w:color w:val="000000" w:themeColor="text1"/>
        </w:rPr>
        <w:t xml:space="preserve"> Mr Wen knowingly caused, directed and/or orchestrated the </w:t>
      </w:r>
      <w:r w:rsidR="000437CD">
        <w:rPr>
          <w:color w:val="000000" w:themeColor="text1"/>
        </w:rPr>
        <w:t xml:space="preserve">Falsification </w:t>
      </w:r>
      <w:r w:rsidR="000437CD" w:rsidRPr="00501E0C">
        <w:rPr>
          <w:color w:val="000000" w:themeColor="text1"/>
        </w:rPr>
        <w:t>Scheme</w:t>
      </w:r>
      <w:r w:rsidR="000437CD">
        <w:rPr>
          <w:color w:val="000000" w:themeColor="text1"/>
        </w:rPr>
        <w:t xml:space="preserve"> and/or the Fabrication Scheme</w:t>
      </w:r>
      <w:r w:rsidR="002474A6">
        <w:rPr>
          <w:color w:val="000000" w:themeColor="text1"/>
        </w:rPr>
        <w:t xml:space="preserve"> (</w:t>
      </w:r>
      <w:r w:rsidR="002474A6" w:rsidRPr="005F179D">
        <w:rPr>
          <w:color w:val="000000" w:themeColor="text1"/>
          <w:u w:val="single"/>
        </w:rPr>
        <w:t>2</w:t>
      </w:r>
      <w:r w:rsidR="002474A6" w:rsidRPr="005F179D">
        <w:rPr>
          <w:color w:val="000000" w:themeColor="text1"/>
          <w:u w:val="single"/>
          <w:vertAlign w:val="superscript"/>
        </w:rPr>
        <w:t>nd</w:t>
      </w:r>
      <w:r w:rsidR="002474A6" w:rsidRPr="005F179D">
        <w:rPr>
          <w:color w:val="000000" w:themeColor="text1"/>
          <w:u w:val="single"/>
        </w:rPr>
        <w:t xml:space="preserve"> Issue</w:t>
      </w:r>
      <w:r w:rsidR="002474A6">
        <w:rPr>
          <w:color w:val="000000" w:themeColor="text1"/>
        </w:rPr>
        <w:t>)</w:t>
      </w:r>
      <w:r w:rsidR="00F302DD">
        <w:rPr>
          <w:color w:val="000000" w:themeColor="text1"/>
        </w:rPr>
        <w:t>;</w:t>
      </w:r>
    </w:p>
    <w:p w14:paraId="23119BBD" w14:textId="569BAF7E" w:rsidR="004E55E5" w:rsidRDefault="00F302DD" w:rsidP="005C174D">
      <w:pPr>
        <w:pStyle w:val="points"/>
        <w:numPr>
          <w:ilvl w:val="0"/>
          <w:numId w:val="28"/>
        </w:numPr>
        <w:tabs>
          <w:tab w:val="clear" w:pos="1400"/>
        </w:tabs>
        <w:rPr>
          <w:color w:val="000000" w:themeColor="text1"/>
        </w:rPr>
      </w:pPr>
      <w:r w:rsidRPr="008362C9">
        <w:t>alternatively</w:t>
      </w:r>
      <w:r>
        <w:rPr>
          <w:color w:val="000000" w:themeColor="text1"/>
        </w:rPr>
        <w:t xml:space="preserve">, whether Mr Wen took a blind eye to the Schemes </w:t>
      </w:r>
      <w:r w:rsidR="00D91D58">
        <w:rPr>
          <w:color w:val="000000" w:themeColor="text1"/>
        </w:rPr>
        <w:t>(</w:t>
      </w:r>
      <w:r w:rsidR="00D91D58" w:rsidRPr="005F179D">
        <w:rPr>
          <w:color w:val="000000" w:themeColor="text1"/>
          <w:u w:val="single"/>
        </w:rPr>
        <w:t>3</w:t>
      </w:r>
      <w:r w:rsidR="00D91D58" w:rsidRPr="005F179D">
        <w:rPr>
          <w:color w:val="000000" w:themeColor="text1"/>
          <w:u w:val="single"/>
          <w:vertAlign w:val="superscript"/>
        </w:rPr>
        <w:t>rd</w:t>
      </w:r>
      <w:r w:rsidR="00D91D58" w:rsidRPr="005F179D">
        <w:rPr>
          <w:color w:val="000000" w:themeColor="text1"/>
          <w:u w:val="single"/>
        </w:rPr>
        <w:t xml:space="preserve"> Issue</w:t>
      </w:r>
      <w:r w:rsidR="00D91D58">
        <w:rPr>
          <w:color w:val="000000" w:themeColor="text1"/>
        </w:rPr>
        <w:t>)</w:t>
      </w:r>
      <w:r w:rsidR="00D45263">
        <w:rPr>
          <w:color w:val="000000" w:themeColor="text1"/>
        </w:rPr>
        <w:t>;</w:t>
      </w:r>
    </w:p>
    <w:p w14:paraId="0139E06C" w14:textId="1DC8A9C3" w:rsidR="00D45263" w:rsidRDefault="00AA5FD2" w:rsidP="005C174D">
      <w:pPr>
        <w:pStyle w:val="points"/>
        <w:numPr>
          <w:ilvl w:val="0"/>
          <w:numId w:val="28"/>
        </w:numPr>
        <w:tabs>
          <w:tab w:val="clear" w:pos="1400"/>
        </w:tabs>
        <w:rPr>
          <w:color w:val="000000" w:themeColor="text1"/>
        </w:rPr>
      </w:pPr>
      <w:r w:rsidRPr="008362C9">
        <w:t>alternatively</w:t>
      </w:r>
      <w:r>
        <w:rPr>
          <w:color w:val="000000" w:themeColor="text1"/>
        </w:rPr>
        <w:t xml:space="preserve">, whether Mr Wen </w:t>
      </w:r>
      <w:r w:rsidR="001C6D75">
        <w:rPr>
          <w:color w:val="000000" w:themeColor="text1"/>
        </w:rPr>
        <w:t xml:space="preserve">acted </w:t>
      </w:r>
      <w:r w:rsidR="00EB07B9" w:rsidRPr="00785A63">
        <w:rPr>
          <w:color w:val="000000" w:themeColor="text1"/>
        </w:rPr>
        <w:t>in breach of his dut</w:t>
      </w:r>
      <w:r w:rsidR="00286063">
        <w:rPr>
          <w:color w:val="000000" w:themeColor="text1"/>
        </w:rPr>
        <w:t>y</w:t>
      </w:r>
      <w:r w:rsidR="00EB07B9" w:rsidRPr="00785A63">
        <w:rPr>
          <w:color w:val="000000" w:themeColor="text1"/>
        </w:rPr>
        <w:t xml:space="preserve"> of skill, care and diligence owed to the Company</w:t>
      </w:r>
      <w:r w:rsidR="00EB07B9">
        <w:rPr>
          <w:color w:val="000000" w:themeColor="text1"/>
        </w:rPr>
        <w:t xml:space="preserve"> </w:t>
      </w:r>
      <w:r w:rsidR="001C6D75">
        <w:rPr>
          <w:color w:val="000000" w:themeColor="text1"/>
        </w:rPr>
        <w:t xml:space="preserve">in allowing the </w:t>
      </w:r>
      <w:r w:rsidR="004905B1">
        <w:rPr>
          <w:color w:val="000000" w:themeColor="text1"/>
        </w:rPr>
        <w:t>Schemes</w:t>
      </w:r>
      <w:r w:rsidR="00F747A3">
        <w:rPr>
          <w:color w:val="000000" w:themeColor="text1"/>
        </w:rPr>
        <w:t xml:space="preserve"> to be </w:t>
      </w:r>
      <w:r w:rsidR="007E2026">
        <w:rPr>
          <w:color w:val="000000" w:themeColor="text1"/>
        </w:rPr>
        <w:t>perpetrated</w:t>
      </w:r>
      <w:r w:rsidR="00F747A3">
        <w:rPr>
          <w:color w:val="000000" w:themeColor="text1"/>
        </w:rPr>
        <w:t xml:space="preserve"> against the Subsidiaries and the Group</w:t>
      </w:r>
      <w:r w:rsidR="004D3793">
        <w:rPr>
          <w:color w:val="000000" w:themeColor="text1"/>
        </w:rPr>
        <w:t xml:space="preserve"> (</w:t>
      </w:r>
      <w:r w:rsidR="004D3793" w:rsidRPr="005F179D">
        <w:rPr>
          <w:color w:val="000000" w:themeColor="text1"/>
          <w:u w:val="single"/>
        </w:rPr>
        <w:t>4</w:t>
      </w:r>
      <w:r w:rsidR="004D3793" w:rsidRPr="005F179D">
        <w:rPr>
          <w:color w:val="000000" w:themeColor="text1"/>
          <w:u w:val="single"/>
          <w:vertAlign w:val="superscript"/>
        </w:rPr>
        <w:t>th</w:t>
      </w:r>
      <w:r w:rsidR="004D3793" w:rsidRPr="005F179D">
        <w:rPr>
          <w:color w:val="000000" w:themeColor="text1"/>
          <w:u w:val="single"/>
        </w:rPr>
        <w:t xml:space="preserve"> </w:t>
      </w:r>
      <w:r w:rsidR="007F15A2" w:rsidRPr="005F179D">
        <w:rPr>
          <w:color w:val="000000" w:themeColor="text1"/>
          <w:u w:val="single"/>
        </w:rPr>
        <w:t>I</w:t>
      </w:r>
      <w:r w:rsidR="004D3793" w:rsidRPr="005F179D">
        <w:rPr>
          <w:color w:val="000000" w:themeColor="text1"/>
          <w:u w:val="single"/>
        </w:rPr>
        <w:t>ssue</w:t>
      </w:r>
      <w:r w:rsidR="004D3793">
        <w:rPr>
          <w:color w:val="000000" w:themeColor="text1"/>
        </w:rPr>
        <w:t>)</w:t>
      </w:r>
      <w:r w:rsidR="00E2100B">
        <w:rPr>
          <w:color w:val="000000" w:themeColor="text1"/>
        </w:rPr>
        <w:t>;</w:t>
      </w:r>
    </w:p>
    <w:p w14:paraId="1BD1CDB7" w14:textId="23CC8720" w:rsidR="00F353FA" w:rsidRDefault="00F353FA" w:rsidP="005C174D">
      <w:pPr>
        <w:pStyle w:val="points"/>
        <w:numPr>
          <w:ilvl w:val="0"/>
          <w:numId w:val="28"/>
        </w:numPr>
        <w:tabs>
          <w:tab w:val="clear" w:pos="1400"/>
        </w:tabs>
        <w:rPr>
          <w:color w:val="000000" w:themeColor="text1"/>
        </w:rPr>
      </w:pPr>
      <w:r w:rsidRPr="008362C9">
        <w:t>whether</w:t>
      </w:r>
      <w:r>
        <w:rPr>
          <w:color w:val="000000" w:themeColor="text1"/>
        </w:rPr>
        <w:t xml:space="preserve"> Mr Wen gave false or misleading </w:t>
      </w:r>
      <w:r w:rsidR="001E4CCA">
        <w:rPr>
          <w:color w:val="000000" w:themeColor="text1"/>
        </w:rPr>
        <w:t>explanations</w:t>
      </w:r>
      <w:r>
        <w:rPr>
          <w:color w:val="000000" w:themeColor="text1"/>
        </w:rPr>
        <w:t xml:space="preserve"> regarding the 2015 Cash Discrepa</w:t>
      </w:r>
      <w:r w:rsidR="00174AE5">
        <w:rPr>
          <w:color w:val="000000" w:themeColor="text1"/>
        </w:rPr>
        <w:t>ncy</w:t>
      </w:r>
      <w:r w:rsidR="0007716D">
        <w:rPr>
          <w:color w:val="000000" w:themeColor="text1"/>
        </w:rPr>
        <w:t xml:space="preserve"> to RSM, Deloitte, the board and </w:t>
      </w:r>
      <w:r w:rsidR="00124EC1">
        <w:rPr>
          <w:color w:val="000000" w:themeColor="text1"/>
        </w:rPr>
        <w:t>members</w:t>
      </w:r>
      <w:r w:rsidR="0007716D">
        <w:rPr>
          <w:color w:val="000000" w:themeColor="text1"/>
        </w:rPr>
        <w:t xml:space="preserve"> of the Company</w:t>
      </w:r>
      <w:r w:rsidR="00112C08">
        <w:rPr>
          <w:color w:val="000000" w:themeColor="text1"/>
        </w:rPr>
        <w:t xml:space="preserve"> </w:t>
      </w:r>
      <w:r w:rsidR="00E37DC1">
        <w:rPr>
          <w:color w:val="000000" w:themeColor="text1"/>
        </w:rPr>
        <w:t xml:space="preserve">and/or took steps to conceal the Schemes from other members of the board, </w:t>
      </w:r>
      <w:r w:rsidR="00286063">
        <w:rPr>
          <w:color w:val="000000" w:themeColor="text1"/>
        </w:rPr>
        <w:t>members</w:t>
      </w:r>
      <w:r w:rsidR="00E37DC1">
        <w:rPr>
          <w:color w:val="000000" w:themeColor="text1"/>
        </w:rPr>
        <w:t xml:space="preserve">, auditors and the regulatory authorities </w:t>
      </w:r>
      <w:r w:rsidR="00112C08">
        <w:rPr>
          <w:color w:val="000000" w:themeColor="text1"/>
        </w:rPr>
        <w:t>(</w:t>
      </w:r>
      <w:r w:rsidR="00112C08" w:rsidRPr="005F179D">
        <w:rPr>
          <w:color w:val="000000" w:themeColor="text1"/>
          <w:u w:val="single"/>
        </w:rPr>
        <w:t>5</w:t>
      </w:r>
      <w:r w:rsidR="00112C08" w:rsidRPr="005F179D">
        <w:rPr>
          <w:color w:val="000000" w:themeColor="text1"/>
          <w:u w:val="single"/>
          <w:vertAlign w:val="superscript"/>
        </w:rPr>
        <w:t>th</w:t>
      </w:r>
      <w:r w:rsidR="00112C08" w:rsidRPr="005F179D">
        <w:rPr>
          <w:color w:val="000000" w:themeColor="text1"/>
          <w:u w:val="single"/>
        </w:rPr>
        <w:t xml:space="preserve"> Issue</w:t>
      </w:r>
      <w:r w:rsidR="00112C08">
        <w:rPr>
          <w:color w:val="000000" w:themeColor="text1"/>
        </w:rPr>
        <w:t>)</w:t>
      </w:r>
      <w:r w:rsidR="0007716D">
        <w:rPr>
          <w:color w:val="000000" w:themeColor="text1"/>
        </w:rPr>
        <w:t>;</w:t>
      </w:r>
    </w:p>
    <w:p w14:paraId="2833B8F5" w14:textId="7677F869" w:rsidR="0007716D" w:rsidRDefault="0007716D" w:rsidP="005C174D">
      <w:pPr>
        <w:pStyle w:val="points"/>
        <w:numPr>
          <w:ilvl w:val="0"/>
          <w:numId w:val="28"/>
        </w:numPr>
        <w:tabs>
          <w:tab w:val="clear" w:pos="1400"/>
        </w:tabs>
        <w:rPr>
          <w:color w:val="000000" w:themeColor="text1"/>
        </w:rPr>
      </w:pPr>
      <w:r w:rsidRPr="008362C9">
        <w:t>whether</w:t>
      </w:r>
      <w:r>
        <w:rPr>
          <w:color w:val="000000" w:themeColor="text1"/>
        </w:rPr>
        <w:t xml:space="preserve"> </w:t>
      </w:r>
      <w:r w:rsidR="00324AE4">
        <w:rPr>
          <w:color w:val="000000" w:themeColor="text1"/>
        </w:rPr>
        <w:t xml:space="preserve">if </w:t>
      </w:r>
      <w:r>
        <w:rPr>
          <w:color w:val="000000" w:themeColor="text1"/>
        </w:rPr>
        <w:t>the aforesaid matters</w:t>
      </w:r>
      <w:r w:rsidR="00324AE4">
        <w:rPr>
          <w:color w:val="000000" w:themeColor="text1"/>
        </w:rPr>
        <w:t xml:space="preserve"> (or any of them) are established</w:t>
      </w:r>
      <w:r>
        <w:rPr>
          <w:color w:val="000000" w:themeColor="text1"/>
        </w:rPr>
        <w:t xml:space="preserve">, the business and affairs of the Company were conducted by Mr Wen in a manner </w:t>
      </w:r>
      <w:r w:rsidR="00F27D37">
        <w:rPr>
          <w:color w:val="000000" w:themeColor="text1"/>
        </w:rPr>
        <w:t xml:space="preserve">within the meaning of s.214(b), (c) and (d) of the </w:t>
      </w:r>
      <w:r w:rsidR="00286063">
        <w:rPr>
          <w:color w:val="000000" w:themeColor="text1"/>
        </w:rPr>
        <w:t>SFO</w:t>
      </w:r>
      <w:r w:rsidR="00F27D37">
        <w:rPr>
          <w:color w:val="000000" w:themeColor="text1"/>
        </w:rPr>
        <w:t xml:space="preserve"> </w:t>
      </w:r>
      <w:r w:rsidR="00A453CC">
        <w:rPr>
          <w:color w:val="000000" w:themeColor="text1"/>
        </w:rPr>
        <w:t>(</w:t>
      </w:r>
      <w:r w:rsidR="00A453CC" w:rsidRPr="005F179D">
        <w:rPr>
          <w:color w:val="000000" w:themeColor="text1"/>
          <w:u w:val="single"/>
        </w:rPr>
        <w:t>6</w:t>
      </w:r>
      <w:r w:rsidR="00A453CC" w:rsidRPr="005F179D">
        <w:rPr>
          <w:color w:val="000000" w:themeColor="text1"/>
          <w:u w:val="single"/>
          <w:vertAlign w:val="superscript"/>
        </w:rPr>
        <w:t>th</w:t>
      </w:r>
      <w:r w:rsidR="00A453CC" w:rsidRPr="005F179D">
        <w:rPr>
          <w:color w:val="000000" w:themeColor="text1"/>
          <w:u w:val="single"/>
        </w:rPr>
        <w:t xml:space="preserve"> Issue</w:t>
      </w:r>
      <w:r w:rsidR="00A453CC">
        <w:rPr>
          <w:color w:val="000000" w:themeColor="text1"/>
        </w:rPr>
        <w:t>)</w:t>
      </w:r>
      <w:r w:rsidR="00F843FF">
        <w:rPr>
          <w:color w:val="000000" w:themeColor="text1"/>
        </w:rPr>
        <w:t>; and</w:t>
      </w:r>
    </w:p>
    <w:p w14:paraId="35DF763E" w14:textId="7A5B1DDC" w:rsidR="00F843FF" w:rsidRPr="003F4B38" w:rsidRDefault="00E33CA4" w:rsidP="005C174D">
      <w:pPr>
        <w:pStyle w:val="points"/>
        <w:numPr>
          <w:ilvl w:val="0"/>
          <w:numId w:val="28"/>
        </w:numPr>
        <w:tabs>
          <w:tab w:val="clear" w:pos="1400"/>
        </w:tabs>
        <w:rPr>
          <w:color w:val="000000" w:themeColor="text1"/>
        </w:rPr>
      </w:pPr>
      <w:r>
        <w:rPr>
          <w:color w:val="000000" w:themeColor="text1"/>
        </w:rPr>
        <w:t xml:space="preserve">if the transactions complained of by the SFC are established, </w:t>
      </w:r>
      <w:r w:rsidR="00F843FF">
        <w:rPr>
          <w:color w:val="000000" w:themeColor="text1"/>
        </w:rPr>
        <w:t>wh</w:t>
      </w:r>
      <w:r w:rsidR="00273A24">
        <w:rPr>
          <w:color w:val="000000" w:themeColor="text1"/>
        </w:rPr>
        <w:t xml:space="preserve">ether the court </w:t>
      </w:r>
      <w:r w:rsidR="00DE7184">
        <w:rPr>
          <w:color w:val="000000" w:themeColor="text1"/>
        </w:rPr>
        <w:t xml:space="preserve">should </w:t>
      </w:r>
      <w:r w:rsidR="00F843FF">
        <w:rPr>
          <w:color w:val="000000" w:themeColor="text1"/>
        </w:rPr>
        <w:t>grant</w:t>
      </w:r>
      <w:r w:rsidR="00273A24">
        <w:rPr>
          <w:color w:val="000000" w:themeColor="text1"/>
        </w:rPr>
        <w:t xml:space="preserve"> the relief sought </w:t>
      </w:r>
      <w:r w:rsidR="00DE7184">
        <w:rPr>
          <w:color w:val="000000" w:themeColor="text1"/>
        </w:rPr>
        <w:t>against the Company and Mr Wen</w:t>
      </w:r>
      <w:r w:rsidR="00EF0594">
        <w:rPr>
          <w:color w:val="000000" w:themeColor="text1"/>
        </w:rPr>
        <w:t xml:space="preserve"> (</w:t>
      </w:r>
      <w:r w:rsidR="00EF0594" w:rsidRPr="005F179D">
        <w:rPr>
          <w:color w:val="000000" w:themeColor="text1"/>
          <w:u w:val="single"/>
        </w:rPr>
        <w:t>7</w:t>
      </w:r>
      <w:r w:rsidR="00EF0594" w:rsidRPr="005F179D">
        <w:rPr>
          <w:color w:val="000000" w:themeColor="text1"/>
          <w:u w:val="single"/>
          <w:vertAlign w:val="superscript"/>
        </w:rPr>
        <w:t>th</w:t>
      </w:r>
      <w:r w:rsidR="00EF0594" w:rsidRPr="005F179D">
        <w:rPr>
          <w:color w:val="000000" w:themeColor="text1"/>
          <w:u w:val="single"/>
        </w:rPr>
        <w:t xml:space="preserve"> Issue</w:t>
      </w:r>
      <w:r w:rsidR="00EF0594">
        <w:rPr>
          <w:color w:val="000000" w:themeColor="text1"/>
        </w:rPr>
        <w:t>)</w:t>
      </w:r>
      <w:r w:rsidR="00AE6CFF">
        <w:rPr>
          <w:color w:val="000000" w:themeColor="text1"/>
        </w:rPr>
        <w:t xml:space="preserve">.  </w:t>
      </w:r>
    </w:p>
    <w:p w14:paraId="5F124BFE" w14:textId="71296E66" w:rsidR="00AF0007" w:rsidRDefault="00EF0594">
      <w:pPr>
        <w:pStyle w:val="Final"/>
        <w:numPr>
          <w:ilvl w:val="0"/>
          <w:numId w:val="2"/>
        </w:numPr>
        <w:tabs>
          <w:tab w:val="clear" w:pos="720"/>
          <w:tab w:val="num" w:pos="0"/>
        </w:tabs>
        <w:ind w:left="0" w:firstLine="0"/>
        <w:rPr>
          <w:color w:val="000000" w:themeColor="text1"/>
        </w:rPr>
      </w:pPr>
      <w:r>
        <w:rPr>
          <w:color w:val="000000" w:themeColor="text1"/>
        </w:rPr>
        <w:t>I consider the issues in turn.</w:t>
      </w:r>
    </w:p>
    <w:p w14:paraId="7DF8AAF1" w14:textId="5A9F4FED" w:rsidR="007C58D6" w:rsidRDefault="007C58D6" w:rsidP="008362C9">
      <w:pPr>
        <w:pStyle w:val="H-1"/>
        <w:tabs>
          <w:tab w:val="left" w:pos="720"/>
        </w:tabs>
      </w:pPr>
      <w:r>
        <w:lastRenderedPageBreak/>
        <w:t>D.</w:t>
      </w:r>
      <w:r>
        <w:tab/>
        <w:t>DISCUSSION</w:t>
      </w:r>
    </w:p>
    <w:p w14:paraId="5D7D258E" w14:textId="42E1A3FF" w:rsidR="00A033D3" w:rsidRPr="007C58D6" w:rsidRDefault="00A033D3" w:rsidP="008362C9">
      <w:pPr>
        <w:pStyle w:val="H-1"/>
        <w:tabs>
          <w:tab w:val="left" w:pos="720"/>
        </w:tabs>
        <w:spacing w:before="240"/>
      </w:pPr>
      <w:r w:rsidRPr="007C58D6">
        <w:t>D1.</w:t>
      </w:r>
      <w:r w:rsidRPr="007C58D6">
        <w:tab/>
        <w:t>1</w:t>
      </w:r>
      <w:r w:rsidRPr="007C58D6">
        <w:rPr>
          <w:vertAlign w:val="superscript"/>
        </w:rPr>
        <w:t>st</w:t>
      </w:r>
      <w:r w:rsidRPr="007C58D6">
        <w:t xml:space="preserve"> Issue</w:t>
      </w:r>
      <w:r w:rsidR="002507D6">
        <w:t xml:space="preserve">: </w:t>
      </w:r>
      <w:r w:rsidR="00EF7832">
        <w:t>whether 2012 AFS &amp; 2013 AFS were inflated</w:t>
      </w:r>
    </w:p>
    <w:p w14:paraId="1C70DEB4" w14:textId="2940E938" w:rsidR="00AE17C2" w:rsidRDefault="00D669C2">
      <w:pPr>
        <w:pStyle w:val="Final"/>
        <w:numPr>
          <w:ilvl w:val="0"/>
          <w:numId w:val="2"/>
        </w:numPr>
        <w:tabs>
          <w:tab w:val="clear" w:pos="720"/>
          <w:tab w:val="num" w:pos="0"/>
        </w:tabs>
        <w:ind w:left="0" w:firstLine="0"/>
        <w:rPr>
          <w:color w:val="000000" w:themeColor="text1"/>
        </w:rPr>
      </w:pPr>
      <w:r>
        <w:rPr>
          <w:color w:val="000000" w:themeColor="text1"/>
        </w:rPr>
        <w:t>The</w:t>
      </w:r>
      <w:r w:rsidR="00AE17C2">
        <w:rPr>
          <w:color w:val="000000" w:themeColor="text1"/>
        </w:rPr>
        <w:t xml:space="preserve"> evidence proving the </w:t>
      </w:r>
      <w:r>
        <w:rPr>
          <w:color w:val="000000" w:themeColor="text1"/>
        </w:rPr>
        <w:t xml:space="preserve">existence of the Falsification Scheme and the </w:t>
      </w:r>
      <w:r w:rsidR="00074D23">
        <w:rPr>
          <w:color w:val="000000" w:themeColor="text1"/>
        </w:rPr>
        <w:t>Fabrication</w:t>
      </w:r>
      <w:r>
        <w:rPr>
          <w:color w:val="000000" w:themeColor="text1"/>
        </w:rPr>
        <w:t xml:space="preserve"> Scheme is </w:t>
      </w:r>
      <w:r w:rsidR="00AE17C2">
        <w:rPr>
          <w:color w:val="000000" w:themeColor="text1"/>
        </w:rPr>
        <w:t>overwhelming</w:t>
      </w:r>
      <w:r w:rsidR="00AE6CFF">
        <w:rPr>
          <w:color w:val="000000" w:themeColor="text1"/>
        </w:rPr>
        <w:t xml:space="preserve">.  </w:t>
      </w:r>
    </w:p>
    <w:p w14:paraId="34B1C676" w14:textId="551B54CB" w:rsidR="00752F82" w:rsidRDefault="00AE17C2">
      <w:pPr>
        <w:pStyle w:val="Final"/>
        <w:numPr>
          <w:ilvl w:val="0"/>
          <w:numId w:val="2"/>
        </w:numPr>
        <w:tabs>
          <w:tab w:val="clear" w:pos="720"/>
          <w:tab w:val="num" w:pos="0"/>
        </w:tabs>
        <w:ind w:left="0" w:firstLine="0"/>
        <w:rPr>
          <w:color w:val="000000" w:themeColor="text1"/>
        </w:rPr>
      </w:pPr>
      <w:r w:rsidRPr="009B7AF3">
        <w:rPr>
          <w:color w:val="000000" w:themeColor="text1"/>
          <w:u w:val="single"/>
        </w:rPr>
        <w:t>First</w:t>
      </w:r>
      <w:r>
        <w:rPr>
          <w:color w:val="000000" w:themeColor="text1"/>
        </w:rPr>
        <w:t xml:space="preserve">, </w:t>
      </w:r>
      <w:r w:rsidR="00752F82">
        <w:rPr>
          <w:color w:val="000000" w:themeColor="text1"/>
        </w:rPr>
        <w:t xml:space="preserve">a comparison of the CSRC’s Records (which are indisputable for the reasons stated in </w:t>
      </w:r>
      <w:r w:rsidR="00752F82" w:rsidRPr="00096B2B">
        <w:rPr>
          <w:color w:val="000000" w:themeColor="text1"/>
        </w:rPr>
        <w:t>§16</w:t>
      </w:r>
      <w:r w:rsidR="00752F82">
        <w:rPr>
          <w:color w:val="000000" w:themeColor="text1"/>
        </w:rPr>
        <w:t xml:space="preserve"> above) and the Company’s Records </w:t>
      </w:r>
      <w:r w:rsidR="0071680D">
        <w:rPr>
          <w:color w:val="000000" w:themeColor="text1"/>
        </w:rPr>
        <w:t>shows</w:t>
      </w:r>
      <w:r w:rsidR="00752F82">
        <w:rPr>
          <w:color w:val="000000" w:themeColor="text1"/>
        </w:rPr>
        <w:t xml:space="preserve"> that there were the following discrepancies in 5 out of the 8 Bank Accounts</w:t>
      </w:r>
      <w:r w:rsidR="00D57F94">
        <w:rPr>
          <w:color w:val="000000" w:themeColor="text1"/>
        </w:rPr>
        <w:t xml:space="preserve"> </w:t>
      </w:r>
      <w:r w:rsidR="00056AD2">
        <w:rPr>
          <w:color w:val="000000" w:themeColor="text1"/>
        </w:rPr>
        <w:t>(collectively “</w:t>
      </w:r>
      <w:r w:rsidR="00056AD2" w:rsidRPr="00255494">
        <w:rPr>
          <w:b/>
          <w:bCs/>
          <w:color w:val="000000" w:themeColor="text1"/>
        </w:rPr>
        <w:t>5 Bank Accounts</w:t>
      </w:r>
      <w:r w:rsidR="00056AD2">
        <w:rPr>
          <w:color w:val="000000" w:themeColor="text1"/>
        </w:rPr>
        <w:t>”)</w:t>
      </w:r>
      <w:r w:rsidR="00752F82">
        <w:rPr>
          <w:rStyle w:val="FootnoteReference"/>
          <w:color w:val="000000" w:themeColor="text1"/>
        </w:rPr>
        <w:footnoteReference w:id="29"/>
      </w:r>
      <w:r w:rsidR="00752F82">
        <w:rPr>
          <w:color w:val="000000" w:themeColor="text1"/>
        </w:rPr>
        <w:t xml:space="preserve">: </w:t>
      </w:r>
    </w:p>
    <w:p w14:paraId="23177C67" w14:textId="18598866" w:rsidR="00752F82" w:rsidRDefault="00752F82" w:rsidP="005C174D">
      <w:pPr>
        <w:pStyle w:val="points"/>
        <w:numPr>
          <w:ilvl w:val="0"/>
          <w:numId w:val="29"/>
        </w:numPr>
        <w:tabs>
          <w:tab w:val="clear" w:pos="1400"/>
        </w:tabs>
        <w:spacing w:after="360"/>
      </w:pPr>
      <w:r>
        <w:t xml:space="preserve">As at 31 December 2012, a discrepancy of </w:t>
      </w:r>
      <w:r w:rsidRPr="00382F48">
        <w:t>RMB 2.18 billion</w:t>
      </w:r>
      <w:r>
        <w:t xml:space="preserve"> (“</w:t>
      </w:r>
      <w:r w:rsidRPr="00476AFF">
        <w:rPr>
          <w:b/>
          <w:bCs/>
        </w:rPr>
        <w:t>2012 Discrepancy</w:t>
      </w:r>
      <w:r>
        <w:t>”)</w:t>
      </w:r>
      <w:r>
        <w:rPr>
          <w:rStyle w:val="FootnoteReference"/>
          <w:color w:val="000000" w:themeColor="text1"/>
        </w:rPr>
        <w:footnoteReference w:id="30"/>
      </w:r>
      <w:r>
        <w:t>:</w:t>
      </w:r>
    </w:p>
    <w:tbl>
      <w:tblPr>
        <w:tblStyle w:val="TableGrid"/>
        <w:tblW w:w="8080" w:type="dxa"/>
        <w:tblInd w:w="846" w:type="dxa"/>
        <w:tblLayout w:type="fixed"/>
        <w:tblLook w:val="04A0" w:firstRow="1" w:lastRow="0" w:firstColumn="1" w:lastColumn="0" w:noHBand="0" w:noVBand="1"/>
      </w:tblPr>
      <w:tblGrid>
        <w:gridCol w:w="709"/>
        <w:gridCol w:w="1417"/>
        <w:gridCol w:w="1134"/>
        <w:gridCol w:w="1418"/>
        <w:gridCol w:w="1701"/>
        <w:gridCol w:w="1701"/>
      </w:tblGrid>
      <w:tr w:rsidR="00752F82" w:rsidRPr="00E14EB1" w14:paraId="37765CE4" w14:textId="77777777" w:rsidTr="00F07B94">
        <w:trPr>
          <w:trHeight w:val="1243"/>
        </w:trPr>
        <w:tc>
          <w:tcPr>
            <w:tcW w:w="709" w:type="dxa"/>
          </w:tcPr>
          <w:p w14:paraId="0CD6D1AE" w14:textId="77777777" w:rsidR="00752F82" w:rsidRPr="00E14EB1" w:rsidRDefault="00752F82" w:rsidP="00F07B94">
            <w:pPr>
              <w:pStyle w:val="ListParagraph"/>
              <w:adjustRightInd w:val="0"/>
              <w:spacing w:line="340" w:lineRule="exact"/>
              <w:ind w:left="0"/>
              <w:rPr>
                <w:b/>
                <w:sz w:val="22"/>
                <w:szCs w:val="22"/>
              </w:rPr>
            </w:pPr>
          </w:p>
        </w:tc>
        <w:tc>
          <w:tcPr>
            <w:tcW w:w="1417" w:type="dxa"/>
          </w:tcPr>
          <w:p w14:paraId="2836C48C" w14:textId="77777777" w:rsidR="00752F82" w:rsidRPr="00E14EB1" w:rsidRDefault="00752F82" w:rsidP="00F07B94">
            <w:pPr>
              <w:pStyle w:val="ListParagraph"/>
              <w:adjustRightInd w:val="0"/>
              <w:spacing w:line="340" w:lineRule="exact"/>
              <w:ind w:left="0"/>
              <w:rPr>
                <w:b/>
                <w:sz w:val="22"/>
                <w:szCs w:val="22"/>
              </w:rPr>
            </w:pPr>
          </w:p>
        </w:tc>
        <w:tc>
          <w:tcPr>
            <w:tcW w:w="1134" w:type="dxa"/>
          </w:tcPr>
          <w:p w14:paraId="581EFB83" w14:textId="00882E89" w:rsidR="00752F82" w:rsidRPr="00E14EB1" w:rsidRDefault="00752F82" w:rsidP="00096B2B">
            <w:pPr>
              <w:pStyle w:val="ListParagraph"/>
              <w:adjustRightInd w:val="0"/>
              <w:spacing w:line="340" w:lineRule="exact"/>
              <w:ind w:left="0"/>
              <w:jc w:val="right"/>
              <w:rPr>
                <w:b/>
                <w:sz w:val="22"/>
                <w:szCs w:val="22"/>
              </w:rPr>
            </w:pPr>
            <w:r>
              <w:rPr>
                <w:b/>
                <w:sz w:val="22"/>
                <w:szCs w:val="22"/>
              </w:rPr>
              <w:t xml:space="preserve">Bank </w:t>
            </w:r>
            <w:r w:rsidRPr="00E14EB1">
              <w:rPr>
                <w:b/>
                <w:sz w:val="22"/>
                <w:szCs w:val="22"/>
              </w:rPr>
              <w:t>Account</w:t>
            </w:r>
            <w:r>
              <w:rPr>
                <w:b/>
                <w:sz w:val="22"/>
                <w:szCs w:val="22"/>
              </w:rPr>
              <w:t>s</w:t>
            </w:r>
          </w:p>
        </w:tc>
        <w:tc>
          <w:tcPr>
            <w:tcW w:w="1418" w:type="dxa"/>
          </w:tcPr>
          <w:p w14:paraId="37A3A376" w14:textId="220B3F10" w:rsidR="00752F82" w:rsidRPr="00E14EB1" w:rsidRDefault="007F70B5" w:rsidP="00096B2B">
            <w:pPr>
              <w:pStyle w:val="ListParagraph"/>
              <w:adjustRightInd w:val="0"/>
              <w:spacing w:line="340" w:lineRule="exact"/>
              <w:ind w:left="0"/>
              <w:jc w:val="right"/>
              <w:rPr>
                <w:b/>
                <w:sz w:val="22"/>
                <w:szCs w:val="22"/>
              </w:rPr>
            </w:pPr>
            <w:r>
              <w:rPr>
                <w:b/>
                <w:sz w:val="22"/>
                <w:szCs w:val="22"/>
              </w:rPr>
              <w:t xml:space="preserve">Per </w:t>
            </w:r>
            <w:r w:rsidR="00752F82" w:rsidRPr="00E14EB1">
              <w:rPr>
                <w:b/>
                <w:sz w:val="22"/>
                <w:szCs w:val="22"/>
              </w:rPr>
              <w:t>CSRC</w:t>
            </w:r>
            <w:r w:rsidR="00752F82">
              <w:rPr>
                <w:b/>
                <w:sz w:val="22"/>
                <w:szCs w:val="22"/>
              </w:rPr>
              <w:t>’s</w:t>
            </w:r>
            <w:r w:rsidR="00752F82" w:rsidRPr="00E14EB1">
              <w:rPr>
                <w:b/>
                <w:sz w:val="22"/>
                <w:szCs w:val="22"/>
              </w:rPr>
              <w:t xml:space="preserve"> Records (RMB)</w:t>
            </w:r>
          </w:p>
        </w:tc>
        <w:tc>
          <w:tcPr>
            <w:tcW w:w="1701" w:type="dxa"/>
          </w:tcPr>
          <w:p w14:paraId="329A0A89" w14:textId="036DF7B1" w:rsidR="00346E13" w:rsidRDefault="007F70B5" w:rsidP="00096B2B">
            <w:pPr>
              <w:pStyle w:val="ListParagraph"/>
              <w:adjustRightInd w:val="0"/>
              <w:spacing w:line="340" w:lineRule="exact"/>
              <w:ind w:left="0"/>
              <w:jc w:val="right"/>
              <w:rPr>
                <w:b/>
                <w:sz w:val="22"/>
                <w:szCs w:val="22"/>
              </w:rPr>
            </w:pPr>
            <w:r>
              <w:rPr>
                <w:b/>
                <w:sz w:val="22"/>
                <w:szCs w:val="22"/>
              </w:rPr>
              <w:t xml:space="preserve">Per </w:t>
            </w:r>
            <w:r w:rsidR="00752F82">
              <w:rPr>
                <w:b/>
                <w:sz w:val="22"/>
                <w:szCs w:val="22"/>
              </w:rPr>
              <w:t>Company’s</w:t>
            </w:r>
            <w:r w:rsidR="00752F82" w:rsidRPr="00E14EB1">
              <w:rPr>
                <w:b/>
                <w:sz w:val="22"/>
                <w:szCs w:val="22"/>
              </w:rPr>
              <w:t xml:space="preserve"> Records</w:t>
            </w:r>
          </w:p>
          <w:p w14:paraId="1BC2BBAA" w14:textId="0BCF8124" w:rsidR="00752F82" w:rsidRPr="00E14EB1" w:rsidRDefault="00752F82" w:rsidP="00096B2B">
            <w:pPr>
              <w:pStyle w:val="ListParagraph"/>
              <w:adjustRightInd w:val="0"/>
              <w:spacing w:line="340" w:lineRule="exact"/>
              <w:ind w:left="0"/>
              <w:jc w:val="right"/>
              <w:rPr>
                <w:b/>
                <w:sz w:val="22"/>
                <w:szCs w:val="22"/>
              </w:rPr>
            </w:pPr>
            <w:r w:rsidRPr="00E14EB1">
              <w:rPr>
                <w:b/>
                <w:sz w:val="22"/>
                <w:szCs w:val="22"/>
              </w:rPr>
              <w:t>(RMB)</w:t>
            </w:r>
          </w:p>
        </w:tc>
        <w:tc>
          <w:tcPr>
            <w:tcW w:w="1701" w:type="dxa"/>
          </w:tcPr>
          <w:p w14:paraId="18A61B69" w14:textId="77777777" w:rsidR="00752F82" w:rsidRPr="00E14EB1" w:rsidRDefault="00752F82" w:rsidP="00096B2B">
            <w:pPr>
              <w:pStyle w:val="ListParagraph"/>
              <w:adjustRightInd w:val="0"/>
              <w:spacing w:line="340" w:lineRule="exact"/>
              <w:ind w:left="0"/>
              <w:jc w:val="right"/>
              <w:rPr>
                <w:b/>
                <w:sz w:val="22"/>
                <w:szCs w:val="22"/>
              </w:rPr>
            </w:pPr>
            <w:r w:rsidRPr="00E14EB1">
              <w:rPr>
                <w:b/>
                <w:sz w:val="22"/>
                <w:szCs w:val="22"/>
              </w:rPr>
              <w:t>Discrepancy (RMB)</w:t>
            </w:r>
          </w:p>
        </w:tc>
      </w:tr>
      <w:tr w:rsidR="00752F82" w:rsidRPr="00E14EB1" w14:paraId="69ACC886" w14:textId="77777777" w:rsidTr="00F07B94">
        <w:trPr>
          <w:trHeight w:val="404"/>
        </w:trPr>
        <w:tc>
          <w:tcPr>
            <w:tcW w:w="709" w:type="dxa"/>
            <w:vMerge w:val="restart"/>
          </w:tcPr>
          <w:p w14:paraId="52D6772F" w14:textId="77777777" w:rsidR="00752F82" w:rsidRPr="00E14EB1" w:rsidRDefault="00752F82" w:rsidP="00F07B94">
            <w:pPr>
              <w:pStyle w:val="ListParagraph"/>
              <w:adjustRightInd w:val="0"/>
              <w:spacing w:line="340" w:lineRule="exact"/>
              <w:ind w:left="0"/>
              <w:rPr>
                <w:sz w:val="22"/>
                <w:szCs w:val="22"/>
              </w:rPr>
            </w:pPr>
            <w:r w:rsidRPr="00E14EB1">
              <w:rPr>
                <w:sz w:val="22"/>
                <w:szCs w:val="22"/>
              </w:rPr>
              <w:t>H</w:t>
            </w:r>
            <w:r>
              <w:rPr>
                <w:sz w:val="22"/>
                <w:szCs w:val="22"/>
              </w:rPr>
              <w:t>XB</w:t>
            </w:r>
          </w:p>
          <w:p w14:paraId="08A7368C" w14:textId="77777777" w:rsidR="00752F82" w:rsidRPr="00E14EB1" w:rsidRDefault="00752F82" w:rsidP="00F07B94">
            <w:pPr>
              <w:pStyle w:val="ListParagraph"/>
              <w:adjustRightInd w:val="0"/>
              <w:spacing w:line="340" w:lineRule="exact"/>
              <w:ind w:left="0"/>
              <w:rPr>
                <w:sz w:val="22"/>
                <w:szCs w:val="22"/>
              </w:rPr>
            </w:pPr>
          </w:p>
        </w:tc>
        <w:tc>
          <w:tcPr>
            <w:tcW w:w="1417" w:type="dxa"/>
          </w:tcPr>
          <w:p w14:paraId="11E43EA0" w14:textId="77777777" w:rsidR="00752F82" w:rsidRPr="00E14EB1" w:rsidRDefault="00752F82" w:rsidP="00F07B94">
            <w:pPr>
              <w:pStyle w:val="ListParagraph"/>
              <w:adjustRightInd w:val="0"/>
              <w:spacing w:line="340" w:lineRule="exact"/>
              <w:ind w:left="0"/>
              <w:rPr>
                <w:sz w:val="22"/>
                <w:szCs w:val="22"/>
              </w:rPr>
            </w:pPr>
            <w:r w:rsidRPr="00E14EB1">
              <w:rPr>
                <w:sz w:val="22"/>
                <w:szCs w:val="22"/>
              </w:rPr>
              <w:t xml:space="preserve">BJ </w:t>
            </w:r>
            <w:proofErr w:type="spellStart"/>
            <w:r w:rsidRPr="00E14EB1">
              <w:rPr>
                <w:sz w:val="22"/>
                <w:szCs w:val="22"/>
              </w:rPr>
              <w:t>Epure</w:t>
            </w:r>
            <w:proofErr w:type="spellEnd"/>
          </w:p>
        </w:tc>
        <w:tc>
          <w:tcPr>
            <w:tcW w:w="1134" w:type="dxa"/>
          </w:tcPr>
          <w:p w14:paraId="7C434894"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483</w:t>
            </w:r>
          </w:p>
        </w:tc>
        <w:tc>
          <w:tcPr>
            <w:tcW w:w="1418" w:type="dxa"/>
          </w:tcPr>
          <w:p w14:paraId="3C444868"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0</w:t>
            </w:r>
          </w:p>
        </w:tc>
        <w:tc>
          <w:tcPr>
            <w:tcW w:w="1701" w:type="dxa"/>
          </w:tcPr>
          <w:p w14:paraId="229A9453"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36,363,63</w:t>
            </w:r>
            <w:r>
              <w:rPr>
                <w:sz w:val="22"/>
                <w:szCs w:val="22"/>
              </w:rPr>
              <w:t>7</w:t>
            </w:r>
          </w:p>
        </w:tc>
        <w:tc>
          <w:tcPr>
            <w:tcW w:w="1701" w:type="dxa"/>
          </w:tcPr>
          <w:p w14:paraId="1F390620"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(36,363,63</w:t>
            </w:r>
            <w:r>
              <w:rPr>
                <w:sz w:val="22"/>
                <w:szCs w:val="22"/>
              </w:rPr>
              <w:t>7</w:t>
            </w:r>
            <w:r w:rsidRPr="00E14EB1">
              <w:rPr>
                <w:sz w:val="22"/>
                <w:szCs w:val="22"/>
              </w:rPr>
              <w:t>)</w:t>
            </w:r>
          </w:p>
        </w:tc>
      </w:tr>
      <w:tr w:rsidR="00752F82" w:rsidRPr="00E14EB1" w14:paraId="55EEA065" w14:textId="77777777" w:rsidTr="00F07B94">
        <w:trPr>
          <w:trHeight w:val="398"/>
        </w:trPr>
        <w:tc>
          <w:tcPr>
            <w:tcW w:w="709" w:type="dxa"/>
            <w:vMerge/>
          </w:tcPr>
          <w:p w14:paraId="2495A0C9" w14:textId="77777777" w:rsidR="00752F82" w:rsidRPr="00E14EB1" w:rsidRDefault="00752F82" w:rsidP="00F07B94">
            <w:pPr>
              <w:pStyle w:val="ListParagraph"/>
              <w:adjustRightInd w:val="0"/>
              <w:spacing w:line="340" w:lineRule="exact"/>
              <w:ind w:left="0"/>
              <w:rPr>
                <w:sz w:val="22"/>
                <w:szCs w:val="22"/>
              </w:rPr>
            </w:pPr>
          </w:p>
        </w:tc>
        <w:tc>
          <w:tcPr>
            <w:tcW w:w="1417" w:type="dxa"/>
          </w:tcPr>
          <w:p w14:paraId="1B460C46" w14:textId="77777777" w:rsidR="00752F82" w:rsidRPr="00E14EB1" w:rsidRDefault="00752F82" w:rsidP="00F07B94">
            <w:pPr>
              <w:pStyle w:val="ListParagraph"/>
              <w:adjustRightInd w:val="0"/>
              <w:spacing w:line="340" w:lineRule="exact"/>
              <w:ind w:left="0"/>
              <w:rPr>
                <w:sz w:val="22"/>
                <w:szCs w:val="22"/>
              </w:rPr>
            </w:pPr>
            <w:r w:rsidRPr="00E14EB1">
              <w:rPr>
                <w:sz w:val="22"/>
                <w:szCs w:val="22"/>
              </w:rPr>
              <w:t>BJ Sound</w:t>
            </w:r>
          </w:p>
        </w:tc>
        <w:tc>
          <w:tcPr>
            <w:tcW w:w="1134" w:type="dxa"/>
          </w:tcPr>
          <w:p w14:paraId="69519751"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551</w:t>
            </w:r>
          </w:p>
        </w:tc>
        <w:tc>
          <w:tcPr>
            <w:tcW w:w="1418" w:type="dxa"/>
          </w:tcPr>
          <w:p w14:paraId="7A26FFF9"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17,369,185</w:t>
            </w:r>
          </w:p>
        </w:tc>
        <w:tc>
          <w:tcPr>
            <w:tcW w:w="1701" w:type="dxa"/>
          </w:tcPr>
          <w:p w14:paraId="4536F5D5"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553,252,948</w:t>
            </w:r>
          </w:p>
        </w:tc>
        <w:tc>
          <w:tcPr>
            <w:tcW w:w="1701" w:type="dxa"/>
          </w:tcPr>
          <w:p w14:paraId="6881C850"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(535,883,763)</w:t>
            </w:r>
          </w:p>
        </w:tc>
      </w:tr>
      <w:tr w:rsidR="00752F82" w:rsidRPr="00E14EB1" w14:paraId="0288CFFC" w14:textId="77777777" w:rsidTr="00F07B94">
        <w:trPr>
          <w:trHeight w:val="620"/>
        </w:trPr>
        <w:tc>
          <w:tcPr>
            <w:tcW w:w="709" w:type="dxa"/>
            <w:vMerge/>
          </w:tcPr>
          <w:p w14:paraId="3E8C1BC8" w14:textId="77777777" w:rsidR="00752F82" w:rsidRPr="00E14EB1" w:rsidRDefault="00752F82" w:rsidP="00F07B94">
            <w:pPr>
              <w:pStyle w:val="ListParagraph"/>
              <w:adjustRightInd w:val="0"/>
              <w:spacing w:line="340" w:lineRule="exact"/>
              <w:ind w:left="0"/>
              <w:rPr>
                <w:sz w:val="22"/>
                <w:szCs w:val="22"/>
              </w:rPr>
            </w:pPr>
          </w:p>
        </w:tc>
        <w:tc>
          <w:tcPr>
            <w:tcW w:w="1417" w:type="dxa"/>
          </w:tcPr>
          <w:p w14:paraId="2012A060" w14:textId="77777777" w:rsidR="00752F82" w:rsidRPr="00E14EB1" w:rsidRDefault="00752F82" w:rsidP="00F07B94">
            <w:pPr>
              <w:pStyle w:val="ListParagraph"/>
              <w:adjustRightInd w:val="0"/>
              <w:spacing w:line="340" w:lineRule="exact"/>
              <w:ind w:left="0"/>
              <w:rPr>
                <w:sz w:val="22"/>
                <w:szCs w:val="22"/>
              </w:rPr>
            </w:pPr>
            <w:r w:rsidRPr="00E14EB1">
              <w:rPr>
                <w:sz w:val="22"/>
                <w:szCs w:val="22"/>
              </w:rPr>
              <w:t>BJ Hi-Standard</w:t>
            </w:r>
          </w:p>
        </w:tc>
        <w:tc>
          <w:tcPr>
            <w:tcW w:w="1134" w:type="dxa"/>
          </w:tcPr>
          <w:p w14:paraId="059F38C1"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105</w:t>
            </w:r>
          </w:p>
        </w:tc>
        <w:tc>
          <w:tcPr>
            <w:tcW w:w="1418" w:type="dxa"/>
          </w:tcPr>
          <w:p w14:paraId="4850E83B" w14:textId="363AFF67" w:rsidR="00752F82" w:rsidRPr="00E14EB1" w:rsidRDefault="00752F82" w:rsidP="00F07B94">
            <w:pPr>
              <w:pStyle w:val="ListParagraph"/>
              <w:adjustRightInd w:val="0"/>
              <w:spacing w:line="340" w:lineRule="exact"/>
              <w:ind w:left="0"/>
              <w:jc w:val="right"/>
              <w:rPr>
                <w:sz w:val="22"/>
                <w:szCs w:val="22"/>
              </w:rPr>
            </w:pPr>
            <w:r w:rsidRPr="00E14EB1">
              <w:rPr>
                <w:sz w:val="22"/>
                <w:szCs w:val="22"/>
              </w:rPr>
              <w:t>4,463,42</w:t>
            </w:r>
            <w:r w:rsidR="00A3037E">
              <w:rPr>
                <w:sz w:val="22"/>
                <w:szCs w:val="22"/>
              </w:rPr>
              <w:t>2</w:t>
            </w:r>
          </w:p>
        </w:tc>
        <w:tc>
          <w:tcPr>
            <w:tcW w:w="1701" w:type="dxa"/>
          </w:tcPr>
          <w:p w14:paraId="62E9E80A"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120,971,86</w:t>
            </w:r>
            <w:r>
              <w:rPr>
                <w:sz w:val="22"/>
                <w:szCs w:val="22"/>
              </w:rPr>
              <w:t>6</w:t>
            </w:r>
          </w:p>
        </w:tc>
        <w:tc>
          <w:tcPr>
            <w:tcW w:w="1701" w:type="dxa"/>
          </w:tcPr>
          <w:p w14:paraId="4277A1D9"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(116,508,44</w:t>
            </w:r>
            <w:r>
              <w:rPr>
                <w:sz w:val="22"/>
                <w:szCs w:val="22"/>
              </w:rPr>
              <w:t>4</w:t>
            </w:r>
            <w:r w:rsidRPr="00E14EB1">
              <w:rPr>
                <w:sz w:val="22"/>
                <w:szCs w:val="22"/>
              </w:rPr>
              <w:t>)</w:t>
            </w:r>
          </w:p>
        </w:tc>
      </w:tr>
      <w:tr w:rsidR="00752F82" w:rsidRPr="00E14EB1" w14:paraId="32E916C8" w14:textId="77777777" w:rsidTr="00F07B94">
        <w:trPr>
          <w:trHeight w:val="274"/>
        </w:trPr>
        <w:tc>
          <w:tcPr>
            <w:tcW w:w="709" w:type="dxa"/>
            <w:vMerge w:val="restart"/>
          </w:tcPr>
          <w:p w14:paraId="559FBB54" w14:textId="77777777" w:rsidR="00752F82" w:rsidRPr="00E14EB1" w:rsidRDefault="00752F82" w:rsidP="00F07B94">
            <w:pPr>
              <w:pStyle w:val="ListParagraph"/>
              <w:adjustRightInd w:val="0"/>
              <w:spacing w:line="340" w:lineRule="exact"/>
              <w:ind w:left="0"/>
              <w:rPr>
                <w:sz w:val="22"/>
                <w:szCs w:val="22"/>
              </w:rPr>
            </w:pPr>
            <w:r w:rsidRPr="00E14EB1">
              <w:rPr>
                <w:sz w:val="22"/>
                <w:szCs w:val="22"/>
              </w:rPr>
              <w:t>P</w:t>
            </w:r>
            <w:r>
              <w:rPr>
                <w:sz w:val="22"/>
                <w:szCs w:val="22"/>
              </w:rPr>
              <w:t>AB</w:t>
            </w:r>
          </w:p>
          <w:p w14:paraId="6BE27BFA" w14:textId="77777777" w:rsidR="00752F82" w:rsidRPr="00E14EB1" w:rsidRDefault="00752F82" w:rsidP="00F07B94">
            <w:pPr>
              <w:pStyle w:val="ListParagraph"/>
              <w:adjustRightInd w:val="0"/>
              <w:spacing w:line="340" w:lineRule="exact"/>
              <w:ind w:left="0"/>
              <w:rPr>
                <w:sz w:val="22"/>
                <w:szCs w:val="22"/>
              </w:rPr>
            </w:pPr>
          </w:p>
        </w:tc>
        <w:tc>
          <w:tcPr>
            <w:tcW w:w="1417" w:type="dxa"/>
          </w:tcPr>
          <w:p w14:paraId="6ABB1D54" w14:textId="77777777" w:rsidR="00752F82" w:rsidRPr="00E14EB1" w:rsidRDefault="00752F82" w:rsidP="00F07B94">
            <w:pPr>
              <w:pStyle w:val="ListParagraph"/>
              <w:adjustRightInd w:val="0"/>
              <w:spacing w:line="340" w:lineRule="exact"/>
              <w:ind w:left="0"/>
              <w:rPr>
                <w:sz w:val="22"/>
                <w:szCs w:val="22"/>
              </w:rPr>
            </w:pPr>
            <w:r w:rsidRPr="00E14EB1">
              <w:rPr>
                <w:sz w:val="22"/>
                <w:szCs w:val="22"/>
              </w:rPr>
              <w:t xml:space="preserve">BJ </w:t>
            </w:r>
            <w:proofErr w:type="spellStart"/>
            <w:r w:rsidRPr="00E14EB1">
              <w:rPr>
                <w:sz w:val="22"/>
                <w:szCs w:val="22"/>
              </w:rPr>
              <w:t>Epure</w:t>
            </w:r>
            <w:proofErr w:type="spellEnd"/>
          </w:p>
        </w:tc>
        <w:tc>
          <w:tcPr>
            <w:tcW w:w="1134" w:type="dxa"/>
          </w:tcPr>
          <w:p w14:paraId="276114EE"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501</w:t>
            </w:r>
          </w:p>
        </w:tc>
        <w:tc>
          <w:tcPr>
            <w:tcW w:w="1418" w:type="dxa"/>
          </w:tcPr>
          <w:p w14:paraId="526CBA23"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20,622</w:t>
            </w:r>
          </w:p>
        </w:tc>
        <w:tc>
          <w:tcPr>
            <w:tcW w:w="1701" w:type="dxa"/>
          </w:tcPr>
          <w:p w14:paraId="302DBC17"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1,089,049,99</w:t>
            </w:r>
            <w:r>
              <w:rPr>
                <w:sz w:val="22"/>
                <w:szCs w:val="22"/>
              </w:rPr>
              <w:t>2</w:t>
            </w:r>
          </w:p>
        </w:tc>
        <w:tc>
          <w:tcPr>
            <w:tcW w:w="1701" w:type="dxa"/>
          </w:tcPr>
          <w:p w14:paraId="65957CFE"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(1,089,029,369)</w:t>
            </w:r>
          </w:p>
        </w:tc>
      </w:tr>
      <w:tr w:rsidR="00752F82" w:rsidRPr="00E14EB1" w14:paraId="7531D341" w14:textId="77777777" w:rsidTr="00F07B94">
        <w:trPr>
          <w:trHeight w:val="623"/>
        </w:trPr>
        <w:tc>
          <w:tcPr>
            <w:tcW w:w="709" w:type="dxa"/>
            <w:vMerge/>
          </w:tcPr>
          <w:p w14:paraId="331BCFD2" w14:textId="77777777" w:rsidR="00752F82" w:rsidRPr="00E14EB1" w:rsidRDefault="00752F82" w:rsidP="00F07B94">
            <w:pPr>
              <w:pStyle w:val="ListParagraph"/>
              <w:adjustRightInd w:val="0"/>
              <w:spacing w:line="340" w:lineRule="exact"/>
              <w:ind w:left="0"/>
              <w:rPr>
                <w:sz w:val="22"/>
                <w:szCs w:val="22"/>
              </w:rPr>
            </w:pPr>
          </w:p>
        </w:tc>
        <w:tc>
          <w:tcPr>
            <w:tcW w:w="1417" w:type="dxa"/>
          </w:tcPr>
          <w:p w14:paraId="4D008AF9" w14:textId="77777777" w:rsidR="00752F82" w:rsidRPr="00E14EB1" w:rsidRDefault="00752F82" w:rsidP="00F07B94">
            <w:pPr>
              <w:pStyle w:val="ListParagraph"/>
              <w:adjustRightInd w:val="0"/>
              <w:spacing w:line="340" w:lineRule="exact"/>
              <w:ind w:left="0"/>
              <w:rPr>
                <w:sz w:val="22"/>
                <w:szCs w:val="22"/>
              </w:rPr>
            </w:pPr>
            <w:r w:rsidRPr="00E14EB1">
              <w:rPr>
                <w:sz w:val="22"/>
                <w:szCs w:val="22"/>
              </w:rPr>
              <w:t>BJ Sound</w:t>
            </w:r>
          </w:p>
        </w:tc>
        <w:tc>
          <w:tcPr>
            <w:tcW w:w="1134" w:type="dxa"/>
          </w:tcPr>
          <w:p w14:paraId="28E04A93"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002</w:t>
            </w:r>
          </w:p>
        </w:tc>
        <w:tc>
          <w:tcPr>
            <w:tcW w:w="1418" w:type="dxa"/>
          </w:tcPr>
          <w:p w14:paraId="3F99B442"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30,438,634</w:t>
            </w:r>
          </w:p>
        </w:tc>
        <w:tc>
          <w:tcPr>
            <w:tcW w:w="1701" w:type="dxa"/>
          </w:tcPr>
          <w:p w14:paraId="06A50D10"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433,281,40</w:t>
            </w:r>
            <w:r>
              <w:rPr>
                <w:sz w:val="22"/>
                <w:szCs w:val="22"/>
              </w:rPr>
              <w:t>6</w:t>
            </w:r>
          </w:p>
        </w:tc>
        <w:tc>
          <w:tcPr>
            <w:tcW w:w="1701" w:type="dxa"/>
          </w:tcPr>
          <w:p w14:paraId="04F2E46D" w14:textId="77777777" w:rsidR="00752F82" w:rsidRPr="00E14EB1" w:rsidRDefault="00752F82" w:rsidP="00F07B94">
            <w:pPr>
              <w:pStyle w:val="ListParagraph"/>
              <w:adjustRightInd w:val="0"/>
              <w:spacing w:line="340" w:lineRule="exact"/>
              <w:ind w:left="0"/>
              <w:jc w:val="right"/>
              <w:rPr>
                <w:sz w:val="22"/>
                <w:szCs w:val="22"/>
              </w:rPr>
            </w:pPr>
            <w:r w:rsidRPr="00E14EB1">
              <w:rPr>
                <w:sz w:val="22"/>
                <w:szCs w:val="22"/>
              </w:rPr>
              <w:t>(402,842,771)</w:t>
            </w:r>
          </w:p>
        </w:tc>
      </w:tr>
      <w:tr w:rsidR="00752F82" w:rsidRPr="00E14EB1" w14:paraId="07C1A722" w14:textId="77777777" w:rsidTr="00F07B94">
        <w:trPr>
          <w:trHeight w:val="323"/>
        </w:trPr>
        <w:tc>
          <w:tcPr>
            <w:tcW w:w="3260" w:type="dxa"/>
            <w:gridSpan w:val="3"/>
          </w:tcPr>
          <w:p w14:paraId="13826485" w14:textId="77777777" w:rsidR="00752F82" w:rsidRPr="00E14EB1" w:rsidRDefault="00752F82" w:rsidP="00F07B94">
            <w:pPr>
              <w:pStyle w:val="ListParagraph"/>
              <w:adjustRightInd w:val="0"/>
              <w:spacing w:line="340" w:lineRule="exact"/>
              <w:ind w:left="0"/>
              <w:jc w:val="right"/>
              <w:rPr>
                <w:b/>
                <w:sz w:val="22"/>
                <w:szCs w:val="22"/>
              </w:rPr>
            </w:pPr>
            <w:r w:rsidRPr="00E14EB1">
              <w:rPr>
                <w:b/>
                <w:sz w:val="22"/>
                <w:szCs w:val="22"/>
              </w:rPr>
              <w:t>Total</w:t>
            </w:r>
          </w:p>
        </w:tc>
        <w:tc>
          <w:tcPr>
            <w:tcW w:w="1418" w:type="dxa"/>
          </w:tcPr>
          <w:p w14:paraId="0C56F831" w14:textId="77777777" w:rsidR="00752F82" w:rsidRPr="00E14EB1" w:rsidRDefault="00752F82" w:rsidP="00F07B94">
            <w:pPr>
              <w:pStyle w:val="ListParagraph"/>
              <w:adjustRightInd w:val="0"/>
              <w:spacing w:line="340" w:lineRule="exact"/>
              <w:ind w:left="0"/>
              <w:jc w:val="right"/>
              <w:rPr>
                <w:b/>
                <w:sz w:val="22"/>
                <w:szCs w:val="22"/>
              </w:rPr>
            </w:pPr>
            <w:r w:rsidRPr="00E14EB1">
              <w:rPr>
                <w:b/>
                <w:sz w:val="22"/>
                <w:szCs w:val="22"/>
              </w:rPr>
              <w:t>52,291,863</w:t>
            </w:r>
          </w:p>
        </w:tc>
        <w:tc>
          <w:tcPr>
            <w:tcW w:w="1701" w:type="dxa"/>
          </w:tcPr>
          <w:p w14:paraId="7F7C3A47" w14:textId="77777777" w:rsidR="00752F82" w:rsidRPr="00E14EB1" w:rsidRDefault="00752F82" w:rsidP="00F07B94">
            <w:pPr>
              <w:pStyle w:val="ListParagraph"/>
              <w:adjustRightInd w:val="0"/>
              <w:spacing w:line="340" w:lineRule="exact"/>
              <w:ind w:left="0"/>
              <w:jc w:val="right"/>
              <w:rPr>
                <w:b/>
                <w:sz w:val="22"/>
                <w:szCs w:val="22"/>
              </w:rPr>
            </w:pPr>
            <w:r w:rsidRPr="00E14EB1">
              <w:rPr>
                <w:b/>
                <w:sz w:val="22"/>
                <w:szCs w:val="22"/>
              </w:rPr>
              <w:t>2,232,919,848</w:t>
            </w:r>
          </w:p>
        </w:tc>
        <w:tc>
          <w:tcPr>
            <w:tcW w:w="1701" w:type="dxa"/>
          </w:tcPr>
          <w:p w14:paraId="5BD4A4C3" w14:textId="77777777" w:rsidR="00752F82" w:rsidRPr="00E14EB1" w:rsidRDefault="00752F82" w:rsidP="00F07B94">
            <w:pPr>
              <w:pStyle w:val="ListParagraph"/>
              <w:adjustRightInd w:val="0"/>
              <w:spacing w:line="340" w:lineRule="exact"/>
              <w:ind w:left="0"/>
              <w:jc w:val="right"/>
              <w:rPr>
                <w:b/>
                <w:sz w:val="22"/>
                <w:szCs w:val="22"/>
              </w:rPr>
            </w:pPr>
            <w:r w:rsidRPr="00E14EB1">
              <w:rPr>
                <w:b/>
                <w:sz w:val="22"/>
                <w:szCs w:val="22"/>
              </w:rPr>
              <w:t>(2,180,627,98</w:t>
            </w:r>
            <w:r>
              <w:rPr>
                <w:b/>
                <w:sz w:val="22"/>
                <w:szCs w:val="22"/>
              </w:rPr>
              <w:t>5</w:t>
            </w:r>
            <w:r w:rsidRPr="00E14EB1">
              <w:rPr>
                <w:b/>
                <w:sz w:val="22"/>
                <w:szCs w:val="22"/>
              </w:rPr>
              <w:t>)</w:t>
            </w:r>
          </w:p>
        </w:tc>
      </w:tr>
    </w:tbl>
    <w:p w14:paraId="2B35721C" w14:textId="58766FAB" w:rsidR="00752F82" w:rsidRDefault="00752F82" w:rsidP="00826A34">
      <w:pPr>
        <w:pStyle w:val="points"/>
        <w:numPr>
          <w:ilvl w:val="0"/>
          <w:numId w:val="29"/>
        </w:numPr>
        <w:tabs>
          <w:tab w:val="clear" w:pos="1400"/>
        </w:tabs>
        <w:spacing w:before="720" w:after="360"/>
        <w:rPr>
          <w:color w:val="000000" w:themeColor="text1"/>
        </w:rPr>
      </w:pPr>
      <w:r>
        <w:rPr>
          <w:color w:val="000000" w:themeColor="text1"/>
        </w:rPr>
        <w:t xml:space="preserve">As at </w:t>
      </w:r>
      <w:r w:rsidRPr="009F1C32">
        <w:t>31</w:t>
      </w:r>
      <w:r>
        <w:rPr>
          <w:color w:val="000000" w:themeColor="text1"/>
        </w:rPr>
        <w:t xml:space="preserve"> December 2013, a discrepancy of RMB 2.72 billion (“</w:t>
      </w:r>
      <w:r w:rsidRPr="00476AFF">
        <w:rPr>
          <w:b/>
          <w:bCs/>
          <w:color w:val="000000" w:themeColor="text1"/>
        </w:rPr>
        <w:t>2013 Discrepancy</w:t>
      </w:r>
      <w:r>
        <w:rPr>
          <w:color w:val="000000" w:themeColor="text1"/>
        </w:rPr>
        <w:t>”):</w:t>
      </w:r>
    </w:p>
    <w:tbl>
      <w:tblPr>
        <w:tblStyle w:val="TableGrid"/>
        <w:tblW w:w="8080" w:type="dxa"/>
        <w:tblInd w:w="846" w:type="dxa"/>
        <w:tblLayout w:type="fixed"/>
        <w:tblLook w:val="04A0" w:firstRow="1" w:lastRow="0" w:firstColumn="1" w:lastColumn="0" w:noHBand="0" w:noVBand="1"/>
      </w:tblPr>
      <w:tblGrid>
        <w:gridCol w:w="850"/>
        <w:gridCol w:w="1276"/>
        <w:gridCol w:w="1253"/>
        <w:gridCol w:w="1440"/>
        <w:gridCol w:w="1701"/>
        <w:gridCol w:w="1560"/>
      </w:tblGrid>
      <w:tr w:rsidR="00752F82" w:rsidRPr="006D4A0D" w14:paraId="220B3C62" w14:textId="77777777" w:rsidTr="00F07B94">
        <w:trPr>
          <w:trHeight w:val="1257"/>
        </w:trPr>
        <w:tc>
          <w:tcPr>
            <w:tcW w:w="850" w:type="dxa"/>
          </w:tcPr>
          <w:p w14:paraId="64614E37" w14:textId="77777777" w:rsidR="00752F82" w:rsidRPr="00C84AF8" w:rsidRDefault="00752F82" w:rsidP="00F07B94">
            <w:pPr>
              <w:pStyle w:val="ListParagraph"/>
              <w:adjustRightInd w:val="0"/>
              <w:spacing w:line="340" w:lineRule="exact"/>
              <w:ind w:left="0"/>
              <w:rPr>
                <w:b/>
                <w:sz w:val="22"/>
                <w:szCs w:val="22"/>
              </w:rPr>
            </w:pPr>
          </w:p>
        </w:tc>
        <w:tc>
          <w:tcPr>
            <w:tcW w:w="1276" w:type="dxa"/>
          </w:tcPr>
          <w:p w14:paraId="040270F8" w14:textId="77777777" w:rsidR="00752F82" w:rsidRPr="00C84AF8" w:rsidRDefault="00752F82" w:rsidP="00F07B94">
            <w:pPr>
              <w:pStyle w:val="ListParagraph"/>
              <w:adjustRightInd w:val="0"/>
              <w:spacing w:line="340" w:lineRule="exact"/>
              <w:ind w:left="0"/>
              <w:rPr>
                <w:b/>
                <w:sz w:val="22"/>
                <w:szCs w:val="22"/>
              </w:rPr>
            </w:pPr>
          </w:p>
        </w:tc>
        <w:tc>
          <w:tcPr>
            <w:tcW w:w="1253" w:type="dxa"/>
          </w:tcPr>
          <w:p w14:paraId="6CB49D87" w14:textId="4723AF2E" w:rsidR="00752F82" w:rsidRPr="00C84AF8" w:rsidRDefault="00752F82" w:rsidP="00096B2B">
            <w:pPr>
              <w:pStyle w:val="ListParagraph"/>
              <w:adjustRightInd w:val="0"/>
              <w:spacing w:line="340" w:lineRule="exact"/>
              <w:ind w:left="0"/>
              <w:jc w:val="right"/>
              <w:rPr>
                <w:b/>
                <w:sz w:val="22"/>
                <w:szCs w:val="22"/>
              </w:rPr>
            </w:pPr>
            <w:r>
              <w:rPr>
                <w:b/>
                <w:sz w:val="22"/>
                <w:szCs w:val="22"/>
              </w:rPr>
              <w:t xml:space="preserve">Bank </w:t>
            </w:r>
            <w:r w:rsidRPr="00C84AF8">
              <w:rPr>
                <w:b/>
                <w:sz w:val="22"/>
                <w:szCs w:val="22"/>
              </w:rPr>
              <w:t>Account</w:t>
            </w:r>
            <w:r>
              <w:rPr>
                <w:b/>
                <w:sz w:val="22"/>
                <w:szCs w:val="22"/>
              </w:rPr>
              <w:t>s</w:t>
            </w:r>
          </w:p>
        </w:tc>
        <w:tc>
          <w:tcPr>
            <w:tcW w:w="1440" w:type="dxa"/>
          </w:tcPr>
          <w:p w14:paraId="680C302A" w14:textId="09967AE1" w:rsidR="00752F82" w:rsidRPr="00C84AF8" w:rsidRDefault="007F70B5" w:rsidP="00096B2B">
            <w:pPr>
              <w:pStyle w:val="ListParagraph"/>
              <w:adjustRightInd w:val="0"/>
              <w:spacing w:line="340" w:lineRule="exact"/>
              <w:ind w:left="0"/>
              <w:jc w:val="right"/>
              <w:rPr>
                <w:b/>
                <w:sz w:val="22"/>
                <w:szCs w:val="22"/>
              </w:rPr>
            </w:pPr>
            <w:r>
              <w:rPr>
                <w:b/>
                <w:sz w:val="22"/>
                <w:szCs w:val="22"/>
              </w:rPr>
              <w:t xml:space="preserve">Per </w:t>
            </w:r>
            <w:r w:rsidR="00752F82" w:rsidRPr="00C84AF8">
              <w:rPr>
                <w:b/>
                <w:sz w:val="22"/>
                <w:szCs w:val="22"/>
              </w:rPr>
              <w:t>CSRC</w:t>
            </w:r>
            <w:r w:rsidR="00752F82">
              <w:rPr>
                <w:b/>
                <w:sz w:val="22"/>
                <w:szCs w:val="22"/>
              </w:rPr>
              <w:t>’s</w:t>
            </w:r>
            <w:r w:rsidR="00752F82" w:rsidRPr="00C84AF8">
              <w:rPr>
                <w:b/>
                <w:sz w:val="22"/>
                <w:szCs w:val="22"/>
              </w:rPr>
              <w:t xml:space="preserve"> Records (RMB)</w:t>
            </w:r>
          </w:p>
        </w:tc>
        <w:tc>
          <w:tcPr>
            <w:tcW w:w="1701" w:type="dxa"/>
          </w:tcPr>
          <w:p w14:paraId="14B50310" w14:textId="3F04566C" w:rsidR="007F70B5" w:rsidRDefault="007F70B5" w:rsidP="00096B2B">
            <w:pPr>
              <w:pStyle w:val="ListParagraph"/>
              <w:adjustRightInd w:val="0"/>
              <w:spacing w:line="340" w:lineRule="exact"/>
              <w:ind w:left="0"/>
              <w:jc w:val="right"/>
              <w:rPr>
                <w:b/>
                <w:sz w:val="22"/>
                <w:szCs w:val="22"/>
              </w:rPr>
            </w:pPr>
            <w:r>
              <w:rPr>
                <w:b/>
                <w:sz w:val="22"/>
                <w:szCs w:val="22"/>
              </w:rPr>
              <w:t xml:space="preserve">Per </w:t>
            </w:r>
            <w:r w:rsidR="00752F82">
              <w:rPr>
                <w:b/>
                <w:sz w:val="22"/>
                <w:szCs w:val="22"/>
              </w:rPr>
              <w:t xml:space="preserve">Company’s </w:t>
            </w:r>
            <w:r w:rsidR="00752F82" w:rsidRPr="00C84AF8">
              <w:rPr>
                <w:b/>
                <w:sz w:val="22"/>
                <w:szCs w:val="22"/>
              </w:rPr>
              <w:t>Records</w:t>
            </w:r>
          </w:p>
          <w:p w14:paraId="36A0994B" w14:textId="2E447E7B" w:rsidR="00752F82" w:rsidRPr="00C84AF8" w:rsidRDefault="00752F82" w:rsidP="00096B2B">
            <w:pPr>
              <w:pStyle w:val="ListParagraph"/>
              <w:adjustRightInd w:val="0"/>
              <w:spacing w:line="340" w:lineRule="exact"/>
              <w:ind w:left="0"/>
              <w:jc w:val="right"/>
              <w:rPr>
                <w:b/>
                <w:sz w:val="22"/>
                <w:szCs w:val="22"/>
              </w:rPr>
            </w:pPr>
            <w:r w:rsidRPr="00C84AF8">
              <w:rPr>
                <w:b/>
                <w:sz w:val="22"/>
                <w:szCs w:val="22"/>
              </w:rPr>
              <w:t>(RMB)</w:t>
            </w:r>
          </w:p>
        </w:tc>
        <w:tc>
          <w:tcPr>
            <w:tcW w:w="1560" w:type="dxa"/>
          </w:tcPr>
          <w:p w14:paraId="4A25AA83" w14:textId="77777777" w:rsidR="00752F82" w:rsidRPr="00C84AF8" w:rsidRDefault="00752F82" w:rsidP="00096B2B">
            <w:pPr>
              <w:pStyle w:val="ListParagraph"/>
              <w:adjustRightInd w:val="0"/>
              <w:spacing w:line="340" w:lineRule="exact"/>
              <w:ind w:left="0"/>
              <w:jc w:val="right"/>
              <w:rPr>
                <w:b/>
                <w:sz w:val="22"/>
                <w:szCs w:val="22"/>
              </w:rPr>
            </w:pPr>
            <w:r w:rsidRPr="00C84AF8">
              <w:rPr>
                <w:b/>
                <w:sz w:val="22"/>
                <w:szCs w:val="22"/>
              </w:rPr>
              <w:t>Discrepancy (RMB)</w:t>
            </w:r>
          </w:p>
        </w:tc>
      </w:tr>
      <w:tr w:rsidR="00752F82" w:rsidRPr="006D4A0D" w14:paraId="2B1AA596" w14:textId="77777777" w:rsidTr="00F07B94">
        <w:trPr>
          <w:trHeight w:val="416"/>
        </w:trPr>
        <w:tc>
          <w:tcPr>
            <w:tcW w:w="850" w:type="dxa"/>
            <w:vMerge w:val="restart"/>
          </w:tcPr>
          <w:p w14:paraId="24183872" w14:textId="77777777" w:rsidR="00752F82" w:rsidRPr="00C84AF8" w:rsidRDefault="00752F82" w:rsidP="00F07B94">
            <w:pPr>
              <w:pStyle w:val="ListParagraph"/>
              <w:adjustRightInd w:val="0"/>
              <w:spacing w:line="340" w:lineRule="exact"/>
              <w:ind w:left="0"/>
              <w:rPr>
                <w:sz w:val="22"/>
                <w:szCs w:val="22"/>
              </w:rPr>
            </w:pPr>
            <w:r w:rsidRPr="00C84AF8">
              <w:rPr>
                <w:sz w:val="22"/>
                <w:szCs w:val="22"/>
              </w:rPr>
              <w:t xml:space="preserve">HXB </w:t>
            </w:r>
          </w:p>
          <w:p w14:paraId="503A33C5" w14:textId="77777777" w:rsidR="00752F82" w:rsidRPr="00C84AF8" w:rsidRDefault="00752F82" w:rsidP="00F07B94">
            <w:pPr>
              <w:pStyle w:val="ListParagraph"/>
              <w:adjustRightInd w:val="0"/>
              <w:spacing w:line="340" w:lineRule="exact"/>
              <w:ind w:left="0"/>
              <w:rPr>
                <w:sz w:val="22"/>
                <w:szCs w:val="22"/>
              </w:rPr>
            </w:pPr>
          </w:p>
        </w:tc>
        <w:tc>
          <w:tcPr>
            <w:tcW w:w="1276" w:type="dxa"/>
          </w:tcPr>
          <w:p w14:paraId="63E0FBE8" w14:textId="77777777" w:rsidR="00752F82" w:rsidRPr="00C84AF8" w:rsidRDefault="00752F82" w:rsidP="00F07B94">
            <w:pPr>
              <w:pStyle w:val="ListParagraph"/>
              <w:adjustRightInd w:val="0"/>
              <w:spacing w:line="340" w:lineRule="exact"/>
              <w:ind w:left="0"/>
              <w:rPr>
                <w:sz w:val="22"/>
                <w:szCs w:val="22"/>
              </w:rPr>
            </w:pPr>
            <w:r w:rsidRPr="00C84AF8">
              <w:rPr>
                <w:sz w:val="22"/>
                <w:szCs w:val="22"/>
              </w:rPr>
              <w:t xml:space="preserve">BJ </w:t>
            </w:r>
            <w:proofErr w:type="spellStart"/>
            <w:r w:rsidRPr="00C84AF8">
              <w:rPr>
                <w:sz w:val="22"/>
                <w:szCs w:val="22"/>
              </w:rPr>
              <w:t>Epure</w:t>
            </w:r>
            <w:proofErr w:type="spellEnd"/>
          </w:p>
        </w:tc>
        <w:tc>
          <w:tcPr>
            <w:tcW w:w="1253" w:type="dxa"/>
          </w:tcPr>
          <w:p w14:paraId="492CF056"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483</w:t>
            </w:r>
          </w:p>
        </w:tc>
        <w:tc>
          <w:tcPr>
            <w:tcW w:w="1440" w:type="dxa"/>
          </w:tcPr>
          <w:p w14:paraId="5C0CF326"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8,90</w:t>
            </w:r>
            <w:r>
              <w:rPr>
                <w:sz w:val="22"/>
                <w:szCs w:val="22"/>
              </w:rPr>
              <w:t>5</w:t>
            </w:r>
          </w:p>
        </w:tc>
        <w:tc>
          <w:tcPr>
            <w:tcW w:w="1701" w:type="dxa"/>
          </w:tcPr>
          <w:p w14:paraId="77D8E5D3"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302,726,462</w:t>
            </w:r>
          </w:p>
        </w:tc>
        <w:tc>
          <w:tcPr>
            <w:tcW w:w="1560" w:type="dxa"/>
          </w:tcPr>
          <w:p w14:paraId="56F5B481"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(302,717,557)</w:t>
            </w:r>
          </w:p>
        </w:tc>
      </w:tr>
      <w:tr w:rsidR="00752F82" w:rsidRPr="006D4A0D" w14:paraId="27D1FADF" w14:textId="77777777" w:rsidTr="00F07B94">
        <w:trPr>
          <w:trHeight w:val="416"/>
        </w:trPr>
        <w:tc>
          <w:tcPr>
            <w:tcW w:w="850" w:type="dxa"/>
            <w:vMerge/>
          </w:tcPr>
          <w:p w14:paraId="384F3479" w14:textId="77777777" w:rsidR="00752F82" w:rsidRPr="00C84AF8" w:rsidRDefault="00752F82" w:rsidP="00F07B94">
            <w:pPr>
              <w:pStyle w:val="ListParagraph"/>
              <w:adjustRightInd w:val="0"/>
              <w:spacing w:line="340" w:lineRule="exact"/>
              <w:ind w:left="0"/>
              <w:rPr>
                <w:sz w:val="22"/>
                <w:szCs w:val="22"/>
              </w:rPr>
            </w:pPr>
          </w:p>
        </w:tc>
        <w:tc>
          <w:tcPr>
            <w:tcW w:w="1276" w:type="dxa"/>
          </w:tcPr>
          <w:p w14:paraId="519CDCA6" w14:textId="77777777" w:rsidR="00752F82" w:rsidRPr="00C84AF8" w:rsidRDefault="00752F82" w:rsidP="00F07B94">
            <w:pPr>
              <w:pStyle w:val="ListParagraph"/>
              <w:adjustRightInd w:val="0"/>
              <w:spacing w:line="340" w:lineRule="exact"/>
              <w:ind w:left="0"/>
              <w:rPr>
                <w:sz w:val="22"/>
                <w:szCs w:val="22"/>
              </w:rPr>
            </w:pPr>
            <w:r w:rsidRPr="00C84AF8">
              <w:rPr>
                <w:sz w:val="22"/>
                <w:szCs w:val="22"/>
              </w:rPr>
              <w:t>BJ Sound</w:t>
            </w:r>
          </w:p>
        </w:tc>
        <w:tc>
          <w:tcPr>
            <w:tcW w:w="1253" w:type="dxa"/>
          </w:tcPr>
          <w:p w14:paraId="09C9AC37"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551</w:t>
            </w:r>
          </w:p>
        </w:tc>
        <w:tc>
          <w:tcPr>
            <w:tcW w:w="1440" w:type="dxa"/>
          </w:tcPr>
          <w:p w14:paraId="18E080A4"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20,003,84</w:t>
            </w:r>
            <w:r>
              <w:rPr>
                <w:sz w:val="22"/>
                <w:szCs w:val="22"/>
              </w:rPr>
              <w:t>7</w:t>
            </w:r>
          </w:p>
        </w:tc>
        <w:tc>
          <w:tcPr>
            <w:tcW w:w="1701" w:type="dxa"/>
          </w:tcPr>
          <w:p w14:paraId="77B3D211"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785,393,39</w:t>
            </w:r>
            <w:r>
              <w:rPr>
                <w:sz w:val="22"/>
                <w:szCs w:val="22"/>
              </w:rPr>
              <w:t>2</w:t>
            </w:r>
          </w:p>
        </w:tc>
        <w:tc>
          <w:tcPr>
            <w:tcW w:w="1560" w:type="dxa"/>
          </w:tcPr>
          <w:p w14:paraId="488EC2BF"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(765,389,545)</w:t>
            </w:r>
          </w:p>
        </w:tc>
      </w:tr>
      <w:tr w:rsidR="00752F82" w:rsidRPr="006D4A0D" w14:paraId="3776ED52" w14:textId="77777777" w:rsidTr="00F07B94">
        <w:trPr>
          <w:trHeight w:val="416"/>
        </w:trPr>
        <w:tc>
          <w:tcPr>
            <w:tcW w:w="850" w:type="dxa"/>
            <w:vMerge/>
          </w:tcPr>
          <w:p w14:paraId="3D91FC8D" w14:textId="77777777" w:rsidR="00752F82" w:rsidRPr="00C84AF8" w:rsidRDefault="00752F82" w:rsidP="00F07B94">
            <w:pPr>
              <w:pStyle w:val="ListParagraph"/>
              <w:adjustRightInd w:val="0"/>
              <w:spacing w:line="340" w:lineRule="exact"/>
              <w:ind w:left="0"/>
              <w:rPr>
                <w:sz w:val="22"/>
                <w:szCs w:val="22"/>
              </w:rPr>
            </w:pPr>
          </w:p>
        </w:tc>
        <w:tc>
          <w:tcPr>
            <w:tcW w:w="1276" w:type="dxa"/>
          </w:tcPr>
          <w:p w14:paraId="24928843" w14:textId="77777777" w:rsidR="00752F82" w:rsidRPr="00C84AF8" w:rsidRDefault="00752F82" w:rsidP="00F07B94">
            <w:pPr>
              <w:pStyle w:val="ListParagraph"/>
              <w:adjustRightInd w:val="0"/>
              <w:spacing w:line="340" w:lineRule="exact"/>
              <w:ind w:left="0"/>
              <w:rPr>
                <w:sz w:val="22"/>
                <w:szCs w:val="22"/>
              </w:rPr>
            </w:pPr>
            <w:r w:rsidRPr="00C84AF8">
              <w:rPr>
                <w:sz w:val="22"/>
                <w:szCs w:val="22"/>
              </w:rPr>
              <w:t>BJ Hi-Standard</w:t>
            </w:r>
          </w:p>
        </w:tc>
        <w:tc>
          <w:tcPr>
            <w:tcW w:w="1253" w:type="dxa"/>
          </w:tcPr>
          <w:p w14:paraId="2482406B"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105</w:t>
            </w:r>
          </w:p>
        </w:tc>
        <w:tc>
          <w:tcPr>
            <w:tcW w:w="1440" w:type="dxa"/>
          </w:tcPr>
          <w:p w14:paraId="33EE06B0"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425,049</w:t>
            </w:r>
          </w:p>
        </w:tc>
        <w:tc>
          <w:tcPr>
            <w:tcW w:w="1701" w:type="dxa"/>
          </w:tcPr>
          <w:p w14:paraId="4D836228"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90,925,10</w:t>
            </w:r>
            <w:r>
              <w:rPr>
                <w:sz w:val="22"/>
                <w:szCs w:val="22"/>
              </w:rPr>
              <w:t>2</w:t>
            </w:r>
          </w:p>
        </w:tc>
        <w:tc>
          <w:tcPr>
            <w:tcW w:w="1560" w:type="dxa"/>
          </w:tcPr>
          <w:p w14:paraId="445978AA"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(90,500,05</w:t>
            </w:r>
            <w:r>
              <w:rPr>
                <w:sz w:val="22"/>
                <w:szCs w:val="22"/>
              </w:rPr>
              <w:t>3</w:t>
            </w:r>
            <w:r w:rsidRPr="00C84AF8">
              <w:rPr>
                <w:sz w:val="22"/>
                <w:szCs w:val="22"/>
              </w:rPr>
              <w:t>)</w:t>
            </w:r>
          </w:p>
        </w:tc>
      </w:tr>
      <w:tr w:rsidR="00752F82" w:rsidRPr="006D4A0D" w14:paraId="01DDF4D8" w14:textId="77777777" w:rsidTr="00F07B94">
        <w:trPr>
          <w:trHeight w:val="292"/>
        </w:trPr>
        <w:tc>
          <w:tcPr>
            <w:tcW w:w="850" w:type="dxa"/>
            <w:vMerge w:val="restart"/>
          </w:tcPr>
          <w:p w14:paraId="687B3B47" w14:textId="77777777" w:rsidR="00752F82" w:rsidRPr="00C84AF8" w:rsidRDefault="00752F82" w:rsidP="00F07B94">
            <w:pPr>
              <w:pStyle w:val="ListParagraph"/>
              <w:adjustRightInd w:val="0"/>
              <w:spacing w:line="340" w:lineRule="exact"/>
              <w:ind w:left="0"/>
              <w:rPr>
                <w:sz w:val="22"/>
                <w:szCs w:val="22"/>
              </w:rPr>
            </w:pPr>
            <w:r w:rsidRPr="00C84AF8">
              <w:rPr>
                <w:sz w:val="22"/>
                <w:szCs w:val="22"/>
              </w:rPr>
              <w:t>PAB</w:t>
            </w:r>
          </w:p>
        </w:tc>
        <w:tc>
          <w:tcPr>
            <w:tcW w:w="1276" w:type="dxa"/>
          </w:tcPr>
          <w:p w14:paraId="5A9E007D" w14:textId="77777777" w:rsidR="00752F82" w:rsidRPr="00C84AF8" w:rsidRDefault="00752F82" w:rsidP="00F07B94">
            <w:pPr>
              <w:pStyle w:val="ListParagraph"/>
              <w:adjustRightInd w:val="0"/>
              <w:spacing w:line="340" w:lineRule="exact"/>
              <w:ind w:left="0"/>
              <w:rPr>
                <w:sz w:val="22"/>
                <w:szCs w:val="22"/>
              </w:rPr>
            </w:pPr>
            <w:r w:rsidRPr="00C84AF8">
              <w:rPr>
                <w:sz w:val="22"/>
                <w:szCs w:val="22"/>
              </w:rPr>
              <w:t xml:space="preserve">BJ </w:t>
            </w:r>
            <w:proofErr w:type="spellStart"/>
            <w:r w:rsidRPr="00C84AF8">
              <w:rPr>
                <w:sz w:val="22"/>
                <w:szCs w:val="22"/>
              </w:rPr>
              <w:t>Epure</w:t>
            </w:r>
            <w:proofErr w:type="spellEnd"/>
          </w:p>
        </w:tc>
        <w:tc>
          <w:tcPr>
            <w:tcW w:w="1253" w:type="dxa"/>
          </w:tcPr>
          <w:p w14:paraId="7A859240"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501</w:t>
            </w:r>
          </w:p>
        </w:tc>
        <w:tc>
          <w:tcPr>
            <w:tcW w:w="1440" w:type="dxa"/>
          </w:tcPr>
          <w:p w14:paraId="71488F18"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9,31</w:t>
            </w:r>
            <w:r>
              <w:rPr>
                <w:sz w:val="22"/>
                <w:szCs w:val="22"/>
              </w:rPr>
              <w:t>7</w:t>
            </w:r>
          </w:p>
        </w:tc>
        <w:tc>
          <w:tcPr>
            <w:tcW w:w="1701" w:type="dxa"/>
          </w:tcPr>
          <w:p w14:paraId="07A670A7"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994,904,877</w:t>
            </w:r>
          </w:p>
        </w:tc>
        <w:tc>
          <w:tcPr>
            <w:tcW w:w="1560" w:type="dxa"/>
          </w:tcPr>
          <w:p w14:paraId="173C5D8F" w14:textId="77777777" w:rsidR="00752F82" w:rsidRPr="00C84AF8" w:rsidRDefault="00752F82" w:rsidP="00F07B94">
            <w:pPr>
              <w:pStyle w:val="ListParagraph"/>
              <w:adjustRightInd w:val="0"/>
              <w:spacing w:line="340" w:lineRule="exact"/>
              <w:ind w:left="0"/>
              <w:jc w:val="right"/>
              <w:rPr>
                <w:sz w:val="22"/>
                <w:szCs w:val="22"/>
              </w:rPr>
            </w:pPr>
            <w:r w:rsidRPr="00C84AF8">
              <w:rPr>
                <w:sz w:val="22"/>
                <w:szCs w:val="22"/>
              </w:rPr>
              <w:t>(994,895,560)</w:t>
            </w:r>
          </w:p>
        </w:tc>
      </w:tr>
      <w:tr w:rsidR="00752F82" w:rsidRPr="006D4A0D" w14:paraId="5C6135F0" w14:textId="77777777" w:rsidTr="00F07B94">
        <w:trPr>
          <w:trHeight w:val="292"/>
        </w:trPr>
        <w:tc>
          <w:tcPr>
            <w:tcW w:w="850" w:type="dxa"/>
            <w:vMerge/>
          </w:tcPr>
          <w:p w14:paraId="3B06B74B" w14:textId="77777777" w:rsidR="00752F82" w:rsidRPr="00C84AF8" w:rsidRDefault="00752F82" w:rsidP="00F07B94">
            <w:pPr>
              <w:pStyle w:val="ListParagraph"/>
              <w:adjustRightInd w:val="0"/>
              <w:spacing w:line="340" w:lineRule="exact"/>
              <w:ind w:left="0"/>
              <w:rPr>
                <w:sz w:val="22"/>
                <w:szCs w:val="22"/>
              </w:rPr>
            </w:pPr>
          </w:p>
        </w:tc>
        <w:tc>
          <w:tcPr>
            <w:tcW w:w="1276" w:type="dxa"/>
          </w:tcPr>
          <w:p w14:paraId="0BB29444" w14:textId="77777777" w:rsidR="00752F82" w:rsidRPr="00886B83" w:rsidRDefault="00752F82" w:rsidP="00F07B94">
            <w:pPr>
              <w:pStyle w:val="ListParagraph"/>
              <w:adjustRightInd w:val="0"/>
              <w:spacing w:line="340" w:lineRule="exact"/>
              <w:ind w:left="0"/>
              <w:rPr>
                <w:sz w:val="22"/>
                <w:szCs w:val="22"/>
              </w:rPr>
            </w:pPr>
            <w:r w:rsidRPr="00886B83">
              <w:rPr>
                <w:sz w:val="22"/>
                <w:szCs w:val="22"/>
              </w:rPr>
              <w:t>BJ Sound</w:t>
            </w:r>
          </w:p>
        </w:tc>
        <w:tc>
          <w:tcPr>
            <w:tcW w:w="1253" w:type="dxa"/>
          </w:tcPr>
          <w:p w14:paraId="5CEE9AEA" w14:textId="77777777" w:rsidR="00752F82" w:rsidRPr="00886B83" w:rsidRDefault="00752F82" w:rsidP="00F07B94">
            <w:pPr>
              <w:pStyle w:val="ListParagraph"/>
              <w:adjustRightInd w:val="0"/>
              <w:spacing w:line="340" w:lineRule="exact"/>
              <w:ind w:left="0"/>
              <w:jc w:val="right"/>
              <w:rPr>
                <w:sz w:val="22"/>
                <w:szCs w:val="22"/>
              </w:rPr>
            </w:pPr>
            <w:r w:rsidRPr="00886B83">
              <w:rPr>
                <w:sz w:val="22"/>
                <w:szCs w:val="22"/>
              </w:rPr>
              <w:t>002</w:t>
            </w:r>
          </w:p>
        </w:tc>
        <w:tc>
          <w:tcPr>
            <w:tcW w:w="1440" w:type="dxa"/>
          </w:tcPr>
          <w:p w14:paraId="48B9F546" w14:textId="77777777" w:rsidR="00752F82" w:rsidRPr="00886B83" w:rsidRDefault="00752F82" w:rsidP="00F07B94">
            <w:pPr>
              <w:pStyle w:val="ListParagraph"/>
              <w:adjustRightInd w:val="0"/>
              <w:spacing w:line="340" w:lineRule="exact"/>
              <w:ind w:left="0"/>
              <w:jc w:val="right"/>
              <w:rPr>
                <w:sz w:val="22"/>
                <w:szCs w:val="22"/>
              </w:rPr>
            </w:pPr>
            <w:r w:rsidRPr="00886B83">
              <w:rPr>
                <w:sz w:val="22"/>
                <w:szCs w:val="22"/>
              </w:rPr>
              <w:t>18,451</w:t>
            </w:r>
          </w:p>
        </w:tc>
        <w:tc>
          <w:tcPr>
            <w:tcW w:w="1701" w:type="dxa"/>
          </w:tcPr>
          <w:p w14:paraId="21035859" w14:textId="77777777" w:rsidR="00752F82" w:rsidRPr="00886B83" w:rsidRDefault="00752F82" w:rsidP="00F07B94">
            <w:pPr>
              <w:pStyle w:val="ListParagraph"/>
              <w:adjustRightInd w:val="0"/>
              <w:spacing w:line="340" w:lineRule="exact"/>
              <w:ind w:left="0"/>
              <w:jc w:val="right"/>
              <w:rPr>
                <w:sz w:val="22"/>
                <w:szCs w:val="22"/>
              </w:rPr>
            </w:pPr>
            <w:r w:rsidRPr="00886B83">
              <w:rPr>
                <w:sz w:val="22"/>
                <w:szCs w:val="22"/>
              </w:rPr>
              <w:t>571,497,631</w:t>
            </w:r>
          </w:p>
        </w:tc>
        <w:tc>
          <w:tcPr>
            <w:tcW w:w="1560" w:type="dxa"/>
          </w:tcPr>
          <w:p w14:paraId="1861009D" w14:textId="77777777" w:rsidR="00752F82" w:rsidRPr="00886B83" w:rsidRDefault="00752F82" w:rsidP="00F07B94">
            <w:pPr>
              <w:pStyle w:val="ListParagraph"/>
              <w:adjustRightInd w:val="0"/>
              <w:spacing w:line="340" w:lineRule="exact"/>
              <w:ind w:left="0"/>
              <w:jc w:val="right"/>
              <w:rPr>
                <w:sz w:val="22"/>
                <w:szCs w:val="22"/>
              </w:rPr>
            </w:pPr>
            <w:r w:rsidRPr="00886B83">
              <w:rPr>
                <w:sz w:val="22"/>
                <w:szCs w:val="22"/>
              </w:rPr>
              <w:t>(571,479,180)</w:t>
            </w:r>
          </w:p>
        </w:tc>
      </w:tr>
      <w:tr w:rsidR="00752F82" w:rsidRPr="006D4A0D" w14:paraId="120362FE" w14:textId="77777777" w:rsidTr="00F07B94">
        <w:trPr>
          <w:trHeight w:val="217"/>
        </w:trPr>
        <w:tc>
          <w:tcPr>
            <w:tcW w:w="3379" w:type="dxa"/>
            <w:gridSpan w:val="3"/>
          </w:tcPr>
          <w:p w14:paraId="185F2D27" w14:textId="77777777" w:rsidR="00752F82" w:rsidRPr="00472DE8" w:rsidRDefault="00752F82" w:rsidP="00F07B94">
            <w:pPr>
              <w:pStyle w:val="ListParagraph"/>
              <w:adjustRightInd w:val="0"/>
              <w:spacing w:line="340" w:lineRule="exact"/>
              <w:ind w:left="0"/>
              <w:jc w:val="right"/>
              <w:rPr>
                <w:b/>
                <w:sz w:val="20"/>
              </w:rPr>
            </w:pPr>
            <w:r w:rsidRPr="00472DE8">
              <w:rPr>
                <w:b/>
                <w:sz w:val="20"/>
              </w:rPr>
              <w:t>Total</w:t>
            </w:r>
          </w:p>
        </w:tc>
        <w:tc>
          <w:tcPr>
            <w:tcW w:w="1440" w:type="dxa"/>
          </w:tcPr>
          <w:p w14:paraId="1653F967" w14:textId="77777777" w:rsidR="00752F82" w:rsidRPr="00472DE8" w:rsidRDefault="00752F82" w:rsidP="00F07B94">
            <w:pPr>
              <w:pStyle w:val="ListParagraph"/>
              <w:adjustRightInd w:val="0"/>
              <w:spacing w:line="340" w:lineRule="exact"/>
              <w:ind w:left="0"/>
              <w:jc w:val="right"/>
              <w:rPr>
                <w:b/>
                <w:sz w:val="20"/>
              </w:rPr>
            </w:pPr>
            <w:r w:rsidRPr="00472DE8">
              <w:rPr>
                <w:b/>
                <w:sz w:val="20"/>
              </w:rPr>
              <w:t>20,465,56</w:t>
            </w:r>
            <w:r>
              <w:rPr>
                <w:b/>
                <w:sz w:val="20"/>
              </w:rPr>
              <w:t>8</w:t>
            </w:r>
          </w:p>
        </w:tc>
        <w:tc>
          <w:tcPr>
            <w:tcW w:w="1701" w:type="dxa"/>
          </w:tcPr>
          <w:p w14:paraId="2E939BCB" w14:textId="77777777" w:rsidR="00752F82" w:rsidRPr="00472DE8" w:rsidRDefault="00752F82" w:rsidP="00F07B94">
            <w:pPr>
              <w:pStyle w:val="ListParagraph"/>
              <w:adjustRightInd w:val="0"/>
              <w:spacing w:line="340" w:lineRule="exact"/>
              <w:ind w:left="0"/>
              <w:jc w:val="right"/>
              <w:rPr>
                <w:b/>
                <w:sz w:val="20"/>
              </w:rPr>
            </w:pPr>
            <w:r w:rsidRPr="00472DE8">
              <w:rPr>
                <w:b/>
                <w:sz w:val="20"/>
              </w:rPr>
              <w:t>2,745,447,46</w:t>
            </w:r>
            <w:r>
              <w:rPr>
                <w:b/>
                <w:sz w:val="20"/>
              </w:rPr>
              <w:t>4</w:t>
            </w:r>
          </w:p>
        </w:tc>
        <w:tc>
          <w:tcPr>
            <w:tcW w:w="1560" w:type="dxa"/>
          </w:tcPr>
          <w:p w14:paraId="6FCC7723" w14:textId="77777777" w:rsidR="00752F82" w:rsidRPr="00472DE8" w:rsidRDefault="00752F82" w:rsidP="00F07B94">
            <w:pPr>
              <w:pStyle w:val="ListParagraph"/>
              <w:adjustRightInd w:val="0"/>
              <w:spacing w:line="340" w:lineRule="exact"/>
              <w:ind w:left="0"/>
              <w:jc w:val="right"/>
              <w:rPr>
                <w:b/>
                <w:sz w:val="20"/>
              </w:rPr>
            </w:pPr>
            <w:r w:rsidRPr="00472DE8">
              <w:rPr>
                <w:b/>
                <w:sz w:val="20"/>
              </w:rPr>
              <w:t>(2,724,981,896)</w:t>
            </w:r>
          </w:p>
        </w:tc>
      </w:tr>
    </w:tbl>
    <w:p w14:paraId="150D42B0" w14:textId="38A06E92" w:rsidR="00B912DA" w:rsidRPr="00B912DA" w:rsidRDefault="00B912DA" w:rsidP="000B13D0">
      <w:pPr>
        <w:pStyle w:val="Final"/>
        <w:numPr>
          <w:ilvl w:val="0"/>
          <w:numId w:val="2"/>
        </w:numPr>
        <w:tabs>
          <w:tab w:val="clear" w:pos="720"/>
          <w:tab w:val="num" w:pos="0"/>
        </w:tabs>
        <w:spacing w:before="600"/>
        <w:ind w:left="0" w:firstLine="0"/>
        <w:rPr>
          <w:color w:val="000000" w:themeColor="text1"/>
        </w:rPr>
      </w:pPr>
      <w:r w:rsidRPr="00B912DA">
        <w:rPr>
          <w:color w:val="000000" w:themeColor="text1"/>
        </w:rPr>
        <w:t>In other words, through the Company’s Records</w:t>
      </w:r>
      <w:r>
        <w:rPr>
          <w:color w:val="000000" w:themeColor="text1"/>
        </w:rPr>
        <w:t>,</w:t>
      </w:r>
      <w:r w:rsidRPr="00B912DA">
        <w:rPr>
          <w:color w:val="000000" w:themeColor="text1"/>
        </w:rPr>
        <w:t xml:space="preserve"> the </w:t>
      </w:r>
      <w:r>
        <w:rPr>
          <w:color w:val="000000" w:themeColor="text1"/>
        </w:rPr>
        <w:t xml:space="preserve">Subsidiaries </w:t>
      </w:r>
      <w:r w:rsidRPr="00B912DA">
        <w:rPr>
          <w:color w:val="000000" w:themeColor="text1"/>
        </w:rPr>
        <w:t>had created fictitious bank balances in the 5 Bank Accounts in the amount of RMB 2.18 billion and RMB 2.72 billion as at 31 December 2012 and 2013 respectively</w:t>
      </w:r>
      <w:r w:rsidRPr="00B912DA">
        <w:rPr>
          <w:rStyle w:val="FootnoteReference"/>
          <w:color w:val="000000" w:themeColor="text1"/>
        </w:rPr>
        <w:footnoteReference w:id="31"/>
      </w:r>
      <w:r w:rsidR="00AE6CFF">
        <w:rPr>
          <w:color w:val="000000" w:themeColor="text1"/>
        </w:rPr>
        <w:t xml:space="preserve">.  </w:t>
      </w:r>
      <w:r w:rsidR="00874712">
        <w:rPr>
          <w:color w:val="000000" w:themeColor="text1"/>
        </w:rPr>
        <w:t>The</w:t>
      </w:r>
      <w:r w:rsidR="00346E13">
        <w:rPr>
          <w:color w:val="000000" w:themeColor="text1"/>
        </w:rPr>
        <w:t xml:space="preserve"> discrepanc</w:t>
      </w:r>
      <w:r w:rsidR="00E721DE">
        <w:rPr>
          <w:color w:val="000000" w:themeColor="text1"/>
        </w:rPr>
        <w:t>ies were</w:t>
      </w:r>
      <w:r w:rsidR="00346E13">
        <w:rPr>
          <w:color w:val="000000" w:themeColor="text1"/>
        </w:rPr>
        <w:t xml:space="preserve"> very significant </w:t>
      </w:r>
      <w:r w:rsidR="00CC0196">
        <w:rPr>
          <w:color w:val="000000" w:themeColor="text1"/>
        </w:rPr>
        <w:t xml:space="preserve">in that </w:t>
      </w:r>
      <w:r w:rsidR="00346E13">
        <w:rPr>
          <w:color w:val="000000" w:themeColor="text1"/>
        </w:rPr>
        <w:t xml:space="preserve">they </w:t>
      </w:r>
      <w:r w:rsidRPr="00B912DA">
        <w:rPr>
          <w:color w:val="000000" w:themeColor="text1"/>
        </w:rPr>
        <w:t>represented 82% and 89% of the net assets of the Group as at 31 December 2012 and 2013</w:t>
      </w:r>
      <w:r w:rsidR="00AE6CFF">
        <w:rPr>
          <w:color w:val="000000" w:themeColor="text1"/>
        </w:rPr>
        <w:t xml:space="preserve">.  </w:t>
      </w:r>
    </w:p>
    <w:p w14:paraId="0B72E1BE" w14:textId="77777777" w:rsidR="005E7543" w:rsidRDefault="00375871">
      <w:pPr>
        <w:pStyle w:val="Final"/>
        <w:numPr>
          <w:ilvl w:val="0"/>
          <w:numId w:val="2"/>
        </w:numPr>
        <w:tabs>
          <w:tab w:val="clear" w:pos="720"/>
          <w:tab w:val="num" w:pos="0"/>
        </w:tabs>
        <w:ind w:left="0" w:firstLine="0"/>
        <w:rPr>
          <w:color w:val="000000" w:themeColor="text1"/>
        </w:rPr>
      </w:pPr>
      <w:r w:rsidRPr="00B912DA">
        <w:rPr>
          <w:color w:val="000000" w:themeColor="text1"/>
          <w:u w:val="single"/>
        </w:rPr>
        <w:t>Second</w:t>
      </w:r>
      <w:r w:rsidRPr="001C5C4E">
        <w:rPr>
          <w:color w:val="000000" w:themeColor="text1"/>
        </w:rPr>
        <w:t xml:space="preserve">, </w:t>
      </w:r>
      <w:r w:rsidR="00EC598F">
        <w:rPr>
          <w:color w:val="000000" w:themeColor="text1"/>
        </w:rPr>
        <w:t xml:space="preserve">it is the unchallenged evidence of </w:t>
      </w:r>
      <w:r w:rsidR="00D866E8" w:rsidRPr="001C5C4E">
        <w:rPr>
          <w:color w:val="000000" w:themeColor="text1"/>
        </w:rPr>
        <w:t xml:space="preserve">Ms Wang </w:t>
      </w:r>
      <w:r w:rsidR="00E01BC9">
        <w:rPr>
          <w:color w:val="000000" w:themeColor="text1"/>
        </w:rPr>
        <w:t xml:space="preserve">(a staff </w:t>
      </w:r>
      <w:r w:rsidR="00D866E8" w:rsidRPr="001C5C4E">
        <w:rPr>
          <w:color w:val="000000" w:themeColor="text1"/>
        </w:rPr>
        <w:t>of Deloitte BJ</w:t>
      </w:r>
      <w:r w:rsidR="00E01BC9">
        <w:rPr>
          <w:color w:val="000000" w:themeColor="text1"/>
        </w:rPr>
        <w:t>)</w:t>
      </w:r>
      <w:r w:rsidR="00D866E8" w:rsidRPr="001C5C4E">
        <w:rPr>
          <w:color w:val="000000" w:themeColor="text1"/>
        </w:rPr>
        <w:t xml:space="preserve"> that the Company’s Records had been provided </w:t>
      </w:r>
      <w:r w:rsidR="00D85358">
        <w:rPr>
          <w:color w:val="000000" w:themeColor="text1"/>
        </w:rPr>
        <w:t>to</w:t>
      </w:r>
      <w:r w:rsidR="00D866E8" w:rsidRPr="001C5C4E">
        <w:rPr>
          <w:color w:val="000000" w:themeColor="text1"/>
        </w:rPr>
        <w:t xml:space="preserve"> and relied upon by Deloitte as evidence confirming the existence of the bank balances stated in the 2012 AFS and 2013 AFS.</w:t>
      </w:r>
      <w:r w:rsidR="00D866E8" w:rsidRPr="001C5C4E">
        <w:rPr>
          <w:rStyle w:val="FootnoteReference"/>
          <w:color w:val="000000" w:themeColor="text1"/>
        </w:rPr>
        <w:footnoteReference w:id="32"/>
      </w:r>
      <w:r w:rsidR="00D866E8" w:rsidRPr="001C5C4E">
        <w:rPr>
          <w:color w:val="000000" w:themeColor="text1"/>
        </w:rPr>
        <w:t xml:space="preserve">  </w:t>
      </w:r>
    </w:p>
    <w:p w14:paraId="558DA03F" w14:textId="05EB20B2" w:rsidR="00D866E8" w:rsidRPr="001C5C4E" w:rsidRDefault="005E7543">
      <w:pPr>
        <w:pStyle w:val="Final"/>
        <w:numPr>
          <w:ilvl w:val="0"/>
          <w:numId w:val="2"/>
        </w:numPr>
        <w:tabs>
          <w:tab w:val="clear" w:pos="720"/>
          <w:tab w:val="num" w:pos="0"/>
        </w:tabs>
        <w:ind w:left="0" w:firstLine="0"/>
        <w:rPr>
          <w:color w:val="000000" w:themeColor="text1"/>
        </w:rPr>
      </w:pPr>
      <w:r w:rsidRPr="00A41D76">
        <w:rPr>
          <w:color w:val="000000" w:themeColor="text1"/>
          <w:u w:val="single"/>
        </w:rPr>
        <w:t>Third</w:t>
      </w:r>
      <w:r w:rsidRPr="00186357">
        <w:rPr>
          <w:color w:val="000000" w:themeColor="text1"/>
        </w:rPr>
        <w:t xml:space="preserve">, </w:t>
      </w:r>
      <w:r w:rsidR="00A41D76">
        <w:rPr>
          <w:color w:val="000000" w:themeColor="text1"/>
        </w:rPr>
        <w:t>t</w:t>
      </w:r>
      <w:r w:rsidR="004703DA">
        <w:rPr>
          <w:color w:val="000000" w:themeColor="text1"/>
        </w:rPr>
        <w:t xml:space="preserve">he </w:t>
      </w:r>
      <w:r w:rsidR="00B235D4">
        <w:rPr>
          <w:color w:val="000000" w:themeColor="text1"/>
        </w:rPr>
        <w:t xml:space="preserve">undisputed </w:t>
      </w:r>
      <w:r w:rsidR="002516A5">
        <w:rPr>
          <w:color w:val="000000" w:themeColor="text1"/>
        </w:rPr>
        <w:t xml:space="preserve">evidence shows that the </w:t>
      </w:r>
      <w:r w:rsidR="004703DA">
        <w:rPr>
          <w:color w:val="000000" w:themeColor="text1"/>
        </w:rPr>
        <w:t xml:space="preserve">Fabrication Scheme </w:t>
      </w:r>
      <w:r w:rsidR="00B235D4">
        <w:rPr>
          <w:color w:val="000000" w:themeColor="text1"/>
        </w:rPr>
        <w:t xml:space="preserve">was carried out </w:t>
      </w:r>
      <w:r w:rsidR="004703DA">
        <w:rPr>
          <w:color w:val="000000" w:themeColor="text1"/>
        </w:rPr>
        <w:t>in th</w:t>
      </w:r>
      <w:r w:rsidR="00B235D4">
        <w:rPr>
          <w:color w:val="000000" w:themeColor="text1"/>
        </w:rPr>
        <w:t>e following manner</w:t>
      </w:r>
      <w:r w:rsidR="00FE5E09">
        <w:rPr>
          <w:rStyle w:val="FootnoteReference"/>
          <w:color w:val="000000" w:themeColor="text1"/>
        </w:rPr>
        <w:footnoteReference w:id="33"/>
      </w:r>
      <w:r w:rsidR="004703DA">
        <w:rPr>
          <w:color w:val="000000" w:themeColor="text1"/>
        </w:rPr>
        <w:t>:</w:t>
      </w:r>
      <w:r w:rsidR="00070B1A">
        <w:rPr>
          <w:color w:val="000000" w:themeColor="text1"/>
        </w:rPr>
        <w:t xml:space="preserve"> </w:t>
      </w:r>
    </w:p>
    <w:p w14:paraId="6415DE04" w14:textId="677F741B" w:rsidR="004703DA" w:rsidRDefault="004703DA" w:rsidP="005C174D">
      <w:pPr>
        <w:pStyle w:val="points"/>
        <w:numPr>
          <w:ilvl w:val="0"/>
          <w:numId w:val="30"/>
        </w:numPr>
        <w:tabs>
          <w:tab w:val="clear" w:pos="1400"/>
        </w:tabs>
      </w:pPr>
      <w:r>
        <w:lastRenderedPageBreak/>
        <w:t xml:space="preserve">Member(s) of senior management provided or caused to be provided to Deloitte fabricated bank statements and </w:t>
      </w:r>
      <w:r w:rsidR="00192B43">
        <w:t xml:space="preserve">false </w:t>
      </w:r>
      <w:r>
        <w:t>information</w:t>
      </w:r>
      <w:r w:rsidR="00192B43">
        <w:t xml:space="preserve"> pertaining to the 5 Bank Accounts</w:t>
      </w:r>
      <w:r w:rsidR="00AE6CFF">
        <w:t xml:space="preserve">.  </w:t>
      </w:r>
    </w:p>
    <w:p w14:paraId="35F32ECC" w14:textId="3623A959" w:rsidR="004703DA" w:rsidRPr="004703DA" w:rsidRDefault="004703DA" w:rsidP="005C174D">
      <w:pPr>
        <w:pStyle w:val="points"/>
        <w:numPr>
          <w:ilvl w:val="0"/>
          <w:numId w:val="30"/>
        </w:numPr>
        <w:tabs>
          <w:tab w:val="clear" w:pos="1400"/>
        </w:tabs>
      </w:pPr>
      <w:r w:rsidRPr="004703DA">
        <w:t xml:space="preserve">In </w:t>
      </w:r>
      <w:r w:rsidRPr="005C70D7">
        <w:t>reliance</w:t>
      </w:r>
      <w:r w:rsidRPr="004703DA">
        <w:t xml:space="preserve"> on such fabricated bank statements and false information, Deloitte prepared and issued bank confirmation forms in respect of the </w:t>
      </w:r>
      <w:r w:rsidR="00B235D4">
        <w:t xml:space="preserve">balances of the </w:t>
      </w:r>
      <w:r w:rsidRPr="004703DA">
        <w:t xml:space="preserve">5 Bank Accounts </w:t>
      </w:r>
      <w:r w:rsidR="00B235D4">
        <w:t>as shown in the fabricated bank statements</w:t>
      </w:r>
      <w:r w:rsidRPr="004703DA">
        <w:t>.</w:t>
      </w:r>
      <w:r>
        <w:rPr>
          <w:rStyle w:val="FootnoteReference"/>
          <w:color w:val="000000" w:themeColor="text1"/>
        </w:rPr>
        <w:footnoteReference w:id="34"/>
      </w:r>
    </w:p>
    <w:p w14:paraId="4D571ECD" w14:textId="5B38FEC2" w:rsidR="004703DA" w:rsidRPr="004703DA" w:rsidRDefault="004703DA" w:rsidP="005C174D">
      <w:pPr>
        <w:pStyle w:val="points"/>
        <w:numPr>
          <w:ilvl w:val="0"/>
          <w:numId w:val="30"/>
        </w:numPr>
        <w:tabs>
          <w:tab w:val="clear" w:pos="1400"/>
        </w:tabs>
      </w:pPr>
      <w:r w:rsidRPr="004703DA">
        <w:t xml:space="preserve">The bank confirmation forms were sent by Deloitte to </w:t>
      </w:r>
      <w:r w:rsidR="009D2C76">
        <w:t xml:space="preserve">PAB and HXB </w:t>
      </w:r>
      <w:r w:rsidRPr="004703DA">
        <w:t>for completion</w:t>
      </w:r>
      <w:r w:rsidR="00AE6CFF">
        <w:t xml:space="preserve">.  </w:t>
      </w:r>
      <w:r w:rsidRPr="004703DA">
        <w:t xml:space="preserve">However, officers of </w:t>
      </w:r>
      <w:r w:rsidR="008D78EF">
        <w:t xml:space="preserve">PAB and HXB </w:t>
      </w:r>
      <w:r w:rsidRPr="004703DA">
        <w:t xml:space="preserve"> (</w:t>
      </w:r>
      <w:r w:rsidR="002111BF">
        <w:t xml:space="preserve">including </w:t>
      </w:r>
      <w:r w:rsidRPr="004703DA">
        <w:t>Mr Li of H</w:t>
      </w:r>
      <w:r w:rsidR="00604682">
        <w:t>XB</w:t>
      </w:r>
      <w:r w:rsidRPr="004703DA">
        <w:t>, and Ms He of P</w:t>
      </w:r>
      <w:r w:rsidR="008D78EF">
        <w:t>AB</w:t>
      </w:r>
      <w:r w:rsidRPr="004703DA">
        <w:t xml:space="preserve">) intervened and bypassed normal confirmation procedures </w:t>
      </w:r>
      <w:r w:rsidR="00891C85">
        <w:t xml:space="preserve">and issued the </w:t>
      </w:r>
      <w:r w:rsidRPr="004703DA">
        <w:t xml:space="preserve">confirmation forms without the </w:t>
      </w:r>
      <w:r w:rsidR="003511B8">
        <w:t>b</w:t>
      </w:r>
      <w:r w:rsidRPr="004703DA">
        <w:t xml:space="preserve">anks’ authority, </w:t>
      </w:r>
      <w:r w:rsidR="001318A4">
        <w:t xml:space="preserve">and applied </w:t>
      </w:r>
      <w:r w:rsidRPr="004703DA">
        <w:t xml:space="preserve">chops </w:t>
      </w:r>
      <w:r w:rsidR="00032E01">
        <w:t xml:space="preserve">which </w:t>
      </w:r>
      <w:r w:rsidRPr="004703DA">
        <w:t xml:space="preserve">were different </w:t>
      </w:r>
      <w:r w:rsidR="00032E01">
        <w:t xml:space="preserve">from </w:t>
      </w:r>
      <w:r w:rsidRPr="004703DA">
        <w:t xml:space="preserve">those used by </w:t>
      </w:r>
      <w:r w:rsidR="00032E01">
        <w:t>PAB and HXB</w:t>
      </w:r>
      <w:r w:rsidRPr="004703DA">
        <w:t>.</w:t>
      </w:r>
      <w:r>
        <w:rPr>
          <w:rStyle w:val="FootnoteReference"/>
          <w:color w:val="000000" w:themeColor="text1"/>
        </w:rPr>
        <w:footnoteReference w:id="35"/>
      </w:r>
    </w:p>
    <w:p w14:paraId="22457E62" w14:textId="6AED63A2" w:rsidR="004703DA" w:rsidRPr="004703DA" w:rsidRDefault="004703DA" w:rsidP="005C174D">
      <w:pPr>
        <w:pStyle w:val="points"/>
        <w:numPr>
          <w:ilvl w:val="0"/>
          <w:numId w:val="30"/>
        </w:numPr>
        <w:tabs>
          <w:tab w:val="clear" w:pos="1400"/>
        </w:tabs>
      </w:pPr>
      <w:r w:rsidRPr="004703DA">
        <w:t xml:space="preserve">The </w:t>
      </w:r>
      <w:r w:rsidR="001318A4">
        <w:t xml:space="preserve">completed </w:t>
      </w:r>
      <w:r w:rsidRPr="004703DA">
        <w:t xml:space="preserve">bank confirmation forms were sent to Deloitte’s audit department, which relied on </w:t>
      </w:r>
      <w:r w:rsidR="00F904D6">
        <w:t xml:space="preserve">them </w:t>
      </w:r>
      <w:r w:rsidR="00C81287">
        <w:t xml:space="preserve">as evidence confirming the existence of the bank balances </w:t>
      </w:r>
      <w:r w:rsidR="001318A4">
        <w:t xml:space="preserve">of the 5 Bank Accounts </w:t>
      </w:r>
      <w:r w:rsidR="003B320D">
        <w:t xml:space="preserve">during </w:t>
      </w:r>
      <w:r w:rsidR="009E705E">
        <w:t xml:space="preserve">the audit of the </w:t>
      </w:r>
      <w:r w:rsidRPr="004703DA">
        <w:t xml:space="preserve">2012 </w:t>
      </w:r>
      <w:r w:rsidR="00736F63">
        <w:t xml:space="preserve">AFS </w:t>
      </w:r>
      <w:r w:rsidRPr="004703DA">
        <w:t xml:space="preserve">and 2013 </w:t>
      </w:r>
      <w:r w:rsidR="009E705E">
        <w:t>A</w:t>
      </w:r>
      <w:r w:rsidRPr="004703DA">
        <w:t>F</w:t>
      </w:r>
      <w:r w:rsidR="009E705E">
        <w:t>S</w:t>
      </w:r>
      <w:r>
        <w:rPr>
          <w:rStyle w:val="FootnoteReference"/>
          <w:color w:val="000000" w:themeColor="text1"/>
        </w:rPr>
        <w:footnoteReference w:id="36"/>
      </w:r>
      <w:r w:rsidR="00AE6CFF">
        <w:t xml:space="preserve">.  </w:t>
      </w:r>
    </w:p>
    <w:p w14:paraId="2E595860" w14:textId="4F3D4308" w:rsidR="009B3D1B" w:rsidRPr="004C200B" w:rsidRDefault="00DF1A4B">
      <w:pPr>
        <w:pStyle w:val="Final"/>
        <w:numPr>
          <w:ilvl w:val="0"/>
          <w:numId w:val="2"/>
        </w:numPr>
        <w:tabs>
          <w:tab w:val="clear" w:pos="720"/>
          <w:tab w:val="num" w:pos="0"/>
        </w:tabs>
        <w:ind w:left="0" w:firstLine="0"/>
        <w:rPr>
          <w:color w:val="000000" w:themeColor="text1"/>
        </w:rPr>
      </w:pPr>
      <w:r>
        <w:rPr>
          <w:color w:val="000000" w:themeColor="text1"/>
          <w:u w:val="single"/>
        </w:rPr>
        <w:t>Fourth</w:t>
      </w:r>
      <w:r w:rsidR="004C200B">
        <w:rPr>
          <w:color w:val="000000" w:themeColor="text1"/>
        </w:rPr>
        <w:t xml:space="preserve">, during cross-examination, </w:t>
      </w:r>
      <w:r w:rsidR="00AE17C2" w:rsidRPr="004C200B">
        <w:rPr>
          <w:color w:val="000000" w:themeColor="text1"/>
        </w:rPr>
        <w:t xml:space="preserve">Mr Wen </w:t>
      </w:r>
      <w:r w:rsidR="007804C9">
        <w:rPr>
          <w:color w:val="000000" w:themeColor="text1"/>
        </w:rPr>
        <w:t>admit</w:t>
      </w:r>
      <w:r w:rsidR="00F904D6">
        <w:rPr>
          <w:color w:val="000000" w:themeColor="text1"/>
        </w:rPr>
        <w:t>ted</w:t>
      </w:r>
      <w:r w:rsidR="007804C9">
        <w:rPr>
          <w:color w:val="000000" w:themeColor="text1"/>
        </w:rPr>
        <w:t xml:space="preserve"> </w:t>
      </w:r>
      <w:r w:rsidR="00AE17C2" w:rsidRPr="004C200B">
        <w:rPr>
          <w:color w:val="000000" w:themeColor="text1"/>
        </w:rPr>
        <w:t>that the</w:t>
      </w:r>
      <w:r w:rsidR="002F27B4">
        <w:rPr>
          <w:color w:val="000000" w:themeColor="text1"/>
        </w:rPr>
        <w:t xml:space="preserve"> </w:t>
      </w:r>
      <w:r w:rsidR="00AE17C2" w:rsidRPr="004C200B">
        <w:rPr>
          <w:color w:val="000000" w:themeColor="text1"/>
        </w:rPr>
        <w:t xml:space="preserve">Falsification Scheme and the Fabrication Scheme </w:t>
      </w:r>
      <w:r w:rsidR="00F904D6">
        <w:rPr>
          <w:color w:val="000000" w:themeColor="text1"/>
        </w:rPr>
        <w:t xml:space="preserve">had been </w:t>
      </w:r>
      <w:r w:rsidR="002F27B4" w:rsidRPr="004C200B">
        <w:rPr>
          <w:color w:val="000000" w:themeColor="text1"/>
        </w:rPr>
        <w:t>perpetrated</w:t>
      </w:r>
      <w:r w:rsidR="00AE17C2" w:rsidRPr="004C200B">
        <w:rPr>
          <w:color w:val="000000" w:themeColor="text1"/>
        </w:rPr>
        <w:t xml:space="preserve"> on the Group</w:t>
      </w:r>
      <w:r w:rsidR="00AE6CFF">
        <w:rPr>
          <w:color w:val="000000" w:themeColor="text1"/>
        </w:rPr>
        <w:t xml:space="preserve">.  </w:t>
      </w:r>
      <w:r w:rsidR="009B3D1B" w:rsidRPr="004C200B">
        <w:rPr>
          <w:color w:val="000000" w:themeColor="text1"/>
        </w:rPr>
        <w:t xml:space="preserve"> </w:t>
      </w:r>
    </w:p>
    <w:bookmarkEnd w:id="6"/>
    <w:p w14:paraId="7E84E5CE" w14:textId="6AE7287B" w:rsidR="007E48A8" w:rsidRDefault="00CC07EA">
      <w:pPr>
        <w:pStyle w:val="Final"/>
        <w:numPr>
          <w:ilvl w:val="0"/>
          <w:numId w:val="2"/>
        </w:numPr>
        <w:tabs>
          <w:tab w:val="clear" w:pos="720"/>
          <w:tab w:val="num" w:pos="0"/>
        </w:tabs>
        <w:ind w:left="0" w:firstLine="0"/>
        <w:rPr>
          <w:color w:val="000000" w:themeColor="text1"/>
        </w:rPr>
      </w:pPr>
      <w:r w:rsidRPr="00402147">
        <w:rPr>
          <w:color w:val="000000" w:themeColor="text1"/>
        </w:rPr>
        <w:lastRenderedPageBreak/>
        <w:t>The above evidence is sufficient to prove th</w:t>
      </w:r>
      <w:r w:rsidR="00693497">
        <w:rPr>
          <w:color w:val="000000" w:themeColor="text1"/>
        </w:rPr>
        <w:t xml:space="preserve">at the Company had used the </w:t>
      </w:r>
      <w:r w:rsidRPr="00402147">
        <w:rPr>
          <w:color w:val="000000" w:themeColor="text1"/>
        </w:rPr>
        <w:t>Schemes</w:t>
      </w:r>
      <w:r w:rsidR="00693497">
        <w:rPr>
          <w:color w:val="000000" w:themeColor="text1"/>
        </w:rPr>
        <w:t xml:space="preserve"> to inflate the </w:t>
      </w:r>
      <w:r w:rsidR="00311594">
        <w:rPr>
          <w:color w:val="000000" w:themeColor="text1"/>
        </w:rPr>
        <w:t xml:space="preserve">bank balances of the Group as stated in </w:t>
      </w:r>
      <w:r w:rsidR="00693497">
        <w:rPr>
          <w:color w:val="000000" w:themeColor="text1"/>
        </w:rPr>
        <w:t>the 2012 AFS and 2013 AFS</w:t>
      </w:r>
      <w:r w:rsidR="00AE6CFF">
        <w:rPr>
          <w:color w:val="000000" w:themeColor="text1"/>
        </w:rPr>
        <w:t xml:space="preserve">.  </w:t>
      </w:r>
    </w:p>
    <w:p w14:paraId="7501009B" w14:textId="2D865A48" w:rsidR="00A1242F" w:rsidRPr="00FE1C3C" w:rsidRDefault="00CC07EA">
      <w:pPr>
        <w:pStyle w:val="Final"/>
        <w:numPr>
          <w:ilvl w:val="0"/>
          <w:numId w:val="2"/>
        </w:numPr>
        <w:tabs>
          <w:tab w:val="clear" w:pos="720"/>
          <w:tab w:val="num" w:pos="0"/>
        </w:tabs>
        <w:ind w:left="0" w:firstLine="0"/>
        <w:rPr>
          <w:color w:val="000000" w:themeColor="text1"/>
        </w:rPr>
      </w:pPr>
      <w:r w:rsidRPr="00402147">
        <w:rPr>
          <w:color w:val="000000" w:themeColor="text1"/>
        </w:rPr>
        <w:t>Nevertheless,</w:t>
      </w:r>
      <w:r w:rsidR="00402147">
        <w:rPr>
          <w:color w:val="000000" w:themeColor="text1"/>
        </w:rPr>
        <w:t xml:space="preserve"> </w:t>
      </w:r>
      <w:r w:rsidR="005F243D">
        <w:rPr>
          <w:color w:val="000000" w:themeColor="text1"/>
        </w:rPr>
        <w:t>the SFC sa</w:t>
      </w:r>
      <w:r w:rsidR="00193F8A">
        <w:rPr>
          <w:color w:val="000000" w:themeColor="text1"/>
        </w:rPr>
        <w:t>id</w:t>
      </w:r>
      <w:r w:rsidR="005F243D">
        <w:rPr>
          <w:color w:val="000000" w:themeColor="text1"/>
        </w:rPr>
        <w:t xml:space="preserve"> that according to its investigation</w:t>
      </w:r>
      <w:r w:rsidR="00A1242F" w:rsidRPr="00FE1C3C">
        <w:rPr>
          <w:color w:val="000000" w:themeColor="text1"/>
        </w:rPr>
        <w:t>:</w:t>
      </w:r>
    </w:p>
    <w:p w14:paraId="71BD1033" w14:textId="3F7F82BF" w:rsidR="00A1242F" w:rsidRPr="00367036" w:rsidRDefault="00D33BC1" w:rsidP="00841533">
      <w:pPr>
        <w:pStyle w:val="points"/>
        <w:numPr>
          <w:ilvl w:val="0"/>
          <w:numId w:val="10"/>
        </w:numPr>
        <w:tabs>
          <w:tab w:val="clear" w:pos="1400"/>
          <w:tab w:val="clear" w:pos="1960"/>
        </w:tabs>
        <w:spacing w:after="120"/>
        <w:ind w:left="1411" w:hanging="691"/>
      </w:pPr>
      <w:r w:rsidRPr="00367036">
        <w:t xml:space="preserve">In the Company’s Records, there </w:t>
      </w:r>
      <w:r w:rsidR="00C5726E" w:rsidRPr="00367036">
        <w:t>were</w:t>
      </w:r>
      <w:r w:rsidRPr="00367036">
        <w:t xml:space="preserve"> </w:t>
      </w:r>
      <w:r w:rsidR="006E4787" w:rsidRPr="00367036">
        <w:t>n</w:t>
      </w:r>
      <w:r w:rsidR="00A1242F" w:rsidRPr="00367036">
        <w:t>umerous transactions descri</w:t>
      </w:r>
      <w:r w:rsidR="0005447B" w:rsidRPr="00367036">
        <w:t xml:space="preserve">bed </w:t>
      </w:r>
      <w:r w:rsidR="00A1242F" w:rsidRPr="00367036">
        <w:t xml:space="preserve">as “project funds” and “account transfers” </w:t>
      </w:r>
      <w:r w:rsidR="00AD4C96" w:rsidRPr="00367036">
        <w:t xml:space="preserve">and </w:t>
      </w:r>
      <w:r w:rsidR="006A3195" w:rsidRPr="00367036">
        <w:t xml:space="preserve">the </w:t>
      </w:r>
      <w:r w:rsidR="00AD4C96" w:rsidRPr="00367036">
        <w:t xml:space="preserve">credit and debit entries in the ledgers of the 5 Bank Accounts </w:t>
      </w:r>
      <w:r w:rsidRPr="00367036">
        <w:t xml:space="preserve">for the years </w:t>
      </w:r>
      <w:r w:rsidR="00DE6674" w:rsidRPr="00367036">
        <w:t xml:space="preserve">2012 and 2013 </w:t>
      </w:r>
      <w:r w:rsidRPr="00367036">
        <w:t xml:space="preserve">but </w:t>
      </w:r>
      <w:r w:rsidR="00672EFE" w:rsidRPr="00367036">
        <w:t xml:space="preserve">no corresponding </w:t>
      </w:r>
      <w:r w:rsidR="00F863BF" w:rsidRPr="00367036">
        <w:t xml:space="preserve">transactions could </w:t>
      </w:r>
      <w:r w:rsidR="00A1242F" w:rsidRPr="00367036">
        <w:t>be found in CSRC</w:t>
      </w:r>
      <w:r w:rsidR="002467E2" w:rsidRPr="00367036">
        <w:t>’s</w:t>
      </w:r>
      <w:r w:rsidR="00A1242F" w:rsidRPr="00367036">
        <w:t xml:space="preserve"> Records</w:t>
      </w:r>
      <w:r w:rsidR="008C1571" w:rsidRPr="00367036">
        <w:t xml:space="preserve"> (collectively “</w:t>
      </w:r>
      <w:r w:rsidR="008C1571" w:rsidRPr="00367036">
        <w:rPr>
          <w:b/>
          <w:bCs/>
        </w:rPr>
        <w:t>Fic</w:t>
      </w:r>
      <w:r w:rsidR="00BE59A7">
        <w:rPr>
          <w:b/>
          <w:bCs/>
        </w:rPr>
        <w:t>ti</w:t>
      </w:r>
      <w:r w:rsidR="008C1571" w:rsidRPr="00367036">
        <w:rPr>
          <w:b/>
          <w:bCs/>
        </w:rPr>
        <w:t>tious Transactions</w:t>
      </w:r>
      <w:r w:rsidR="008C1571" w:rsidRPr="00367036">
        <w:t>”)</w:t>
      </w:r>
      <w:r w:rsidR="00AE6CFF">
        <w:t xml:space="preserve">.  </w:t>
      </w:r>
      <w:r w:rsidR="00543737">
        <w:t>Details of the Fictitious Transactions are</w:t>
      </w:r>
      <w:r w:rsidR="00D11815">
        <w:t xml:space="preserve"> as follows:</w:t>
      </w:r>
    </w:p>
    <w:p w14:paraId="1ACB2DAC" w14:textId="77777777" w:rsidR="00A1242F" w:rsidRDefault="00A1242F" w:rsidP="00A1242F">
      <w:pPr>
        <w:pStyle w:val="Style1"/>
        <w:tabs>
          <w:tab w:val="clear" w:pos="720"/>
        </w:tabs>
        <w:spacing w:line="340" w:lineRule="exact"/>
        <w:ind w:firstLine="0"/>
        <w:rPr>
          <w:color w:val="000000" w:themeColor="text1"/>
        </w:rPr>
      </w:pPr>
    </w:p>
    <w:tbl>
      <w:tblPr>
        <w:tblStyle w:val="TableGrid"/>
        <w:tblW w:w="7297" w:type="dxa"/>
        <w:tblInd w:w="1345" w:type="dxa"/>
        <w:tblLayout w:type="fixed"/>
        <w:tblLook w:val="04A0" w:firstRow="1" w:lastRow="0" w:firstColumn="1" w:lastColumn="0" w:noHBand="0" w:noVBand="1"/>
      </w:tblPr>
      <w:tblGrid>
        <w:gridCol w:w="1911"/>
        <w:gridCol w:w="850"/>
        <w:gridCol w:w="1843"/>
        <w:gridCol w:w="850"/>
        <w:gridCol w:w="1843"/>
      </w:tblGrid>
      <w:tr w:rsidR="00691C56" w:rsidRPr="006B26BA" w14:paraId="633E9BC4" w14:textId="77777777" w:rsidTr="002722AE">
        <w:tc>
          <w:tcPr>
            <w:tcW w:w="1911" w:type="dxa"/>
            <w:vMerge w:val="restart"/>
          </w:tcPr>
          <w:p w14:paraId="7FA3EB29" w14:textId="77777777" w:rsidR="00691C56" w:rsidRPr="0097739E" w:rsidRDefault="00691C56" w:rsidP="003B687B">
            <w:pPr>
              <w:pStyle w:val="Style1"/>
              <w:tabs>
                <w:tab w:val="clear" w:pos="720"/>
              </w:tabs>
              <w:spacing w:line="240" w:lineRule="auto"/>
              <w:ind w:left="0" w:firstLine="0"/>
              <w:rPr>
                <w:color w:val="000000" w:themeColor="text1"/>
                <w:sz w:val="24"/>
                <w:szCs w:val="24"/>
              </w:rPr>
            </w:pPr>
          </w:p>
        </w:tc>
        <w:tc>
          <w:tcPr>
            <w:tcW w:w="2693" w:type="dxa"/>
            <w:gridSpan w:val="2"/>
          </w:tcPr>
          <w:p w14:paraId="4E816F44" w14:textId="6D371A59" w:rsidR="00691C56" w:rsidRPr="006B26BA" w:rsidRDefault="00691C56" w:rsidP="003B687B">
            <w:pPr>
              <w:pStyle w:val="Style1"/>
              <w:tabs>
                <w:tab w:val="clear" w:pos="720"/>
              </w:tabs>
              <w:spacing w:line="240" w:lineRule="auto"/>
              <w:ind w:left="0" w:firstLine="0"/>
              <w:jc w:val="center"/>
              <w:rPr>
                <w:b/>
                <w:bCs/>
                <w:color w:val="000000" w:themeColor="text1"/>
                <w:sz w:val="24"/>
                <w:szCs w:val="24"/>
              </w:rPr>
            </w:pPr>
            <w:r w:rsidRPr="006B26BA">
              <w:rPr>
                <w:b/>
                <w:bCs/>
                <w:color w:val="000000" w:themeColor="text1"/>
                <w:sz w:val="24"/>
                <w:szCs w:val="24"/>
              </w:rPr>
              <w:t>2012</w:t>
            </w:r>
          </w:p>
        </w:tc>
        <w:tc>
          <w:tcPr>
            <w:tcW w:w="2693" w:type="dxa"/>
            <w:gridSpan w:val="2"/>
          </w:tcPr>
          <w:p w14:paraId="569668C8" w14:textId="75FAC7EF" w:rsidR="00691C56" w:rsidRPr="006B26BA" w:rsidRDefault="00691C56" w:rsidP="003B687B">
            <w:pPr>
              <w:pStyle w:val="Style1"/>
              <w:tabs>
                <w:tab w:val="clear" w:pos="720"/>
              </w:tabs>
              <w:spacing w:line="240" w:lineRule="auto"/>
              <w:ind w:left="0" w:firstLine="0"/>
              <w:jc w:val="center"/>
              <w:rPr>
                <w:b/>
                <w:bCs/>
                <w:color w:val="000000" w:themeColor="text1"/>
                <w:sz w:val="24"/>
                <w:szCs w:val="24"/>
              </w:rPr>
            </w:pPr>
            <w:r w:rsidRPr="006B26BA">
              <w:rPr>
                <w:b/>
                <w:bCs/>
                <w:color w:val="000000" w:themeColor="text1"/>
                <w:sz w:val="24"/>
                <w:szCs w:val="24"/>
              </w:rPr>
              <w:t>2013</w:t>
            </w:r>
          </w:p>
        </w:tc>
      </w:tr>
      <w:tr w:rsidR="00691C56" w:rsidRPr="006B26BA" w14:paraId="656BB1AD" w14:textId="77777777" w:rsidTr="002722AE">
        <w:tc>
          <w:tcPr>
            <w:tcW w:w="1911" w:type="dxa"/>
            <w:vMerge/>
          </w:tcPr>
          <w:p w14:paraId="73EAA99B" w14:textId="77777777" w:rsidR="00691C56" w:rsidRPr="006B26BA" w:rsidRDefault="00691C56" w:rsidP="003B687B">
            <w:pPr>
              <w:pStyle w:val="Style1"/>
              <w:tabs>
                <w:tab w:val="clear" w:pos="720"/>
              </w:tabs>
              <w:spacing w:line="240" w:lineRule="auto"/>
              <w:ind w:left="0" w:firstLine="0"/>
              <w:rPr>
                <w:color w:val="000000" w:themeColor="text1"/>
                <w:sz w:val="24"/>
                <w:szCs w:val="24"/>
              </w:rPr>
            </w:pPr>
          </w:p>
        </w:tc>
        <w:tc>
          <w:tcPr>
            <w:tcW w:w="850" w:type="dxa"/>
          </w:tcPr>
          <w:p w14:paraId="0C79A5BC" w14:textId="2FD32EE4" w:rsidR="00691C56" w:rsidRPr="006B26BA" w:rsidRDefault="00691C56"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No.</w:t>
            </w:r>
          </w:p>
        </w:tc>
        <w:tc>
          <w:tcPr>
            <w:tcW w:w="1843" w:type="dxa"/>
          </w:tcPr>
          <w:p w14:paraId="31D7CBAE" w14:textId="15D19DE2" w:rsidR="00691C56" w:rsidRPr="006B26BA" w:rsidRDefault="00691C56"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RMB</w:t>
            </w:r>
          </w:p>
        </w:tc>
        <w:tc>
          <w:tcPr>
            <w:tcW w:w="850" w:type="dxa"/>
          </w:tcPr>
          <w:p w14:paraId="3EAD9665" w14:textId="4A44B5B4" w:rsidR="00691C56" w:rsidRPr="006B26BA" w:rsidRDefault="00691C56"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No</w:t>
            </w:r>
            <w:r w:rsidR="00AE6CFF">
              <w:rPr>
                <w:color w:val="000000" w:themeColor="text1"/>
                <w:sz w:val="24"/>
                <w:szCs w:val="24"/>
              </w:rPr>
              <w:t xml:space="preserve">.  </w:t>
            </w:r>
          </w:p>
        </w:tc>
        <w:tc>
          <w:tcPr>
            <w:tcW w:w="1843" w:type="dxa"/>
          </w:tcPr>
          <w:p w14:paraId="246F85C6" w14:textId="6099843A" w:rsidR="00691C56" w:rsidRPr="006B26BA" w:rsidRDefault="00691C56"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RMB</w:t>
            </w:r>
          </w:p>
        </w:tc>
      </w:tr>
      <w:tr w:rsidR="00A1242F" w:rsidRPr="006B26BA" w14:paraId="39F66F32" w14:textId="77777777" w:rsidTr="002722AE">
        <w:tc>
          <w:tcPr>
            <w:tcW w:w="1911" w:type="dxa"/>
          </w:tcPr>
          <w:p w14:paraId="6F8C3541" w14:textId="167203A0" w:rsidR="00A1242F" w:rsidRPr="006B26BA" w:rsidRDefault="00F4570D" w:rsidP="003B687B">
            <w:pPr>
              <w:pStyle w:val="Style1"/>
              <w:tabs>
                <w:tab w:val="clear" w:pos="720"/>
              </w:tabs>
              <w:spacing w:line="240" w:lineRule="auto"/>
              <w:ind w:left="0" w:firstLine="0"/>
              <w:rPr>
                <w:color w:val="000000" w:themeColor="text1"/>
                <w:sz w:val="24"/>
                <w:szCs w:val="24"/>
              </w:rPr>
            </w:pPr>
            <w:r w:rsidRPr="006B26BA">
              <w:rPr>
                <w:color w:val="000000" w:themeColor="text1"/>
                <w:sz w:val="24"/>
                <w:szCs w:val="24"/>
              </w:rPr>
              <w:t>D</w:t>
            </w:r>
            <w:r w:rsidR="00A1242F" w:rsidRPr="006B26BA">
              <w:rPr>
                <w:color w:val="000000" w:themeColor="text1"/>
                <w:sz w:val="24"/>
                <w:szCs w:val="24"/>
              </w:rPr>
              <w:t>ebit</w:t>
            </w:r>
            <w:r w:rsidRPr="006B26BA">
              <w:rPr>
                <w:color w:val="000000" w:themeColor="text1"/>
                <w:sz w:val="24"/>
                <w:szCs w:val="24"/>
              </w:rPr>
              <w:t xml:space="preserve"> entries/</w:t>
            </w:r>
            <w:r w:rsidR="00A03EE3" w:rsidRPr="006B26BA">
              <w:rPr>
                <w:color w:val="000000" w:themeColor="text1"/>
                <w:sz w:val="24"/>
                <w:szCs w:val="24"/>
              </w:rPr>
              <w:t xml:space="preserve"> </w:t>
            </w:r>
            <w:r w:rsidR="00A1242F" w:rsidRPr="006B26BA">
              <w:rPr>
                <w:color w:val="000000" w:themeColor="text1"/>
                <w:sz w:val="24"/>
                <w:szCs w:val="24"/>
              </w:rPr>
              <w:t>transactions</w:t>
            </w:r>
            <w:r w:rsidRPr="006B26BA">
              <w:rPr>
                <w:color w:val="000000" w:themeColor="text1"/>
                <w:sz w:val="24"/>
                <w:szCs w:val="24"/>
              </w:rPr>
              <w:t xml:space="preserve"> </w:t>
            </w:r>
          </w:p>
        </w:tc>
        <w:tc>
          <w:tcPr>
            <w:tcW w:w="850" w:type="dxa"/>
          </w:tcPr>
          <w:p w14:paraId="70E3DEAB" w14:textId="77777777" w:rsidR="00A1242F" w:rsidRPr="006B26BA" w:rsidRDefault="00A1242F"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327</w:t>
            </w:r>
          </w:p>
        </w:tc>
        <w:tc>
          <w:tcPr>
            <w:tcW w:w="1843" w:type="dxa"/>
          </w:tcPr>
          <w:p w14:paraId="70E2413A" w14:textId="23DA245F" w:rsidR="00A1242F" w:rsidRPr="006B26BA" w:rsidRDefault="006F0B9B"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w:t>
            </w:r>
            <w:r w:rsidR="00A1242F" w:rsidRPr="006B26BA">
              <w:rPr>
                <w:color w:val="000000" w:themeColor="text1"/>
                <w:sz w:val="24"/>
                <w:szCs w:val="24"/>
              </w:rPr>
              <w:t>61,500,75</w:t>
            </w:r>
            <w:r w:rsidR="006A758A" w:rsidRPr="006B26BA">
              <w:rPr>
                <w:color w:val="000000" w:themeColor="text1"/>
                <w:sz w:val="24"/>
                <w:szCs w:val="24"/>
              </w:rPr>
              <w:t>8</w:t>
            </w:r>
            <w:r w:rsidRPr="006B26BA">
              <w:rPr>
                <w:color w:val="000000" w:themeColor="text1"/>
                <w:sz w:val="24"/>
                <w:szCs w:val="24"/>
              </w:rPr>
              <w:t>)</w:t>
            </w:r>
          </w:p>
        </w:tc>
        <w:tc>
          <w:tcPr>
            <w:tcW w:w="850" w:type="dxa"/>
          </w:tcPr>
          <w:p w14:paraId="32ED38B2" w14:textId="77777777" w:rsidR="00A1242F" w:rsidRPr="006B26BA" w:rsidRDefault="00A1242F"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708</w:t>
            </w:r>
          </w:p>
        </w:tc>
        <w:tc>
          <w:tcPr>
            <w:tcW w:w="1843" w:type="dxa"/>
          </w:tcPr>
          <w:p w14:paraId="51A4CA6C" w14:textId="0480595E" w:rsidR="00A1242F" w:rsidRPr="006B26BA" w:rsidRDefault="006F0B9B"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w:t>
            </w:r>
            <w:r w:rsidR="00A1242F" w:rsidRPr="006B26BA">
              <w:rPr>
                <w:color w:val="000000" w:themeColor="text1"/>
                <w:sz w:val="24"/>
                <w:szCs w:val="24"/>
              </w:rPr>
              <w:t>745,671,451</w:t>
            </w:r>
            <w:r w:rsidRPr="006B26BA">
              <w:rPr>
                <w:color w:val="000000" w:themeColor="text1"/>
                <w:sz w:val="24"/>
                <w:szCs w:val="24"/>
              </w:rPr>
              <w:t>)</w:t>
            </w:r>
          </w:p>
        </w:tc>
      </w:tr>
      <w:tr w:rsidR="00A1242F" w:rsidRPr="006B26BA" w14:paraId="42373599" w14:textId="77777777" w:rsidTr="002722AE">
        <w:tc>
          <w:tcPr>
            <w:tcW w:w="1911" w:type="dxa"/>
          </w:tcPr>
          <w:p w14:paraId="3E14A276" w14:textId="514A303B" w:rsidR="00A1242F" w:rsidRPr="006B26BA" w:rsidRDefault="00F4570D" w:rsidP="003B687B">
            <w:pPr>
              <w:pStyle w:val="Style1"/>
              <w:tabs>
                <w:tab w:val="clear" w:pos="720"/>
              </w:tabs>
              <w:spacing w:line="240" w:lineRule="auto"/>
              <w:ind w:left="0" w:firstLine="0"/>
              <w:rPr>
                <w:color w:val="000000" w:themeColor="text1"/>
                <w:sz w:val="24"/>
                <w:szCs w:val="24"/>
              </w:rPr>
            </w:pPr>
            <w:r w:rsidRPr="006B26BA">
              <w:rPr>
                <w:color w:val="000000" w:themeColor="text1"/>
                <w:sz w:val="24"/>
                <w:szCs w:val="24"/>
              </w:rPr>
              <w:t>C</w:t>
            </w:r>
            <w:r w:rsidR="00A1242F" w:rsidRPr="006B26BA">
              <w:rPr>
                <w:color w:val="000000" w:themeColor="text1"/>
                <w:sz w:val="24"/>
                <w:szCs w:val="24"/>
              </w:rPr>
              <w:t xml:space="preserve">redit </w:t>
            </w:r>
            <w:r w:rsidR="001D0A1B" w:rsidRPr="006B26BA">
              <w:rPr>
                <w:color w:val="000000" w:themeColor="text1"/>
                <w:sz w:val="24"/>
                <w:szCs w:val="24"/>
              </w:rPr>
              <w:t xml:space="preserve">entries/ </w:t>
            </w:r>
            <w:r w:rsidR="00A1242F" w:rsidRPr="006B26BA">
              <w:rPr>
                <w:color w:val="000000" w:themeColor="text1"/>
                <w:sz w:val="24"/>
                <w:szCs w:val="24"/>
              </w:rPr>
              <w:t>transactions</w:t>
            </w:r>
          </w:p>
        </w:tc>
        <w:tc>
          <w:tcPr>
            <w:tcW w:w="850" w:type="dxa"/>
          </w:tcPr>
          <w:p w14:paraId="38A965C7" w14:textId="77777777" w:rsidR="00A1242F" w:rsidRPr="006B26BA" w:rsidRDefault="00A1242F"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215</w:t>
            </w:r>
          </w:p>
        </w:tc>
        <w:tc>
          <w:tcPr>
            <w:tcW w:w="1843" w:type="dxa"/>
          </w:tcPr>
          <w:p w14:paraId="55B2661F" w14:textId="29F4343D" w:rsidR="00A1242F" w:rsidRPr="006B26BA" w:rsidRDefault="00A1242F"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641,231,137</w:t>
            </w:r>
          </w:p>
        </w:tc>
        <w:tc>
          <w:tcPr>
            <w:tcW w:w="850" w:type="dxa"/>
          </w:tcPr>
          <w:p w14:paraId="3804A381" w14:textId="77777777" w:rsidR="00A1242F" w:rsidRPr="006B26BA" w:rsidRDefault="00A1242F"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303</w:t>
            </w:r>
          </w:p>
        </w:tc>
        <w:tc>
          <w:tcPr>
            <w:tcW w:w="1843" w:type="dxa"/>
          </w:tcPr>
          <w:p w14:paraId="25016973" w14:textId="57775329" w:rsidR="00A1242F" w:rsidRPr="006B26BA" w:rsidRDefault="00A1242F"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1,289,994,49</w:t>
            </w:r>
            <w:r w:rsidR="0062401A" w:rsidRPr="006B26BA">
              <w:rPr>
                <w:color w:val="000000" w:themeColor="text1"/>
                <w:sz w:val="24"/>
                <w:szCs w:val="24"/>
              </w:rPr>
              <w:t>9</w:t>
            </w:r>
          </w:p>
        </w:tc>
      </w:tr>
      <w:tr w:rsidR="00A1242F" w:rsidRPr="006B26BA" w14:paraId="225A0CDA" w14:textId="77777777" w:rsidTr="002722AE">
        <w:tc>
          <w:tcPr>
            <w:tcW w:w="1911" w:type="dxa"/>
            <w:tcBorders>
              <w:bottom w:val="single" w:sz="18" w:space="0" w:color="auto"/>
            </w:tcBorders>
          </w:tcPr>
          <w:p w14:paraId="4B747C85" w14:textId="3DCA71DC" w:rsidR="00A1242F" w:rsidRPr="006B26BA" w:rsidRDefault="009F7B8C" w:rsidP="003B687B">
            <w:pPr>
              <w:pStyle w:val="Style1"/>
              <w:tabs>
                <w:tab w:val="clear" w:pos="720"/>
              </w:tabs>
              <w:spacing w:line="240" w:lineRule="auto"/>
              <w:ind w:left="0" w:firstLine="0"/>
              <w:rPr>
                <w:color w:val="000000" w:themeColor="text1"/>
                <w:sz w:val="24"/>
                <w:szCs w:val="24"/>
              </w:rPr>
            </w:pPr>
            <w:r w:rsidRPr="006B26BA">
              <w:rPr>
                <w:color w:val="000000" w:themeColor="text1"/>
                <w:sz w:val="24"/>
                <w:szCs w:val="24"/>
              </w:rPr>
              <w:t>N</w:t>
            </w:r>
            <w:r w:rsidR="00A1242F" w:rsidRPr="006B26BA">
              <w:rPr>
                <w:color w:val="000000" w:themeColor="text1"/>
                <w:sz w:val="24"/>
                <w:szCs w:val="24"/>
              </w:rPr>
              <w:t xml:space="preserve">et credit </w:t>
            </w:r>
          </w:p>
        </w:tc>
        <w:tc>
          <w:tcPr>
            <w:tcW w:w="850" w:type="dxa"/>
            <w:tcBorders>
              <w:bottom w:val="single" w:sz="18" w:space="0" w:color="auto"/>
            </w:tcBorders>
          </w:tcPr>
          <w:p w14:paraId="4ED9CD56" w14:textId="77777777" w:rsidR="00A1242F" w:rsidRPr="006B26BA" w:rsidRDefault="00A1242F" w:rsidP="003B687B">
            <w:pPr>
              <w:pStyle w:val="Style1"/>
              <w:tabs>
                <w:tab w:val="clear" w:pos="720"/>
              </w:tabs>
              <w:spacing w:line="240" w:lineRule="auto"/>
              <w:ind w:left="0" w:firstLine="0"/>
              <w:jc w:val="right"/>
              <w:rPr>
                <w:color w:val="000000" w:themeColor="text1"/>
                <w:sz w:val="24"/>
                <w:szCs w:val="24"/>
              </w:rPr>
            </w:pPr>
          </w:p>
        </w:tc>
        <w:tc>
          <w:tcPr>
            <w:tcW w:w="1843" w:type="dxa"/>
            <w:tcBorders>
              <w:bottom w:val="single" w:sz="18" w:space="0" w:color="auto"/>
            </w:tcBorders>
          </w:tcPr>
          <w:p w14:paraId="14A73FFA" w14:textId="472A3468" w:rsidR="00A1242F" w:rsidRPr="006B26BA" w:rsidRDefault="00A1242F"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579,730,379</w:t>
            </w:r>
          </w:p>
        </w:tc>
        <w:tc>
          <w:tcPr>
            <w:tcW w:w="850" w:type="dxa"/>
            <w:tcBorders>
              <w:bottom w:val="single" w:sz="18" w:space="0" w:color="auto"/>
            </w:tcBorders>
          </w:tcPr>
          <w:p w14:paraId="6F4E043A" w14:textId="77777777" w:rsidR="00A1242F" w:rsidRPr="006B26BA" w:rsidRDefault="00A1242F" w:rsidP="003B687B">
            <w:pPr>
              <w:pStyle w:val="Style1"/>
              <w:tabs>
                <w:tab w:val="clear" w:pos="720"/>
              </w:tabs>
              <w:spacing w:line="240" w:lineRule="auto"/>
              <w:ind w:left="0" w:firstLine="0"/>
              <w:jc w:val="right"/>
              <w:rPr>
                <w:color w:val="000000" w:themeColor="text1"/>
                <w:sz w:val="24"/>
                <w:szCs w:val="24"/>
              </w:rPr>
            </w:pPr>
          </w:p>
        </w:tc>
        <w:tc>
          <w:tcPr>
            <w:tcW w:w="1843" w:type="dxa"/>
            <w:tcBorders>
              <w:bottom w:val="single" w:sz="18" w:space="0" w:color="auto"/>
            </w:tcBorders>
          </w:tcPr>
          <w:p w14:paraId="1F051DEF" w14:textId="1B100701" w:rsidR="00A1242F" w:rsidRPr="006B26BA" w:rsidRDefault="00A1242F"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544,323,04</w:t>
            </w:r>
            <w:r w:rsidR="0062401A" w:rsidRPr="006B26BA">
              <w:rPr>
                <w:color w:val="000000" w:themeColor="text1"/>
                <w:sz w:val="24"/>
                <w:szCs w:val="24"/>
              </w:rPr>
              <w:t>8</w:t>
            </w:r>
          </w:p>
        </w:tc>
      </w:tr>
      <w:tr w:rsidR="00A1242F" w:rsidRPr="006B26BA" w14:paraId="3530D18E" w14:textId="77777777" w:rsidTr="002722AE">
        <w:tc>
          <w:tcPr>
            <w:tcW w:w="1911" w:type="dxa"/>
            <w:tcBorders>
              <w:top w:val="single" w:sz="18" w:space="0" w:color="auto"/>
              <w:bottom w:val="single" w:sz="8" w:space="0" w:color="auto"/>
            </w:tcBorders>
          </w:tcPr>
          <w:p w14:paraId="22275BFD" w14:textId="7E8C2963" w:rsidR="00A1242F" w:rsidRPr="006B26BA" w:rsidRDefault="00A1242F" w:rsidP="003B687B">
            <w:pPr>
              <w:pStyle w:val="Style1"/>
              <w:tabs>
                <w:tab w:val="clear" w:pos="720"/>
              </w:tabs>
              <w:spacing w:line="240" w:lineRule="auto"/>
              <w:ind w:left="0" w:firstLine="0"/>
              <w:rPr>
                <w:color w:val="000000" w:themeColor="text1"/>
                <w:sz w:val="24"/>
                <w:szCs w:val="24"/>
              </w:rPr>
            </w:pPr>
            <w:r w:rsidRPr="006B26BA">
              <w:rPr>
                <w:color w:val="000000" w:themeColor="text1"/>
                <w:sz w:val="24"/>
                <w:szCs w:val="24"/>
              </w:rPr>
              <w:t xml:space="preserve">Increase in </w:t>
            </w:r>
            <w:r w:rsidR="00AC4380" w:rsidRPr="006B26BA">
              <w:rPr>
                <w:color w:val="000000" w:themeColor="text1"/>
                <w:sz w:val="24"/>
                <w:szCs w:val="24"/>
              </w:rPr>
              <w:t xml:space="preserve">cash </w:t>
            </w:r>
            <w:r w:rsidR="00E57726" w:rsidRPr="006B26BA">
              <w:rPr>
                <w:color w:val="000000" w:themeColor="text1"/>
                <w:sz w:val="24"/>
                <w:szCs w:val="24"/>
              </w:rPr>
              <w:t>&amp;</w:t>
            </w:r>
            <w:r w:rsidR="00AC4380" w:rsidRPr="006B26BA">
              <w:rPr>
                <w:color w:val="000000" w:themeColor="text1"/>
                <w:sz w:val="24"/>
                <w:szCs w:val="24"/>
              </w:rPr>
              <w:t xml:space="preserve"> </w:t>
            </w:r>
            <w:r w:rsidRPr="006B26BA">
              <w:rPr>
                <w:color w:val="000000" w:themeColor="text1"/>
                <w:sz w:val="24"/>
                <w:szCs w:val="24"/>
              </w:rPr>
              <w:t xml:space="preserve">bank balance as stated in </w:t>
            </w:r>
            <w:r w:rsidR="00AC4380" w:rsidRPr="006B26BA">
              <w:rPr>
                <w:color w:val="000000" w:themeColor="text1"/>
                <w:sz w:val="24"/>
                <w:szCs w:val="24"/>
              </w:rPr>
              <w:t>A</w:t>
            </w:r>
            <w:r w:rsidRPr="006B26BA">
              <w:rPr>
                <w:color w:val="000000" w:themeColor="text1"/>
                <w:sz w:val="24"/>
                <w:szCs w:val="24"/>
              </w:rPr>
              <w:t>FS</w:t>
            </w:r>
          </w:p>
        </w:tc>
        <w:tc>
          <w:tcPr>
            <w:tcW w:w="850" w:type="dxa"/>
            <w:tcBorders>
              <w:top w:val="single" w:sz="18" w:space="0" w:color="auto"/>
              <w:bottom w:val="single" w:sz="8" w:space="0" w:color="auto"/>
            </w:tcBorders>
          </w:tcPr>
          <w:p w14:paraId="5B00C4F6" w14:textId="77777777" w:rsidR="00A1242F" w:rsidRPr="006B26BA" w:rsidRDefault="00A1242F" w:rsidP="003B687B">
            <w:pPr>
              <w:pStyle w:val="Style1"/>
              <w:tabs>
                <w:tab w:val="clear" w:pos="720"/>
              </w:tabs>
              <w:spacing w:line="240" w:lineRule="auto"/>
              <w:ind w:left="0" w:firstLine="0"/>
              <w:rPr>
                <w:color w:val="000000" w:themeColor="text1"/>
                <w:sz w:val="24"/>
                <w:szCs w:val="24"/>
              </w:rPr>
            </w:pPr>
          </w:p>
        </w:tc>
        <w:tc>
          <w:tcPr>
            <w:tcW w:w="1843" w:type="dxa"/>
            <w:tcBorders>
              <w:top w:val="single" w:sz="18" w:space="0" w:color="auto"/>
              <w:bottom w:val="single" w:sz="8" w:space="0" w:color="auto"/>
            </w:tcBorders>
          </w:tcPr>
          <w:p w14:paraId="4790F938" w14:textId="77777777" w:rsidR="00A1242F" w:rsidRPr="006B26BA" w:rsidRDefault="00A1242F"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837,651,000</w:t>
            </w:r>
          </w:p>
        </w:tc>
        <w:tc>
          <w:tcPr>
            <w:tcW w:w="850" w:type="dxa"/>
            <w:tcBorders>
              <w:top w:val="single" w:sz="18" w:space="0" w:color="auto"/>
              <w:bottom w:val="single" w:sz="8" w:space="0" w:color="auto"/>
            </w:tcBorders>
          </w:tcPr>
          <w:p w14:paraId="1FB5A9BE" w14:textId="77777777" w:rsidR="00A1242F" w:rsidRPr="006B26BA" w:rsidRDefault="00A1242F" w:rsidP="003B687B">
            <w:pPr>
              <w:pStyle w:val="Style1"/>
              <w:tabs>
                <w:tab w:val="clear" w:pos="720"/>
              </w:tabs>
              <w:spacing w:line="240" w:lineRule="auto"/>
              <w:ind w:left="0" w:firstLine="0"/>
              <w:rPr>
                <w:color w:val="000000" w:themeColor="text1"/>
                <w:sz w:val="24"/>
                <w:szCs w:val="24"/>
              </w:rPr>
            </w:pPr>
          </w:p>
        </w:tc>
        <w:tc>
          <w:tcPr>
            <w:tcW w:w="1843" w:type="dxa"/>
            <w:tcBorders>
              <w:top w:val="single" w:sz="18" w:space="0" w:color="auto"/>
              <w:bottom w:val="single" w:sz="8" w:space="0" w:color="auto"/>
            </w:tcBorders>
          </w:tcPr>
          <w:p w14:paraId="173DB40B" w14:textId="77777777" w:rsidR="00A1242F" w:rsidRPr="006B26BA" w:rsidRDefault="00A1242F"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621,470,000</w:t>
            </w:r>
          </w:p>
        </w:tc>
      </w:tr>
      <w:tr w:rsidR="00A1242F" w14:paraId="2D1E0275" w14:textId="77777777" w:rsidTr="002722AE">
        <w:tc>
          <w:tcPr>
            <w:tcW w:w="1911" w:type="dxa"/>
            <w:tcBorders>
              <w:top w:val="single" w:sz="8" w:space="0" w:color="auto"/>
            </w:tcBorders>
          </w:tcPr>
          <w:p w14:paraId="2CE3F9F9" w14:textId="26136ADA" w:rsidR="00A1242F" w:rsidRPr="006B26BA" w:rsidRDefault="00E57726" w:rsidP="003B687B">
            <w:pPr>
              <w:pStyle w:val="Style1"/>
              <w:tabs>
                <w:tab w:val="clear" w:pos="720"/>
              </w:tabs>
              <w:spacing w:line="240" w:lineRule="auto"/>
              <w:ind w:left="0" w:firstLine="0"/>
              <w:rPr>
                <w:color w:val="000000" w:themeColor="text1"/>
                <w:sz w:val="24"/>
                <w:szCs w:val="24"/>
              </w:rPr>
            </w:pPr>
            <w:r w:rsidRPr="006B26BA">
              <w:rPr>
                <w:color w:val="000000" w:themeColor="text1"/>
                <w:sz w:val="24"/>
                <w:szCs w:val="24"/>
              </w:rPr>
              <w:t>N</w:t>
            </w:r>
            <w:r w:rsidR="00A1242F" w:rsidRPr="006B26BA">
              <w:rPr>
                <w:color w:val="000000" w:themeColor="text1"/>
                <w:sz w:val="24"/>
                <w:szCs w:val="24"/>
              </w:rPr>
              <w:t xml:space="preserve">et credit </w:t>
            </w:r>
            <w:r w:rsidRPr="006B26BA">
              <w:rPr>
                <w:color w:val="000000" w:themeColor="text1"/>
                <w:sz w:val="24"/>
                <w:szCs w:val="24"/>
              </w:rPr>
              <w:t>/ I</w:t>
            </w:r>
            <w:r w:rsidR="00A1242F" w:rsidRPr="006B26BA">
              <w:rPr>
                <w:color w:val="000000" w:themeColor="text1"/>
                <w:sz w:val="24"/>
                <w:szCs w:val="24"/>
              </w:rPr>
              <w:t xml:space="preserve">ncrease in </w:t>
            </w:r>
            <w:r w:rsidRPr="006B26BA">
              <w:rPr>
                <w:color w:val="000000" w:themeColor="text1"/>
                <w:sz w:val="24"/>
                <w:szCs w:val="24"/>
              </w:rPr>
              <w:t xml:space="preserve">cash &amp; </w:t>
            </w:r>
            <w:r w:rsidR="00A1242F" w:rsidRPr="006B26BA">
              <w:rPr>
                <w:color w:val="000000" w:themeColor="text1"/>
                <w:sz w:val="24"/>
                <w:szCs w:val="24"/>
              </w:rPr>
              <w:t xml:space="preserve">bank balance </w:t>
            </w:r>
          </w:p>
        </w:tc>
        <w:tc>
          <w:tcPr>
            <w:tcW w:w="850" w:type="dxa"/>
            <w:tcBorders>
              <w:top w:val="single" w:sz="8" w:space="0" w:color="auto"/>
            </w:tcBorders>
          </w:tcPr>
          <w:p w14:paraId="40F98093" w14:textId="77777777" w:rsidR="00A1242F" w:rsidRPr="006B26BA" w:rsidRDefault="00A1242F" w:rsidP="003B687B">
            <w:pPr>
              <w:pStyle w:val="Style1"/>
              <w:tabs>
                <w:tab w:val="clear" w:pos="720"/>
              </w:tabs>
              <w:spacing w:line="240" w:lineRule="auto"/>
              <w:ind w:left="0" w:firstLine="0"/>
              <w:rPr>
                <w:color w:val="000000" w:themeColor="text1"/>
                <w:sz w:val="24"/>
                <w:szCs w:val="24"/>
              </w:rPr>
            </w:pPr>
          </w:p>
        </w:tc>
        <w:tc>
          <w:tcPr>
            <w:tcW w:w="1843" w:type="dxa"/>
            <w:tcBorders>
              <w:top w:val="single" w:sz="8" w:space="0" w:color="auto"/>
            </w:tcBorders>
          </w:tcPr>
          <w:p w14:paraId="3EC66D4E" w14:textId="77777777" w:rsidR="00A1242F" w:rsidRPr="006B26BA" w:rsidRDefault="00A1242F"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69%</w:t>
            </w:r>
          </w:p>
        </w:tc>
        <w:tc>
          <w:tcPr>
            <w:tcW w:w="850" w:type="dxa"/>
            <w:tcBorders>
              <w:top w:val="single" w:sz="8" w:space="0" w:color="auto"/>
            </w:tcBorders>
          </w:tcPr>
          <w:p w14:paraId="5D5C245F" w14:textId="77777777" w:rsidR="00A1242F" w:rsidRPr="006B26BA" w:rsidRDefault="00A1242F" w:rsidP="003B687B">
            <w:pPr>
              <w:pStyle w:val="Style1"/>
              <w:tabs>
                <w:tab w:val="clear" w:pos="720"/>
              </w:tabs>
              <w:spacing w:line="240" w:lineRule="auto"/>
              <w:ind w:left="0" w:firstLine="0"/>
              <w:jc w:val="right"/>
              <w:rPr>
                <w:color w:val="000000" w:themeColor="text1"/>
                <w:sz w:val="24"/>
                <w:szCs w:val="24"/>
              </w:rPr>
            </w:pPr>
          </w:p>
        </w:tc>
        <w:tc>
          <w:tcPr>
            <w:tcW w:w="1843" w:type="dxa"/>
            <w:tcBorders>
              <w:top w:val="single" w:sz="8" w:space="0" w:color="auto"/>
            </w:tcBorders>
          </w:tcPr>
          <w:p w14:paraId="32EC44F4" w14:textId="77777777" w:rsidR="00A1242F" w:rsidRDefault="00A1242F" w:rsidP="003B687B">
            <w:pPr>
              <w:pStyle w:val="Style1"/>
              <w:tabs>
                <w:tab w:val="clear" w:pos="720"/>
              </w:tabs>
              <w:spacing w:line="240" w:lineRule="auto"/>
              <w:ind w:left="0" w:firstLine="0"/>
              <w:jc w:val="right"/>
              <w:rPr>
                <w:color w:val="000000" w:themeColor="text1"/>
                <w:sz w:val="24"/>
                <w:szCs w:val="24"/>
              </w:rPr>
            </w:pPr>
            <w:r w:rsidRPr="006B26BA">
              <w:rPr>
                <w:color w:val="000000" w:themeColor="text1"/>
                <w:sz w:val="24"/>
                <w:szCs w:val="24"/>
              </w:rPr>
              <w:t>87%</w:t>
            </w:r>
          </w:p>
        </w:tc>
      </w:tr>
    </w:tbl>
    <w:p w14:paraId="735116B8" w14:textId="64D11446" w:rsidR="00A1242F" w:rsidRDefault="00A1242F" w:rsidP="003B687B">
      <w:pPr>
        <w:pStyle w:val="Style1"/>
        <w:tabs>
          <w:tab w:val="clear" w:pos="720"/>
        </w:tabs>
        <w:spacing w:line="240" w:lineRule="auto"/>
        <w:ind w:left="0" w:firstLine="0"/>
        <w:rPr>
          <w:color w:val="000000" w:themeColor="text1"/>
        </w:rPr>
      </w:pPr>
    </w:p>
    <w:p w14:paraId="5BC9DC52" w14:textId="08288396" w:rsidR="00D76341" w:rsidRPr="000259EB" w:rsidRDefault="00691C56" w:rsidP="006240DA">
      <w:pPr>
        <w:pStyle w:val="points"/>
        <w:numPr>
          <w:ilvl w:val="0"/>
          <w:numId w:val="10"/>
        </w:numPr>
        <w:tabs>
          <w:tab w:val="clear" w:pos="1400"/>
          <w:tab w:val="clear" w:pos="1960"/>
        </w:tabs>
        <w:spacing w:before="360"/>
        <w:ind w:left="1411" w:hanging="691"/>
      </w:pPr>
      <w:r>
        <w:t>T</w:t>
      </w:r>
      <w:r w:rsidR="00D76341" w:rsidRPr="000259EB">
        <w:t xml:space="preserve">he net credit created by the Fictitious </w:t>
      </w:r>
      <w:proofErr w:type="gramStart"/>
      <w:r w:rsidR="00D76341" w:rsidRPr="000259EB">
        <w:t>Transactions  represented</w:t>
      </w:r>
      <w:proofErr w:type="gramEnd"/>
      <w:r w:rsidR="00D76341" w:rsidRPr="000259EB">
        <w:t xml:space="preserve"> </w:t>
      </w:r>
      <w:r w:rsidR="00D76341" w:rsidRPr="000259EB">
        <w:rPr>
          <w:color w:val="000000" w:themeColor="text1"/>
        </w:rPr>
        <w:t xml:space="preserve">69% and 87% of the Group’s net increases in bank / cash balances </w:t>
      </w:r>
      <w:r w:rsidR="00D76341">
        <w:rPr>
          <w:color w:val="000000" w:themeColor="text1"/>
        </w:rPr>
        <w:t>recorded</w:t>
      </w:r>
      <w:r w:rsidR="00D76341" w:rsidRPr="000259EB">
        <w:rPr>
          <w:color w:val="000000" w:themeColor="text1"/>
        </w:rPr>
        <w:t xml:space="preserve"> in the 2012 AFS and 2013 AFS</w:t>
      </w:r>
      <w:r>
        <w:rPr>
          <w:color w:val="000000" w:themeColor="text1"/>
        </w:rPr>
        <w:t>.</w:t>
      </w:r>
    </w:p>
    <w:p w14:paraId="768F6AD7" w14:textId="361FBE13" w:rsidR="001E0445" w:rsidRDefault="007955E7">
      <w:pPr>
        <w:pStyle w:val="Final"/>
        <w:numPr>
          <w:ilvl w:val="0"/>
          <w:numId w:val="2"/>
        </w:numPr>
        <w:tabs>
          <w:tab w:val="clear" w:pos="720"/>
          <w:tab w:val="clear" w:pos="1440"/>
          <w:tab w:val="num" w:pos="0"/>
          <w:tab w:val="left" w:pos="1418"/>
        </w:tabs>
        <w:ind w:left="0" w:firstLine="0"/>
      </w:pPr>
      <w:r>
        <w:t>A</w:t>
      </w:r>
      <w:r w:rsidR="00B1079D">
        <w:t>lthough Ms Liao c</w:t>
      </w:r>
      <w:r>
        <w:t>riti</w:t>
      </w:r>
      <w:r w:rsidR="00B1079D">
        <w:t>ci</w:t>
      </w:r>
      <w:r>
        <w:t>s</w:t>
      </w:r>
      <w:r w:rsidR="00B1079D">
        <w:t>e</w:t>
      </w:r>
      <w:r w:rsidR="00B96E38">
        <w:t>d</w:t>
      </w:r>
      <w:r w:rsidR="00B1079D">
        <w:t xml:space="preserve"> </w:t>
      </w:r>
      <w:r>
        <w:t xml:space="preserve">the lack of particularity in respect of the </w:t>
      </w:r>
      <w:r w:rsidR="00954F8E">
        <w:t>Fictitious Transactions</w:t>
      </w:r>
      <w:r w:rsidR="00B1079D">
        <w:t xml:space="preserve">, </w:t>
      </w:r>
      <w:r w:rsidR="0052329F">
        <w:t>she d</w:t>
      </w:r>
      <w:r w:rsidR="00B96E38">
        <w:t xml:space="preserve">id </w:t>
      </w:r>
      <w:r w:rsidR="0052329F">
        <w:t xml:space="preserve">not challenge </w:t>
      </w:r>
      <w:r w:rsidR="00E42AE9">
        <w:t>any part of t</w:t>
      </w:r>
      <w:r w:rsidR="0052329F">
        <w:t xml:space="preserve">he </w:t>
      </w:r>
      <w:r w:rsidR="00E42AE9">
        <w:lastRenderedPageBreak/>
        <w:t>evidence of Mr Cheng</w:t>
      </w:r>
      <w:r w:rsidR="00954F8E">
        <w:t xml:space="preserve"> </w:t>
      </w:r>
      <w:r w:rsidR="00FB19E7">
        <w:t>where he refer</w:t>
      </w:r>
      <w:r w:rsidR="009F2BA1">
        <w:t>red</w:t>
      </w:r>
      <w:r w:rsidR="00FB19E7">
        <w:t xml:space="preserve"> to the relevant parts of ROIs and documents in support of the allegations</w:t>
      </w:r>
      <w:r w:rsidR="00AE6CFF">
        <w:t xml:space="preserve">.  </w:t>
      </w:r>
      <w:r w:rsidR="001101D5">
        <w:t>In my view, t</w:t>
      </w:r>
      <w:r w:rsidR="000443FD">
        <w:t>he criticism is misplaced</w:t>
      </w:r>
      <w:r w:rsidR="00AE6CFF">
        <w:t xml:space="preserve">.  </w:t>
      </w:r>
      <w:r w:rsidR="000443FD">
        <w:t xml:space="preserve">The </w:t>
      </w:r>
      <w:r w:rsidR="00624B65">
        <w:t xml:space="preserve">Fictitious Transactions only go to </w:t>
      </w:r>
      <w:r w:rsidR="00EC2112">
        <w:t xml:space="preserve">illustrate </w:t>
      </w:r>
      <w:r w:rsidR="00624B65" w:rsidRPr="003A0A8C">
        <w:rPr>
          <w:i/>
          <w:iCs/>
        </w:rPr>
        <w:t>how</w:t>
      </w:r>
      <w:r w:rsidR="00624B65">
        <w:t xml:space="preserve"> </w:t>
      </w:r>
      <w:r w:rsidR="00EC2112">
        <w:t xml:space="preserve">the Group recorded the </w:t>
      </w:r>
      <w:r w:rsidR="00624B65">
        <w:t>fictitious bank balances</w:t>
      </w:r>
      <w:r w:rsidR="00F532AD">
        <w:t xml:space="preserve"> (i.e</w:t>
      </w:r>
      <w:r w:rsidR="00AE6CFF">
        <w:t xml:space="preserve">. </w:t>
      </w:r>
      <w:r w:rsidR="00F532AD">
        <w:t>2012 Discrepancy and 2013 Discrepancy)</w:t>
      </w:r>
      <w:r w:rsidR="00624B65">
        <w:t xml:space="preserve"> in the books of accounts of the Subsidiaries</w:t>
      </w:r>
      <w:r w:rsidR="001E0445">
        <w:t xml:space="preserve"> </w:t>
      </w:r>
      <w:r w:rsidR="00B96E38">
        <w:t>(</w:t>
      </w:r>
      <w:r w:rsidR="001E0445">
        <w:t xml:space="preserve">without which the </w:t>
      </w:r>
      <w:r w:rsidR="00DB520B">
        <w:t xml:space="preserve">relevant </w:t>
      </w:r>
      <w:r w:rsidR="001E0445">
        <w:t>account</w:t>
      </w:r>
      <w:r w:rsidR="00DB520B">
        <w:t>ing</w:t>
      </w:r>
      <w:r w:rsidR="001E0445">
        <w:t xml:space="preserve"> ledgers would not be balanced</w:t>
      </w:r>
      <w:r w:rsidR="00B96E38">
        <w:t>)</w:t>
      </w:r>
      <w:r w:rsidR="00B261D5">
        <w:t xml:space="preserve"> and reinforces the fact that the Schemes </w:t>
      </w:r>
      <w:r w:rsidR="00683EE7">
        <w:t xml:space="preserve">were </w:t>
      </w:r>
      <w:r w:rsidR="00B261D5">
        <w:t>perpetrated on the Group</w:t>
      </w:r>
      <w:r w:rsidR="00AF0F01">
        <w:t xml:space="preserve">. </w:t>
      </w:r>
      <w:r w:rsidR="00975DE1">
        <w:t xml:space="preserve">The SFC does not have to prove the precise manner in which the Group recorded the 2012 Discrepancy and 2013 Discrepancy. </w:t>
      </w:r>
    </w:p>
    <w:p w14:paraId="6D0B5F71" w14:textId="2EE6824D" w:rsidR="0014693F" w:rsidRDefault="00D1746F">
      <w:pPr>
        <w:pStyle w:val="Final"/>
        <w:numPr>
          <w:ilvl w:val="0"/>
          <w:numId w:val="2"/>
        </w:numPr>
        <w:tabs>
          <w:tab w:val="clear" w:pos="720"/>
          <w:tab w:val="clear" w:pos="1440"/>
          <w:tab w:val="num" w:pos="0"/>
          <w:tab w:val="left" w:pos="1418"/>
        </w:tabs>
        <w:ind w:left="0" w:firstLine="0"/>
      </w:pPr>
      <w:r>
        <w:t xml:space="preserve">For the above reasons, I find that the </w:t>
      </w:r>
      <w:r w:rsidR="00A5361C">
        <w:t xml:space="preserve">Schemes </w:t>
      </w:r>
      <w:r w:rsidR="00975DE1">
        <w:t>were</w:t>
      </w:r>
      <w:r w:rsidR="00A5361C">
        <w:t xml:space="preserve"> devised and perpetrated on the </w:t>
      </w:r>
      <w:r w:rsidR="00975DE1">
        <w:t>5 Bank A</w:t>
      </w:r>
      <w:r w:rsidR="00A5361C">
        <w:t>ccounts</w:t>
      </w:r>
      <w:r w:rsidR="00AE6CFF">
        <w:t xml:space="preserve">.  </w:t>
      </w:r>
      <w:r w:rsidR="0014693F">
        <w:t xml:space="preserve">As a result of the Schemes, the bank balances of the Group stated in the 2012 AFS and 2013 AFS had been inflated by RMB 2.18 billion </w:t>
      </w:r>
      <w:r w:rsidR="00DC19A8">
        <w:t>(i.e</w:t>
      </w:r>
      <w:r w:rsidR="00485155">
        <w:t xml:space="preserve">. </w:t>
      </w:r>
      <w:r w:rsidR="00DC19A8">
        <w:t xml:space="preserve">2012 Discrepancy) </w:t>
      </w:r>
      <w:r w:rsidR="0014693F">
        <w:t xml:space="preserve">and RMB 2.72 billion </w:t>
      </w:r>
      <w:r w:rsidR="00DC19A8">
        <w:t xml:space="preserve">(2013 Discrepancy) </w:t>
      </w:r>
      <w:r w:rsidR="0014693F">
        <w:t>respectively</w:t>
      </w:r>
      <w:r w:rsidR="00AE6CFF">
        <w:t xml:space="preserve">.  </w:t>
      </w:r>
    </w:p>
    <w:p w14:paraId="0F98EEDD" w14:textId="24F07ED9" w:rsidR="00720BE8" w:rsidRPr="00E64A59" w:rsidRDefault="00720BE8" w:rsidP="00617C2A">
      <w:pPr>
        <w:pStyle w:val="H-1"/>
        <w:tabs>
          <w:tab w:val="left" w:pos="720"/>
        </w:tabs>
        <w:ind w:left="720" w:hanging="720"/>
      </w:pPr>
      <w:r w:rsidRPr="00E64A59">
        <w:t>D2.</w:t>
      </w:r>
      <w:r w:rsidRPr="00E64A59">
        <w:tab/>
        <w:t>2</w:t>
      </w:r>
      <w:r w:rsidRPr="00E64A59">
        <w:rPr>
          <w:vertAlign w:val="superscript"/>
        </w:rPr>
        <w:t>nd</w:t>
      </w:r>
      <w:r w:rsidRPr="00E64A59">
        <w:t xml:space="preserve"> Issue: </w:t>
      </w:r>
      <w:r w:rsidR="00442C7E" w:rsidRPr="00E64A59">
        <w:t xml:space="preserve">whether Mr Wen caused, directed </w:t>
      </w:r>
      <w:r w:rsidR="00A55EF2">
        <w:t>and/</w:t>
      </w:r>
      <w:r w:rsidR="00442C7E" w:rsidRPr="00E64A59">
        <w:t>or orchestrated the Schemes</w:t>
      </w:r>
    </w:p>
    <w:p w14:paraId="2342AC3F" w14:textId="07648345" w:rsidR="00DA361A" w:rsidRPr="00E64A59" w:rsidRDefault="00B4206D" w:rsidP="003B5FAE">
      <w:pPr>
        <w:pStyle w:val="Final"/>
        <w:numPr>
          <w:ilvl w:val="0"/>
          <w:numId w:val="2"/>
        </w:numPr>
        <w:tabs>
          <w:tab w:val="clear" w:pos="720"/>
          <w:tab w:val="num" w:pos="0"/>
        </w:tabs>
        <w:ind w:left="0" w:firstLine="0"/>
        <w:rPr>
          <w:color w:val="000000" w:themeColor="text1"/>
        </w:rPr>
      </w:pPr>
      <w:bookmarkStart w:id="7" w:name="_Ref103678959"/>
      <w:r w:rsidRPr="00E64A59">
        <w:rPr>
          <w:color w:val="000000" w:themeColor="text1"/>
        </w:rPr>
        <w:t>Mr Wen denie</w:t>
      </w:r>
      <w:r w:rsidR="00A55EF2">
        <w:rPr>
          <w:color w:val="000000" w:themeColor="text1"/>
        </w:rPr>
        <w:t>d</w:t>
      </w:r>
      <w:r w:rsidRPr="00E64A59">
        <w:rPr>
          <w:color w:val="000000" w:themeColor="text1"/>
        </w:rPr>
        <w:t xml:space="preserve"> that he had any knowledge of or involvement in the Schemes</w:t>
      </w:r>
      <w:r w:rsidR="00AE6CFF">
        <w:rPr>
          <w:color w:val="000000" w:themeColor="text1"/>
        </w:rPr>
        <w:t xml:space="preserve">.  </w:t>
      </w:r>
      <w:r w:rsidR="005E6BA7" w:rsidRPr="00E64A59">
        <w:rPr>
          <w:color w:val="000000" w:themeColor="text1"/>
        </w:rPr>
        <w:t>In particular</w:t>
      </w:r>
      <w:r w:rsidR="00DA361A" w:rsidRPr="00E64A59">
        <w:rPr>
          <w:color w:val="000000" w:themeColor="text1"/>
        </w:rPr>
        <w:t>:</w:t>
      </w:r>
    </w:p>
    <w:p w14:paraId="51B41CD9" w14:textId="1F31A037" w:rsidR="00E80750" w:rsidRPr="00E64A59" w:rsidRDefault="00A55EF2" w:rsidP="005C174D">
      <w:pPr>
        <w:pStyle w:val="points"/>
        <w:numPr>
          <w:ilvl w:val="0"/>
          <w:numId w:val="31"/>
        </w:numPr>
        <w:tabs>
          <w:tab w:val="clear" w:pos="1400"/>
        </w:tabs>
      </w:pPr>
      <w:r>
        <w:t>A</w:t>
      </w:r>
      <w:r w:rsidR="00B4206D" w:rsidRPr="00E64A59">
        <w:t xml:space="preserve">lthough he </w:t>
      </w:r>
      <w:r w:rsidR="00CE6D0C" w:rsidRPr="00E64A59">
        <w:t>wa</w:t>
      </w:r>
      <w:r w:rsidR="00B4206D" w:rsidRPr="00E64A59">
        <w:t xml:space="preserve">s Chairman and </w:t>
      </w:r>
      <w:r w:rsidR="00CE6D0C" w:rsidRPr="00E64A59">
        <w:t>ED of the Group, he</w:t>
      </w:r>
      <w:r w:rsidR="00E80750" w:rsidRPr="00E64A59">
        <w:t xml:space="preserve"> left the day-to-day management and operation of the Group including the Subsidiaries to R3, R4 and R5</w:t>
      </w:r>
      <w:r w:rsidR="00AE6CFF">
        <w:t xml:space="preserve">.  </w:t>
      </w:r>
      <w:r w:rsidR="00E80750" w:rsidRPr="00E64A59">
        <w:t>He relied entirely on R4</w:t>
      </w:r>
      <w:r w:rsidR="0073412B">
        <w:t>.</w:t>
      </w:r>
    </w:p>
    <w:p w14:paraId="01BB812C" w14:textId="32BBACDE" w:rsidR="00050317" w:rsidRPr="00E64A59" w:rsidRDefault="008F29A8" w:rsidP="005C174D">
      <w:pPr>
        <w:pStyle w:val="points"/>
        <w:numPr>
          <w:ilvl w:val="0"/>
          <w:numId w:val="31"/>
        </w:numPr>
        <w:tabs>
          <w:tab w:val="clear" w:pos="1400"/>
        </w:tabs>
        <w:rPr>
          <w:color w:val="000000" w:themeColor="text1"/>
        </w:rPr>
      </w:pPr>
      <w:r>
        <w:rPr>
          <w:color w:val="000000" w:themeColor="text1"/>
        </w:rPr>
        <w:t>T</w:t>
      </w:r>
      <w:r w:rsidR="00E80750" w:rsidRPr="00E64A59">
        <w:rPr>
          <w:color w:val="000000" w:themeColor="text1"/>
        </w:rPr>
        <w:t xml:space="preserve">he </w:t>
      </w:r>
      <w:r w:rsidR="00C2220B" w:rsidRPr="00E64A59">
        <w:rPr>
          <w:color w:val="000000" w:themeColor="text1"/>
        </w:rPr>
        <w:t>F</w:t>
      </w:r>
      <w:r w:rsidR="00E80750" w:rsidRPr="00E64A59">
        <w:rPr>
          <w:color w:val="000000" w:themeColor="text1"/>
        </w:rPr>
        <w:t xml:space="preserve">inance </w:t>
      </w:r>
      <w:r w:rsidR="00C2220B" w:rsidRPr="00E64A59">
        <w:rPr>
          <w:color w:val="000000" w:themeColor="text1"/>
        </w:rPr>
        <w:t>D</w:t>
      </w:r>
      <w:r w:rsidR="00E80750" w:rsidRPr="00E64A59">
        <w:rPr>
          <w:color w:val="000000" w:themeColor="text1"/>
        </w:rPr>
        <w:t>epartment was in charge of the bank accounts of the Subsidiaries</w:t>
      </w:r>
      <w:r w:rsidR="00AE6CFF">
        <w:rPr>
          <w:color w:val="000000" w:themeColor="text1"/>
        </w:rPr>
        <w:t xml:space="preserve">.  </w:t>
      </w:r>
      <w:r w:rsidR="00E80750" w:rsidRPr="00E64A59">
        <w:rPr>
          <w:color w:val="000000" w:themeColor="text1"/>
        </w:rPr>
        <w:t xml:space="preserve">It dealt with the employees of PAB and HXB and provided the Company’s Records to Deloitte during </w:t>
      </w:r>
      <w:r w:rsidR="00E80750" w:rsidRPr="00E64A59">
        <w:rPr>
          <w:color w:val="000000" w:themeColor="text1"/>
        </w:rPr>
        <w:lastRenderedPageBreak/>
        <w:t>the audit</w:t>
      </w:r>
      <w:r w:rsidR="00AE6CFF">
        <w:rPr>
          <w:color w:val="000000" w:themeColor="text1"/>
        </w:rPr>
        <w:t xml:space="preserve">.  </w:t>
      </w:r>
      <w:r w:rsidR="00E80750" w:rsidRPr="00E64A59">
        <w:rPr>
          <w:color w:val="000000" w:themeColor="text1"/>
        </w:rPr>
        <w:t xml:space="preserve">The </w:t>
      </w:r>
      <w:r w:rsidR="00050317" w:rsidRPr="00E64A59">
        <w:rPr>
          <w:color w:val="000000" w:themeColor="text1"/>
        </w:rPr>
        <w:t>F</w:t>
      </w:r>
      <w:r w:rsidR="00E80750" w:rsidRPr="00E64A59">
        <w:rPr>
          <w:color w:val="000000" w:themeColor="text1"/>
        </w:rPr>
        <w:t xml:space="preserve">inance </w:t>
      </w:r>
      <w:r w:rsidR="00050317" w:rsidRPr="00E64A59">
        <w:rPr>
          <w:color w:val="000000" w:themeColor="text1"/>
        </w:rPr>
        <w:t>D</w:t>
      </w:r>
      <w:r w:rsidR="00E80750" w:rsidRPr="00E64A59">
        <w:rPr>
          <w:color w:val="000000" w:themeColor="text1"/>
        </w:rPr>
        <w:t>epartment reported to R5 who, in turn, reported to R4</w:t>
      </w:r>
      <w:r w:rsidR="00AE6CFF">
        <w:rPr>
          <w:color w:val="000000" w:themeColor="text1"/>
        </w:rPr>
        <w:t xml:space="preserve">.  </w:t>
      </w:r>
    </w:p>
    <w:p w14:paraId="5AD7FE11" w14:textId="397A95A1" w:rsidR="00E80750" w:rsidRPr="00E64A59" w:rsidRDefault="00050317" w:rsidP="005C174D">
      <w:pPr>
        <w:pStyle w:val="points"/>
        <w:numPr>
          <w:ilvl w:val="0"/>
          <w:numId w:val="31"/>
        </w:numPr>
        <w:tabs>
          <w:tab w:val="clear" w:pos="1400"/>
        </w:tabs>
        <w:rPr>
          <w:color w:val="000000" w:themeColor="text1"/>
        </w:rPr>
      </w:pPr>
      <w:r w:rsidRPr="00E64A59">
        <w:rPr>
          <w:color w:val="000000" w:themeColor="text1"/>
        </w:rPr>
        <w:t xml:space="preserve">Mr </w:t>
      </w:r>
      <w:r w:rsidRPr="00B92F7C">
        <w:t>Wen</w:t>
      </w:r>
      <w:r w:rsidRPr="00E64A59">
        <w:rPr>
          <w:color w:val="000000" w:themeColor="text1"/>
        </w:rPr>
        <w:t xml:space="preserve"> </w:t>
      </w:r>
      <w:r w:rsidR="00E80750" w:rsidRPr="00E64A59">
        <w:rPr>
          <w:color w:val="000000" w:themeColor="text1"/>
        </w:rPr>
        <w:t>did not have access to or personal knowledge of the Group’s bank accounts and had no reason to question the veracity of the bank statements of the 8 Bank Accounts</w:t>
      </w:r>
      <w:r w:rsidR="00764C18" w:rsidRPr="00E64A59">
        <w:rPr>
          <w:color w:val="000000" w:themeColor="text1"/>
        </w:rPr>
        <w:t>.</w:t>
      </w:r>
    </w:p>
    <w:p w14:paraId="4D9ABCFC" w14:textId="5E3658AE" w:rsidR="002D437C" w:rsidRDefault="00105CE6" w:rsidP="002D437C">
      <w:pPr>
        <w:pStyle w:val="Final"/>
        <w:numPr>
          <w:ilvl w:val="0"/>
          <w:numId w:val="2"/>
        </w:numPr>
        <w:tabs>
          <w:tab w:val="clear" w:pos="720"/>
          <w:tab w:val="num" w:pos="0"/>
        </w:tabs>
        <w:ind w:left="0" w:firstLine="0"/>
        <w:rPr>
          <w:color w:val="000000" w:themeColor="text1"/>
        </w:rPr>
      </w:pPr>
      <w:r>
        <w:rPr>
          <w:color w:val="000000" w:themeColor="text1"/>
        </w:rPr>
        <w:t xml:space="preserve">In my </w:t>
      </w:r>
      <w:r w:rsidR="00375AC2">
        <w:rPr>
          <w:color w:val="000000" w:themeColor="text1"/>
        </w:rPr>
        <w:t xml:space="preserve">judgment, Mr Wen plainly had knowledge of and was involved in </w:t>
      </w:r>
      <w:r w:rsidR="00D83D35">
        <w:rPr>
          <w:color w:val="000000" w:themeColor="text1"/>
        </w:rPr>
        <w:t xml:space="preserve">causing, </w:t>
      </w:r>
      <w:r w:rsidR="0065482E">
        <w:rPr>
          <w:color w:val="000000" w:themeColor="text1"/>
        </w:rPr>
        <w:t xml:space="preserve">directing and orchestrating </w:t>
      </w:r>
      <w:r w:rsidR="00375AC2">
        <w:rPr>
          <w:color w:val="000000" w:themeColor="text1"/>
        </w:rPr>
        <w:t>the Schemes for the r</w:t>
      </w:r>
      <w:r w:rsidR="002D437C">
        <w:rPr>
          <w:color w:val="000000" w:themeColor="text1"/>
        </w:rPr>
        <w:t>easons stated below</w:t>
      </w:r>
      <w:r w:rsidR="00AE6CFF">
        <w:rPr>
          <w:color w:val="000000" w:themeColor="text1"/>
        </w:rPr>
        <w:t xml:space="preserve">.  </w:t>
      </w:r>
    </w:p>
    <w:p w14:paraId="1F9D6C5A" w14:textId="3DE4CA3F" w:rsidR="00A949B0" w:rsidRDefault="002D437C" w:rsidP="00833739">
      <w:pPr>
        <w:pStyle w:val="Final"/>
        <w:numPr>
          <w:ilvl w:val="0"/>
          <w:numId w:val="2"/>
        </w:numPr>
        <w:tabs>
          <w:tab w:val="clear" w:pos="720"/>
          <w:tab w:val="num" w:pos="142"/>
        </w:tabs>
        <w:ind w:left="0" w:firstLine="0"/>
        <w:rPr>
          <w:color w:val="000000" w:themeColor="text1"/>
        </w:rPr>
      </w:pPr>
      <w:r w:rsidRPr="00A52E81">
        <w:rPr>
          <w:color w:val="000000" w:themeColor="text1"/>
          <w:u w:val="single"/>
        </w:rPr>
        <w:t>First</w:t>
      </w:r>
      <w:r>
        <w:rPr>
          <w:color w:val="000000" w:themeColor="text1"/>
        </w:rPr>
        <w:t xml:space="preserve">, </w:t>
      </w:r>
      <w:r w:rsidR="00FD24A3">
        <w:rPr>
          <w:color w:val="000000" w:themeColor="text1"/>
        </w:rPr>
        <w:t xml:space="preserve">it is not in dispute that the Subsidiaries were corporate vehicles </w:t>
      </w:r>
      <w:r w:rsidR="00591EF3">
        <w:rPr>
          <w:color w:val="000000" w:themeColor="text1"/>
        </w:rPr>
        <w:t xml:space="preserve">used by the Company to secure water treatment projects in the Mainland and were at all times managed by </w:t>
      </w:r>
      <w:r w:rsidR="00A949B0" w:rsidRPr="00A949B0">
        <w:rPr>
          <w:i/>
          <w:iCs/>
          <w:color w:val="000000" w:themeColor="text1"/>
        </w:rPr>
        <w:t>inter alios</w:t>
      </w:r>
      <w:r w:rsidR="00A949B0">
        <w:rPr>
          <w:color w:val="000000" w:themeColor="text1"/>
        </w:rPr>
        <w:t xml:space="preserve"> </w:t>
      </w:r>
      <w:r w:rsidR="00591EF3">
        <w:rPr>
          <w:color w:val="000000" w:themeColor="text1"/>
        </w:rPr>
        <w:t>Mr Wen</w:t>
      </w:r>
      <w:r w:rsidR="00A949B0">
        <w:rPr>
          <w:color w:val="000000" w:themeColor="text1"/>
        </w:rPr>
        <w:t>:</w:t>
      </w:r>
    </w:p>
    <w:p w14:paraId="28CC2F85" w14:textId="538F29B9" w:rsidR="00996275" w:rsidRDefault="00996275" w:rsidP="005C174D">
      <w:pPr>
        <w:pStyle w:val="points"/>
        <w:numPr>
          <w:ilvl w:val="0"/>
          <w:numId w:val="32"/>
        </w:numPr>
        <w:tabs>
          <w:tab w:val="clear" w:pos="1400"/>
        </w:tabs>
      </w:pPr>
      <w:r>
        <w:t>According to the answer provided by SWC (on behalf of the Company) to the SFC on 2 May 2017, the Subsidiaries were “merely corporate vehicles to secure water treatment projects in the PRC, and were managed by the relevant staff of the Company and/or its subsidiaries</w:t>
      </w:r>
      <w:r w:rsidR="00AE6CFF">
        <w:t xml:space="preserve">.  </w:t>
      </w:r>
      <w:r>
        <w:t>As such, there are no senior managerial staff specifically for the 3 Subsidiaries”</w:t>
      </w:r>
    </w:p>
    <w:p w14:paraId="25F0E06E" w14:textId="53610ACD" w:rsidR="00400321" w:rsidRDefault="00400321" w:rsidP="005C174D">
      <w:pPr>
        <w:pStyle w:val="points"/>
        <w:numPr>
          <w:ilvl w:val="0"/>
          <w:numId w:val="32"/>
        </w:numPr>
        <w:tabs>
          <w:tab w:val="clear" w:pos="1400"/>
        </w:tabs>
        <w:rPr>
          <w:color w:val="000000" w:themeColor="text1"/>
        </w:rPr>
      </w:pPr>
      <w:r>
        <w:rPr>
          <w:color w:val="000000" w:themeColor="text1"/>
        </w:rPr>
        <w:t>S</w:t>
      </w:r>
      <w:r w:rsidRPr="00A702B1">
        <w:rPr>
          <w:color w:val="000000" w:themeColor="text1"/>
        </w:rPr>
        <w:t>ince 7</w:t>
      </w:r>
      <w:r>
        <w:rPr>
          <w:color w:val="000000" w:themeColor="text1"/>
        </w:rPr>
        <w:t xml:space="preserve"> </w:t>
      </w:r>
      <w:r w:rsidRPr="00FD4F10">
        <w:t>November</w:t>
      </w:r>
      <w:r>
        <w:rPr>
          <w:color w:val="000000" w:themeColor="text1"/>
        </w:rPr>
        <w:t xml:space="preserve"> </w:t>
      </w:r>
      <w:r w:rsidRPr="00A702B1">
        <w:rPr>
          <w:color w:val="000000" w:themeColor="text1"/>
        </w:rPr>
        <w:t>2005</w:t>
      </w:r>
      <w:r w:rsidR="002D50E0">
        <w:rPr>
          <w:color w:val="000000" w:themeColor="text1"/>
        </w:rPr>
        <w:t xml:space="preserve"> and at all material times</w:t>
      </w:r>
      <w:r w:rsidRPr="00A702B1">
        <w:rPr>
          <w:color w:val="000000" w:themeColor="text1"/>
        </w:rPr>
        <w:t>,</w:t>
      </w:r>
      <w:r>
        <w:rPr>
          <w:color w:val="000000" w:themeColor="text1"/>
        </w:rPr>
        <w:t xml:space="preserve"> Mr Wen </w:t>
      </w:r>
      <w:r w:rsidRPr="00A702B1">
        <w:rPr>
          <w:color w:val="000000" w:themeColor="text1"/>
        </w:rPr>
        <w:t xml:space="preserve">had been </w:t>
      </w:r>
      <w:r>
        <w:rPr>
          <w:color w:val="000000" w:themeColor="text1"/>
        </w:rPr>
        <w:t>Chairman and ED</w:t>
      </w:r>
      <w:r w:rsidRPr="00A702B1">
        <w:rPr>
          <w:color w:val="000000" w:themeColor="text1"/>
        </w:rPr>
        <w:t xml:space="preserve"> of </w:t>
      </w:r>
      <w:r>
        <w:rPr>
          <w:color w:val="000000" w:themeColor="text1"/>
        </w:rPr>
        <w:t>the Company.</w:t>
      </w:r>
    </w:p>
    <w:p w14:paraId="768B1FF6" w14:textId="79423626" w:rsidR="00A949B0" w:rsidRDefault="00D81243" w:rsidP="005C174D">
      <w:pPr>
        <w:pStyle w:val="points"/>
        <w:numPr>
          <w:ilvl w:val="0"/>
          <w:numId w:val="32"/>
        </w:numPr>
        <w:tabs>
          <w:tab w:val="clear" w:pos="1400"/>
        </w:tabs>
        <w:rPr>
          <w:color w:val="000000" w:themeColor="text1"/>
        </w:rPr>
      </w:pPr>
      <w:r>
        <w:rPr>
          <w:color w:val="000000" w:themeColor="text1"/>
        </w:rPr>
        <w:t>Mr Wen</w:t>
      </w:r>
      <w:r w:rsidR="00E646AE">
        <w:rPr>
          <w:color w:val="000000" w:themeColor="text1"/>
        </w:rPr>
        <w:t xml:space="preserve"> </w:t>
      </w:r>
      <w:r w:rsidR="00E646AE" w:rsidRPr="00DA64A3">
        <w:rPr>
          <w:color w:val="000000" w:themeColor="text1"/>
        </w:rPr>
        <w:t xml:space="preserve">was a director of </w:t>
      </w:r>
      <w:r w:rsidR="00E646AE">
        <w:rPr>
          <w:color w:val="000000" w:themeColor="text1"/>
        </w:rPr>
        <w:t xml:space="preserve">the </w:t>
      </w:r>
      <w:r w:rsidR="00E646AE" w:rsidRPr="00DA64A3">
        <w:rPr>
          <w:color w:val="000000" w:themeColor="text1"/>
        </w:rPr>
        <w:t>Subsidiaries</w:t>
      </w:r>
      <w:r w:rsidR="00E646AE">
        <w:rPr>
          <w:color w:val="000000" w:themeColor="text1"/>
        </w:rPr>
        <w:t xml:space="preserve"> at </w:t>
      </w:r>
      <w:r w:rsidR="00762BE6">
        <w:rPr>
          <w:color w:val="000000" w:themeColor="text1"/>
        </w:rPr>
        <w:t xml:space="preserve">all material </w:t>
      </w:r>
      <w:r w:rsidR="00E646AE">
        <w:rPr>
          <w:color w:val="000000" w:themeColor="text1"/>
        </w:rPr>
        <w:t>times.</w:t>
      </w:r>
    </w:p>
    <w:p w14:paraId="29FF1785" w14:textId="7E5C7E8F" w:rsidR="00B45D78" w:rsidRDefault="00B45D78" w:rsidP="005C174D">
      <w:pPr>
        <w:pStyle w:val="points"/>
        <w:numPr>
          <w:ilvl w:val="0"/>
          <w:numId w:val="32"/>
        </w:numPr>
        <w:tabs>
          <w:tab w:val="clear" w:pos="1400"/>
        </w:tabs>
        <w:rPr>
          <w:color w:val="000000" w:themeColor="text1"/>
        </w:rPr>
      </w:pPr>
      <w:r>
        <w:rPr>
          <w:color w:val="000000" w:themeColor="text1"/>
        </w:rPr>
        <w:t xml:space="preserve">Mr Wen </w:t>
      </w:r>
      <w:r w:rsidRPr="00D95352">
        <w:rPr>
          <w:color w:val="000000" w:themeColor="text1"/>
        </w:rPr>
        <w:t xml:space="preserve">was </w:t>
      </w:r>
      <w:r w:rsidR="00E23D2A" w:rsidRPr="00FD4F10">
        <w:t>at</w:t>
      </w:r>
      <w:r w:rsidR="00E23D2A">
        <w:rPr>
          <w:color w:val="000000" w:themeColor="text1"/>
        </w:rPr>
        <w:t xml:space="preserve"> all material times </w:t>
      </w:r>
      <w:r w:rsidR="00EE21F2">
        <w:rPr>
          <w:color w:val="000000" w:themeColor="text1"/>
        </w:rPr>
        <w:t xml:space="preserve">the </w:t>
      </w:r>
      <w:r w:rsidRPr="00D95352">
        <w:rPr>
          <w:color w:val="000000" w:themeColor="text1"/>
        </w:rPr>
        <w:t xml:space="preserve">legal representative of BJ </w:t>
      </w:r>
      <w:proofErr w:type="spellStart"/>
      <w:r w:rsidRPr="00D95352">
        <w:rPr>
          <w:color w:val="000000" w:themeColor="text1"/>
        </w:rPr>
        <w:t>Epure</w:t>
      </w:r>
      <w:proofErr w:type="spellEnd"/>
      <w:r w:rsidRPr="00D95352">
        <w:rPr>
          <w:color w:val="000000" w:themeColor="text1"/>
        </w:rPr>
        <w:t xml:space="preserve"> and BJ Sound</w:t>
      </w:r>
      <w:r w:rsidR="00AE6CFF">
        <w:rPr>
          <w:color w:val="000000" w:themeColor="text1"/>
        </w:rPr>
        <w:t xml:space="preserve">.  </w:t>
      </w:r>
      <w:r w:rsidR="0027489E">
        <w:rPr>
          <w:color w:val="000000" w:themeColor="text1"/>
        </w:rPr>
        <w:t xml:space="preserve">He signed at least 9 contracts on behalf of BJ Sound and BJ </w:t>
      </w:r>
      <w:proofErr w:type="spellStart"/>
      <w:r w:rsidR="0027489E">
        <w:rPr>
          <w:color w:val="000000" w:themeColor="text1"/>
        </w:rPr>
        <w:t>Epure</w:t>
      </w:r>
      <w:proofErr w:type="spellEnd"/>
      <w:r w:rsidR="00AE6CFF">
        <w:rPr>
          <w:color w:val="000000" w:themeColor="text1"/>
        </w:rPr>
        <w:t xml:space="preserve">.  </w:t>
      </w:r>
    </w:p>
    <w:p w14:paraId="777AF486" w14:textId="3D703E1E" w:rsidR="00853CDF" w:rsidRDefault="00344190" w:rsidP="00833739">
      <w:pPr>
        <w:pStyle w:val="Final"/>
        <w:numPr>
          <w:ilvl w:val="0"/>
          <w:numId w:val="2"/>
        </w:numPr>
        <w:tabs>
          <w:tab w:val="clear" w:pos="720"/>
          <w:tab w:val="num" w:pos="142"/>
        </w:tabs>
        <w:ind w:left="0" w:firstLine="0"/>
        <w:rPr>
          <w:color w:val="000000" w:themeColor="text1"/>
        </w:rPr>
      </w:pPr>
      <w:r w:rsidRPr="00A52E81">
        <w:rPr>
          <w:color w:val="000000" w:themeColor="text1"/>
          <w:u w:val="single"/>
        </w:rPr>
        <w:lastRenderedPageBreak/>
        <w:t>Second</w:t>
      </w:r>
      <w:r>
        <w:rPr>
          <w:color w:val="000000" w:themeColor="text1"/>
        </w:rPr>
        <w:t xml:space="preserve">, </w:t>
      </w:r>
      <w:r w:rsidR="00105CE6">
        <w:rPr>
          <w:color w:val="000000" w:themeColor="text1"/>
        </w:rPr>
        <w:t xml:space="preserve">the </w:t>
      </w:r>
      <w:r w:rsidR="00393CB6">
        <w:rPr>
          <w:color w:val="000000" w:themeColor="text1"/>
        </w:rPr>
        <w:t xml:space="preserve">undisputed </w:t>
      </w:r>
      <w:r w:rsidR="002D437C">
        <w:rPr>
          <w:color w:val="000000" w:themeColor="text1"/>
        </w:rPr>
        <w:t>evidence</w:t>
      </w:r>
      <w:r w:rsidR="009C1C71">
        <w:rPr>
          <w:color w:val="000000" w:themeColor="text1"/>
        </w:rPr>
        <w:t xml:space="preserve"> </w:t>
      </w:r>
      <w:r w:rsidR="002D437C">
        <w:rPr>
          <w:color w:val="000000" w:themeColor="text1"/>
        </w:rPr>
        <w:t>show</w:t>
      </w:r>
      <w:r w:rsidR="00097622">
        <w:rPr>
          <w:color w:val="000000" w:themeColor="text1"/>
        </w:rPr>
        <w:t>ed</w:t>
      </w:r>
      <w:r w:rsidR="002D437C">
        <w:rPr>
          <w:color w:val="000000" w:themeColor="text1"/>
        </w:rPr>
        <w:t xml:space="preserve"> that </w:t>
      </w:r>
      <w:r w:rsidR="009C1C71">
        <w:rPr>
          <w:color w:val="000000" w:themeColor="text1"/>
        </w:rPr>
        <w:t xml:space="preserve">Mr Wen </w:t>
      </w:r>
      <w:r w:rsidR="002D437C">
        <w:rPr>
          <w:color w:val="000000" w:themeColor="text1"/>
        </w:rPr>
        <w:t xml:space="preserve">had actual control </w:t>
      </w:r>
      <w:r w:rsidR="00853CDF">
        <w:rPr>
          <w:color w:val="000000" w:themeColor="text1"/>
        </w:rPr>
        <w:t>of</w:t>
      </w:r>
      <w:r w:rsidR="00F6099C">
        <w:rPr>
          <w:color w:val="000000" w:themeColor="text1"/>
        </w:rPr>
        <w:t>,</w:t>
      </w:r>
      <w:r w:rsidR="00853CDF">
        <w:rPr>
          <w:color w:val="000000" w:themeColor="text1"/>
        </w:rPr>
        <w:t xml:space="preserve"> </w:t>
      </w:r>
      <w:r w:rsidR="00742658">
        <w:rPr>
          <w:color w:val="000000" w:themeColor="text1"/>
        </w:rPr>
        <w:t xml:space="preserve">and </w:t>
      </w:r>
      <w:r w:rsidR="00F6099C">
        <w:rPr>
          <w:color w:val="000000" w:themeColor="text1"/>
        </w:rPr>
        <w:t xml:space="preserve">had </w:t>
      </w:r>
      <w:r w:rsidR="00742658">
        <w:rPr>
          <w:color w:val="000000" w:themeColor="text1"/>
        </w:rPr>
        <w:t>full access to</w:t>
      </w:r>
      <w:r w:rsidR="00F6099C">
        <w:rPr>
          <w:color w:val="000000" w:themeColor="text1"/>
        </w:rPr>
        <w:t>,</w:t>
      </w:r>
      <w:r w:rsidR="00742658">
        <w:rPr>
          <w:color w:val="000000" w:themeColor="text1"/>
        </w:rPr>
        <w:t xml:space="preserve"> </w:t>
      </w:r>
      <w:r w:rsidR="00853CDF">
        <w:rPr>
          <w:color w:val="000000" w:themeColor="text1"/>
        </w:rPr>
        <w:t>the 5 Bank Accounts</w:t>
      </w:r>
      <w:r w:rsidR="00D9310E">
        <w:rPr>
          <w:color w:val="000000" w:themeColor="text1"/>
        </w:rPr>
        <w:t>:</w:t>
      </w:r>
    </w:p>
    <w:p w14:paraId="79B3A6E5" w14:textId="132B13B1" w:rsidR="007B626F" w:rsidRDefault="00D95352" w:rsidP="005C174D">
      <w:pPr>
        <w:pStyle w:val="points"/>
        <w:numPr>
          <w:ilvl w:val="0"/>
          <w:numId w:val="33"/>
        </w:numPr>
        <w:tabs>
          <w:tab w:val="clear" w:pos="1400"/>
        </w:tabs>
      </w:pPr>
      <w:r>
        <w:t xml:space="preserve">He was </w:t>
      </w:r>
      <w:r w:rsidRPr="00D95352">
        <w:t>a</w:t>
      </w:r>
      <w:r w:rsidR="00A101E4">
        <w:t xml:space="preserve">n authorised </w:t>
      </w:r>
      <w:r w:rsidRPr="00D95352">
        <w:t xml:space="preserve">signatory </w:t>
      </w:r>
      <w:r w:rsidR="00A101E4">
        <w:t xml:space="preserve">of </w:t>
      </w:r>
      <w:r w:rsidRPr="00D95352">
        <w:t xml:space="preserve">the </w:t>
      </w:r>
      <w:r w:rsidR="0076713C">
        <w:t>5 B</w:t>
      </w:r>
      <w:r w:rsidRPr="00D95352">
        <w:t xml:space="preserve">ank </w:t>
      </w:r>
      <w:r w:rsidR="0076713C">
        <w:t>A</w:t>
      </w:r>
      <w:r w:rsidRPr="00D95352">
        <w:t>ccounts</w:t>
      </w:r>
      <w:r w:rsidR="00AE6CFF">
        <w:t xml:space="preserve">.  </w:t>
      </w:r>
    </w:p>
    <w:p w14:paraId="45F6787B" w14:textId="698C451E" w:rsidR="00DB6A9B" w:rsidRDefault="00B97C3A" w:rsidP="005C174D">
      <w:pPr>
        <w:pStyle w:val="points"/>
        <w:numPr>
          <w:ilvl w:val="0"/>
          <w:numId w:val="33"/>
        </w:numPr>
        <w:tabs>
          <w:tab w:val="clear" w:pos="1400"/>
        </w:tabs>
        <w:rPr>
          <w:color w:val="000000" w:themeColor="text1"/>
        </w:rPr>
      </w:pPr>
      <w:r>
        <w:rPr>
          <w:color w:val="000000" w:themeColor="text1"/>
        </w:rPr>
        <w:t xml:space="preserve">In the </w:t>
      </w:r>
      <w:r w:rsidR="007B626F">
        <w:rPr>
          <w:color w:val="000000" w:themeColor="text1"/>
        </w:rPr>
        <w:t xml:space="preserve">account opening documents submitted by </w:t>
      </w:r>
      <w:r w:rsidR="002B0DA7">
        <w:rPr>
          <w:color w:val="000000" w:themeColor="text1"/>
        </w:rPr>
        <w:t xml:space="preserve">BJ </w:t>
      </w:r>
      <w:proofErr w:type="spellStart"/>
      <w:r w:rsidR="002B0DA7">
        <w:rPr>
          <w:color w:val="000000" w:themeColor="text1"/>
        </w:rPr>
        <w:t>Epure</w:t>
      </w:r>
      <w:proofErr w:type="spellEnd"/>
      <w:r w:rsidR="002B0DA7">
        <w:rPr>
          <w:color w:val="000000" w:themeColor="text1"/>
        </w:rPr>
        <w:t xml:space="preserve"> and BJ Sound </w:t>
      </w:r>
      <w:r w:rsidR="007B626F">
        <w:rPr>
          <w:color w:val="000000" w:themeColor="text1"/>
        </w:rPr>
        <w:t xml:space="preserve">to PAB and HXB, Mr Wen was </w:t>
      </w:r>
      <w:r w:rsidR="00106960">
        <w:rPr>
          <w:color w:val="000000" w:themeColor="text1"/>
        </w:rPr>
        <w:t xml:space="preserve">listed as </w:t>
      </w:r>
      <w:r w:rsidR="007B626F">
        <w:rPr>
          <w:color w:val="000000" w:themeColor="text1"/>
        </w:rPr>
        <w:t xml:space="preserve">the </w:t>
      </w:r>
      <w:r w:rsidR="00106960">
        <w:rPr>
          <w:color w:val="000000" w:themeColor="text1"/>
        </w:rPr>
        <w:t xml:space="preserve">responsible </w:t>
      </w:r>
      <w:r w:rsidR="007B626F">
        <w:rPr>
          <w:color w:val="000000" w:themeColor="text1"/>
        </w:rPr>
        <w:t>person</w:t>
      </w:r>
      <w:r w:rsidR="002B0DA7">
        <w:rPr>
          <w:color w:val="000000" w:themeColor="text1"/>
        </w:rPr>
        <w:t xml:space="preserve"> </w:t>
      </w:r>
      <w:r w:rsidR="00106960">
        <w:rPr>
          <w:color w:val="000000" w:themeColor="text1"/>
        </w:rPr>
        <w:t xml:space="preserve">of BJ </w:t>
      </w:r>
      <w:proofErr w:type="spellStart"/>
      <w:r w:rsidR="00106960">
        <w:rPr>
          <w:color w:val="000000" w:themeColor="text1"/>
        </w:rPr>
        <w:t>Epure</w:t>
      </w:r>
      <w:proofErr w:type="spellEnd"/>
      <w:r w:rsidR="00106960">
        <w:rPr>
          <w:color w:val="000000" w:themeColor="text1"/>
        </w:rPr>
        <w:t xml:space="preserve"> and BJ Sound</w:t>
      </w:r>
      <w:r w:rsidR="00AE6CFF">
        <w:rPr>
          <w:color w:val="000000" w:themeColor="text1"/>
        </w:rPr>
        <w:t xml:space="preserve">.  </w:t>
      </w:r>
      <w:r w:rsidR="005611AA">
        <w:rPr>
          <w:color w:val="000000" w:themeColor="text1"/>
        </w:rPr>
        <w:t xml:space="preserve">No other person was listed as </w:t>
      </w:r>
      <w:proofErr w:type="spellStart"/>
      <w:r w:rsidR="005611AA">
        <w:rPr>
          <w:color w:val="000000" w:themeColor="text1"/>
        </w:rPr>
        <w:t>authorsied</w:t>
      </w:r>
      <w:proofErr w:type="spellEnd"/>
      <w:r w:rsidR="005611AA">
        <w:rPr>
          <w:color w:val="000000" w:themeColor="text1"/>
        </w:rPr>
        <w:t xml:space="preserve"> signatory of the accounts of BJ </w:t>
      </w:r>
      <w:proofErr w:type="spellStart"/>
      <w:r w:rsidR="005611AA">
        <w:rPr>
          <w:color w:val="000000" w:themeColor="text1"/>
        </w:rPr>
        <w:t>Epure</w:t>
      </w:r>
      <w:proofErr w:type="spellEnd"/>
      <w:r w:rsidR="005611AA">
        <w:rPr>
          <w:color w:val="000000" w:themeColor="text1"/>
        </w:rPr>
        <w:t xml:space="preserve"> at HXB (483), BJ Sound at HXB (551), BJ Sound at PAB (002)</w:t>
      </w:r>
      <w:r w:rsidR="003A2512">
        <w:rPr>
          <w:color w:val="000000" w:themeColor="text1"/>
        </w:rPr>
        <w:t xml:space="preserve"> and</w:t>
      </w:r>
      <w:r w:rsidR="00962427">
        <w:rPr>
          <w:color w:val="000000" w:themeColor="text1"/>
        </w:rPr>
        <w:t xml:space="preserve"> </w:t>
      </w:r>
      <w:r w:rsidR="00AE5F53">
        <w:rPr>
          <w:color w:val="000000" w:themeColor="text1"/>
        </w:rPr>
        <w:t xml:space="preserve">BJ </w:t>
      </w:r>
      <w:proofErr w:type="spellStart"/>
      <w:r w:rsidR="00C507AD">
        <w:rPr>
          <w:color w:val="000000" w:themeColor="text1"/>
        </w:rPr>
        <w:t>Epure</w:t>
      </w:r>
      <w:proofErr w:type="spellEnd"/>
      <w:r w:rsidR="00C507AD">
        <w:rPr>
          <w:color w:val="000000" w:themeColor="text1"/>
        </w:rPr>
        <w:t xml:space="preserve"> </w:t>
      </w:r>
      <w:r w:rsidR="00AE5F53">
        <w:rPr>
          <w:color w:val="000000" w:themeColor="text1"/>
        </w:rPr>
        <w:t>at</w:t>
      </w:r>
      <w:r w:rsidR="00C507AD">
        <w:rPr>
          <w:color w:val="000000" w:themeColor="text1"/>
        </w:rPr>
        <w:t xml:space="preserve"> PAB (501)</w:t>
      </w:r>
      <w:r w:rsidR="00AE6CFF">
        <w:rPr>
          <w:color w:val="000000" w:themeColor="text1"/>
        </w:rPr>
        <w:t xml:space="preserve">.  </w:t>
      </w:r>
      <w:r w:rsidR="005611AA">
        <w:rPr>
          <w:color w:val="000000" w:themeColor="text1"/>
        </w:rPr>
        <w:t xml:space="preserve"> </w:t>
      </w:r>
    </w:p>
    <w:p w14:paraId="3BA912E0" w14:textId="26FDF866" w:rsidR="00D95352" w:rsidRPr="00D95352" w:rsidRDefault="005861EF" w:rsidP="005C174D">
      <w:pPr>
        <w:pStyle w:val="points"/>
        <w:numPr>
          <w:ilvl w:val="0"/>
          <w:numId w:val="33"/>
        </w:numPr>
        <w:tabs>
          <w:tab w:val="clear" w:pos="1400"/>
        </w:tabs>
        <w:rPr>
          <w:color w:val="000000" w:themeColor="text1"/>
        </w:rPr>
      </w:pPr>
      <w:r>
        <w:rPr>
          <w:color w:val="000000" w:themeColor="text1"/>
        </w:rPr>
        <w:t xml:space="preserve">As </w:t>
      </w:r>
      <w:r w:rsidR="005B5748">
        <w:rPr>
          <w:color w:val="000000" w:themeColor="text1"/>
        </w:rPr>
        <w:t xml:space="preserve">Mr </w:t>
      </w:r>
      <w:r w:rsidR="005B5748" w:rsidRPr="00FD4F10">
        <w:t>Wen</w:t>
      </w:r>
      <w:r w:rsidR="005B5748">
        <w:rPr>
          <w:color w:val="000000" w:themeColor="text1"/>
        </w:rPr>
        <w:t xml:space="preserve"> admit</w:t>
      </w:r>
      <w:r w:rsidR="00097622">
        <w:rPr>
          <w:color w:val="000000" w:themeColor="text1"/>
        </w:rPr>
        <w:t>ted</w:t>
      </w:r>
      <w:r w:rsidR="005B5748">
        <w:rPr>
          <w:color w:val="000000" w:themeColor="text1"/>
        </w:rPr>
        <w:t xml:space="preserve"> under cross-examination</w:t>
      </w:r>
      <w:r>
        <w:rPr>
          <w:color w:val="000000" w:themeColor="text1"/>
        </w:rPr>
        <w:t>,</w:t>
      </w:r>
      <w:r w:rsidR="005B5748">
        <w:rPr>
          <w:color w:val="000000" w:themeColor="text1"/>
        </w:rPr>
        <w:t xml:space="preserve"> </w:t>
      </w:r>
      <w:r w:rsidR="00D95352" w:rsidRPr="00D95352">
        <w:rPr>
          <w:color w:val="000000" w:themeColor="text1"/>
        </w:rPr>
        <w:t xml:space="preserve">he </w:t>
      </w:r>
      <w:r w:rsidR="00DB1EFB">
        <w:rPr>
          <w:color w:val="000000" w:themeColor="text1"/>
        </w:rPr>
        <w:t xml:space="preserve">had </w:t>
      </w:r>
      <w:r>
        <w:rPr>
          <w:color w:val="000000" w:themeColor="text1"/>
        </w:rPr>
        <w:t xml:space="preserve">power </w:t>
      </w:r>
      <w:r w:rsidR="00D95352" w:rsidRPr="00D95352">
        <w:rPr>
          <w:color w:val="000000" w:themeColor="text1"/>
        </w:rPr>
        <w:t xml:space="preserve">to access the information </w:t>
      </w:r>
      <w:r w:rsidR="00DB1EFB">
        <w:rPr>
          <w:color w:val="000000" w:themeColor="text1"/>
        </w:rPr>
        <w:t xml:space="preserve">and </w:t>
      </w:r>
      <w:r w:rsidR="00D95352" w:rsidRPr="00D95352">
        <w:rPr>
          <w:color w:val="000000" w:themeColor="text1"/>
        </w:rPr>
        <w:t xml:space="preserve">obtain documents </w:t>
      </w:r>
      <w:r w:rsidR="00EE7E37">
        <w:rPr>
          <w:color w:val="000000" w:themeColor="text1"/>
        </w:rPr>
        <w:t xml:space="preserve">from PAB and HXB in respect of the 5 Bank Accounts </w:t>
      </w:r>
      <w:r w:rsidR="00D95352" w:rsidRPr="00D95352">
        <w:rPr>
          <w:color w:val="000000" w:themeColor="text1"/>
        </w:rPr>
        <w:t xml:space="preserve">if he wanted. </w:t>
      </w:r>
    </w:p>
    <w:p w14:paraId="1A5B5544" w14:textId="55CE90E8" w:rsidR="00235EB5" w:rsidRDefault="00683AFD" w:rsidP="00B57562">
      <w:pPr>
        <w:pStyle w:val="Final"/>
        <w:numPr>
          <w:ilvl w:val="0"/>
          <w:numId w:val="2"/>
        </w:numPr>
        <w:tabs>
          <w:tab w:val="clear" w:pos="720"/>
          <w:tab w:val="num" w:pos="0"/>
        </w:tabs>
        <w:ind w:left="0" w:firstLine="0"/>
        <w:rPr>
          <w:color w:val="000000" w:themeColor="text1"/>
        </w:rPr>
      </w:pPr>
      <w:r w:rsidRPr="00C512E5">
        <w:rPr>
          <w:color w:val="000000" w:themeColor="text1"/>
          <w:u w:val="single"/>
        </w:rPr>
        <w:t>Third</w:t>
      </w:r>
      <w:r w:rsidRPr="000903E9">
        <w:rPr>
          <w:color w:val="000000" w:themeColor="text1"/>
        </w:rPr>
        <w:t>,</w:t>
      </w:r>
      <w:r>
        <w:rPr>
          <w:color w:val="000000" w:themeColor="text1"/>
        </w:rPr>
        <w:t xml:space="preserve"> </w:t>
      </w:r>
      <w:r w:rsidR="00977287">
        <w:rPr>
          <w:color w:val="000000" w:themeColor="text1"/>
        </w:rPr>
        <w:t xml:space="preserve">the undisputed evidence shows </w:t>
      </w:r>
      <w:r w:rsidR="00C512E5">
        <w:rPr>
          <w:color w:val="000000" w:themeColor="text1"/>
        </w:rPr>
        <w:t xml:space="preserve">that all payments made by the companies within the Group had to be approved by Mr Wen </w:t>
      </w:r>
      <w:r w:rsidR="00977287">
        <w:rPr>
          <w:color w:val="000000" w:themeColor="text1"/>
        </w:rPr>
        <w:t xml:space="preserve">and he made all decisions for the Company </w:t>
      </w:r>
      <w:r w:rsidR="00020CED">
        <w:rPr>
          <w:color w:val="000000" w:themeColor="text1"/>
        </w:rPr>
        <w:t>in that</w:t>
      </w:r>
      <w:r w:rsidR="00977287">
        <w:rPr>
          <w:color w:val="000000" w:themeColor="text1"/>
        </w:rPr>
        <w:t>:</w:t>
      </w:r>
    </w:p>
    <w:p w14:paraId="000E9923" w14:textId="6C8807DE" w:rsidR="006F3ED3" w:rsidRDefault="006D39E6" w:rsidP="005C174D">
      <w:pPr>
        <w:pStyle w:val="points"/>
        <w:numPr>
          <w:ilvl w:val="0"/>
          <w:numId w:val="34"/>
        </w:numPr>
        <w:tabs>
          <w:tab w:val="clear" w:pos="1400"/>
        </w:tabs>
      </w:pPr>
      <w:r>
        <w:t>According to the Company’s Financial System – Funds Management (“</w:t>
      </w:r>
      <w:r w:rsidRPr="00AC3F61">
        <w:rPr>
          <w:b/>
          <w:bCs/>
        </w:rPr>
        <w:t>Management</w:t>
      </w:r>
      <w:r>
        <w:rPr>
          <w:b/>
          <w:bCs/>
        </w:rPr>
        <w:t xml:space="preserve"> System</w:t>
      </w:r>
      <w:r>
        <w:t>”)</w:t>
      </w:r>
      <w:r w:rsidR="00817AC9">
        <w:t xml:space="preserve">, </w:t>
      </w:r>
      <w:r w:rsidR="009D655F">
        <w:t>all payment</w:t>
      </w:r>
      <w:r w:rsidR="0091207D">
        <w:t>s</w:t>
      </w:r>
      <w:r w:rsidR="009D655F">
        <w:t xml:space="preserve"> </w:t>
      </w:r>
      <w:r w:rsidR="00AC3F61">
        <w:t xml:space="preserve">in respect of the works of </w:t>
      </w:r>
      <w:proofErr w:type="gramStart"/>
      <w:r w:rsidR="00AC3F61">
        <w:t xml:space="preserve">the  </w:t>
      </w:r>
      <w:r w:rsidR="009D655F">
        <w:t>projects</w:t>
      </w:r>
      <w:proofErr w:type="gramEnd"/>
      <w:r w:rsidR="009D655F">
        <w:t xml:space="preserve"> </w:t>
      </w:r>
      <w:r w:rsidR="00AC3F61">
        <w:t xml:space="preserve">abroad </w:t>
      </w:r>
      <w:r w:rsidR="009D655F">
        <w:t>should be directed to</w:t>
      </w:r>
      <w:r w:rsidR="00F87CF1">
        <w:t xml:space="preserve"> the Company, </w:t>
      </w:r>
      <w:r w:rsidR="00124E41">
        <w:t>and the department concerned should prepare application for payment which had to be approved by the head</w:t>
      </w:r>
      <w:r w:rsidR="0091207D">
        <w:t>s</w:t>
      </w:r>
      <w:r w:rsidR="00124E41">
        <w:t xml:space="preserve"> of the Finance Department</w:t>
      </w:r>
      <w:r w:rsidR="00071E9B">
        <w:t>,</w:t>
      </w:r>
      <w:r w:rsidR="00124E41">
        <w:t xml:space="preserve"> the </w:t>
      </w:r>
      <w:r w:rsidR="00071E9B">
        <w:t>Works Department and so on</w:t>
      </w:r>
      <w:r w:rsidR="00AE6CFF">
        <w:t xml:space="preserve">.  </w:t>
      </w:r>
      <w:r w:rsidR="0091207D">
        <w:t xml:space="preserve">It was only </w:t>
      </w:r>
      <w:r w:rsidR="0091207D" w:rsidRPr="009E2B80">
        <w:rPr>
          <w:i/>
          <w:iCs/>
        </w:rPr>
        <w:t>after</w:t>
      </w:r>
      <w:r w:rsidR="0091207D">
        <w:t xml:space="preserve"> the Chairman (Mr Wen) had signed the app</w:t>
      </w:r>
      <w:r w:rsidR="00D62308">
        <w:t xml:space="preserve">lications </w:t>
      </w:r>
      <w:r w:rsidR="0091207D">
        <w:t>that payments could be</w:t>
      </w:r>
      <w:r w:rsidR="00170E14">
        <w:t xml:space="preserve"> </w:t>
      </w:r>
      <w:r w:rsidR="00170E14">
        <w:rPr>
          <w:rFonts w:hint="eastAsia"/>
        </w:rPr>
        <w:t>paid</w:t>
      </w:r>
      <w:r w:rsidR="0091207D">
        <w:t xml:space="preserve"> </w:t>
      </w:r>
      <w:r w:rsidR="006F3ED3">
        <w:t>by the Company</w:t>
      </w:r>
      <w:r w:rsidR="00AE6CFF">
        <w:t xml:space="preserve">.  </w:t>
      </w:r>
      <w:r w:rsidR="00F71184">
        <w:t xml:space="preserve">Mr Wen confirmed that the </w:t>
      </w:r>
      <w:r w:rsidR="000709C5">
        <w:t>Management System ac</w:t>
      </w:r>
      <w:r w:rsidR="00F71184">
        <w:t xml:space="preserve">curately reflected the position </w:t>
      </w:r>
      <w:r w:rsidR="00656F9B">
        <w:t>at the time</w:t>
      </w:r>
      <w:r w:rsidR="00F71184">
        <w:t xml:space="preserve"> and he </w:t>
      </w:r>
      <w:r w:rsidR="00656F9B">
        <w:t xml:space="preserve">continued </w:t>
      </w:r>
      <w:r w:rsidR="00656F9B">
        <w:lastRenderedPageBreak/>
        <w:t xml:space="preserve">to </w:t>
      </w:r>
      <w:r w:rsidR="00871EDD">
        <w:t xml:space="preserve">grant and </w:t>
      </w:r>
      <w:r w:rsidR="00F71184">
        <w:t xml:space="preserve">sign </w:t>
      </w:r>
      <w:r w:rsidR="00871EDD">
        <w:t xml:space="preserve">such </w:t>
      </w:r>
      <w:r w:rsidR="00F71184">
        <w:t xml:space="preserve">financial </w:t>
      </w:r>
      <w:r w:rsidR="00871EDD">
        <w:t xml:space="preserve">approvals </w:t>
      </w:r>
      <w:r w:rsidR="00F71184">
        <w:t>until April 2015</w:t>
      </w:r>
      <w:r w:rsidR="00BA5ED7">
        <w:rPr>
          <w:rStyle w:val="FootnoteReference"/>
          <w:color w:val="000000" w:themeColor="text1"/>
        </w:rPr>
        <w:footnoteReference w:id="37"/>
      </w:r>
      <w:r w:rsidR="000573B8">
        <w:t>; and</w:t>
      </w:r>
      <w:r w:rsidR="00F71184">
        <w:t xml:space="preserve"> </w:t>
      </w:r>
    </w:p>
    <w:p w14:paraId="257014E4" w14:textId="74F9EAD3" w:rsidR="00BA5ED7" w:rsidRDefault="00765F0C" w:rsidP="005C174D">
      <w:pPr>
        <w:pStyle w:val="points"/>
        <w:numPr>
          <w:ilvl w:val="0"/>
          <w:numId w:val="34"/>
        </w:numPr>
        <w:tabs>
          <w:tab w:val="clear" w:pos="1400"/>
        </w:tabs>
        <w:rPr>
          <w:color w:val="000000" w:themeColor="text1"/>
        </w:rPr>
      </w:pPr>
      <w:r w:rsidRPr="00CE1975">
        <w:t>According</w:t>
      </w:r>
      <w:r>
        <w:rPr>
          <w:color w:val="000000" w:themeColor="text1"/>
        </w:rPr>
        <w:t xml:space="preserve"> to the Management System, </w:t>
      </w:r>
      <w:r w:rsidR="00BD324C">
        <w:rPr>
          <w:color w:val="000000" w:themeColor="text1"/>
        </w:rPr>
        <w:t xml:space="preserve">all transfers and payments </w:t>
      </w:r>
      <w:r w:rsidR="003D2DF6">
        <w:rPr>
          <w:color w:val="000000" w:themeColor="text1"/>
        </w:rPr>
        <w:t xml:space="preserve">to third parties </w:t>
      </w:r>
      <w:r w:rsidR="00BD324C">
        <w:rPr>
          <w:color w:val="000000" w:themeColor="text1"/>
        </w:rPr>
        <w:t xml:space="preserve">of over </w:t>
      </w:r>
      <w:r w:rsidR="007975BA">
        <w:rPr>
          <w:color w:val="000000" w:themeColor="text1"/>
        </w:rPr>
        <w:t>RMB</w:t>
      </w:r>
      <w:r w:rsidR="00BD324C">
        <w:rPr>
          <w:color w:val="000000" w:themeColor="text1"/>
        </w:rPr>
        <w:t xml:space="preserve">2 million for construction and </w:t>
      </w:r>
      <w:r w:rsidR="007975BA">
        <w:rPr>
          <w:color w:val="000000" w:themeColor="text1"/>
        </w:rPr>
        <w:t>RMB</w:t>
      </w:r>
      <w:r w:rsidR="00BD324C">
        <w:rPr>
          <w:color w:val="000000" w:themeColor="text1"/>
        </w:rPr>
        <w:t>0.5 million for equipment</w:t>
      </w:r>
      <w:r w:rsidR="003D2DF6">
        <w:rPr>
          <w:color w:val="000000" w:themeColor="text1"/>
        </w:rPr>
        <w:t>,</w:t>
      </w:r>
      <w:r w:rsidR="00BD324C">
        <w:rPr>
          <w:color w:val="000000" w:themeColor="text1"/>
        </w:rPr>
        <w:t xml:space="preserve"> </w:t>
      </w:r>
      <w:r w:rsidR="00BA5ED7">
        <w:rPr>
          <w:color w:val="000000" w:themeColor="text1"/>
        </w:rPr>
        <w:t xml:space="preserve">the </w:t>
      </w:r>
      <w:r w:rsidR="003D2DF6">
        <w:rPr>
          <w:color w:val="000000" w:themeColor="text1"/>
        </w:rPr>
        <w:t>approval of Chairman was required</w:t>
      </w:r>
      <w:r w:rsidR="00AE6CFF">
        <w:rPr>
          <w:color w:val="000000" w:themeColor="text1"/>
        </w:rPr>
        <w:t xml:space="preserve">.  </w:t>
      </w:r>
      <w:r w:rsidR="003D2DF6">
        <w:rPr>
          <w:color w:val="000000" w:themeColor="text1"/>
        </w:rPr>
        <w:t>Mr Wen confirmed that such requirement applied in 2013.</w:t>
      </w:r>
      <w:r w:rsidR="00CB0323">
        <w:rPr>
          <w:rStyle w:val="FootnoteReference"/>
          <w:color w:val="000000" w:themeColor="text1"/>
        </w:rPr>
        <w:footnoteReference w:id="38"/>
      </w:r>
    </w:p>
    <w:p w14:paraId="2DBD9EB2" w14:textId="25405F47" w:rsidR="000573B8" w:rsidRDefault="000573B8" w:rsidP="005C174D">
      <w:pPr>
        <w:pStyle w:val="points"/>
        <w:numPr>
          <w:ilvl w:val="0"/>
          <w:numId w:val="34"/>
        </w:numPr>
        <w:tabs>
          <w:tab w:val="clear" w:pos="1400"/>
        </w:tabs>
        <w:rPr>
          <w:color w:val="000000" w:themeColor="text1"/>
        </w:rPr>
      </w:pPr>
      <w:r>
        <w:rPr>
          <w:color w:val="000000" w:themeColor="text1"/>
        </w:rPr>
        <w:t xml:space="preserve">Mr </w:t>
      </w:r>
      <w:r w:rsidRPr="00CE1975">
        <w:t>Yu</w:t>
      </w:r>
      <w:r>
        <w:rPr>
          <w:color w:val="000000" w:themeColor="text1"/>
        </w:rPr>
        <w:t xml:space="preserve"> confirmed that he reported to Mr Wen</w:t>
      </w:r>
      <w:r w:rsidR="00AE6CFF">
        <w:rPr>
          <w:color w:val="000000" w:themeColor="text1"/>
        </w:rPr>
        <w:t xml:space="preserve">.  </w:t>
      </w:r>
      <w:r w:rsidR="00613D8C">
        <w:rPr>
          <w:color w:val="000000" w:themeColor="text1"/>
        </w:rPr>
        <w:t>A</w:t>
      </w:r>
      <w:r>
        <w:rPr>
          <w:color w:val="000000" w:themeColor="text1"/>
        </w:rPr>
        <w:t>lthough R4 was CEO, in fact, the Company was being run by Mr Wen</w:t>
      </w:r>
      <w:r w:rsidR="00613D8C">
        <w:rPr>
          <w:color w:val="000000" w:themeColor="text1"/>
        </w:rPr>
        <w:t xml:space="preserve"> who made all the decisions, be that minor or major decisions</w:t>
      </w:r>
      <w:r w:rsidR="00AE6CFF">
        <w:rPr>
          <w:color w:val="000000" w:themeColor="text1"/>
        </w:rPr>
        <w:t xml:space="preserve">.  </w:t>
      </w:r>
    </w:p>
    <w:p w14:paraId="59CB748B" w14:textId="1F43D0DD" w:rsidR="00613D8C" w:rsidRDefault="00613D8C" w:rsidP="005C174D">
      <w:pPr>
        <w:pStyle w:val="points"/>
        <w:numPr>
          <w:ilvl w:val="0"/>
          <w:numId w:val="34"/>
        </w:numPr>
        <w:tabs>
          <w:tab w:val="clear" w:pos="1400"/>
        </w:tabs>
        <w:rPr>
          <w:color w:val="000000" w:themeColor="text1"/>
        </w:rPr>
      </w:pPr>
      <w:r>
        <w:rPr>
          <w:color w:val="000000" w:themeColor="text1"/>
        </w:rPr>
        <w:t xml:space="preserve">Mr </w:t>
      </w:r>
      <w:proofErr w:type="spellStart"/>
      <w:r>
        <w:rPr>
          <w:color w:val="000000" w:themeColor="text1"/>
        </w:rPr>
        <w:t>Seow</w:t>
      </w:r>
      <w:proofErr w:type="spellEnd"/>
      <w:r>
        <w:rPr>
          <w:color w:val="000000" w:themeColor="text1"/>
        </w:rPr>
        <w:t xml:space="preserve"> also confirmed that Mr Wen was the person in charge of the whole Company and its direction</w:t>
      </w:r>
      <w:r w:rsidR="00AE6CFF">
        <w:rPr>
          <w:color w:val="000000" w:themeColor="text1"/>
        </w:rPr>
        <w:t xml:space="preserve">.  </w:t>
      </w:r>
    </w:p>
    <w:p w14:paraId="6C56BC88" w14:textId="2F74AF9C" w:rsidR="00340BC2" w:rsidRDefault="00A26D3D" w:rsidP="003608AF">
      <w:pPr>
        <w:pStyle w:val="Final"/>
        <w:numPr>
          <w:ilvl w:val="0"/>
          <w:numId w:val="2"/>
        </w:numPr>
        <w:tabs>
          <w:tab w:val="clear" w:pos="720"/>
          <w:tab w:val="num" w:pos="0"/>
        </w:tabs>
        <w:ind w:left="0" w:firstLine="0"/>
        <w:rPr>
          <w:color w:val="000000" w:themeColor="text1"/>
        </w:rPr>
      </w:pPr>
      <w:r w:rsidRPr="00D468B2">
        <w:rPr>
          <w:color w:val="000000" w:themeColor="text1"/>
          <w:u w:val="single"/>
        </w:rPr>
        <w:t>Four</w:t>
      </w:r>
      <w:r w:rsidRPr="00B96F4F">
        <w:rPr>
          <w:color w:val="000000" w:themeColor="text1"/>
          <w:u w:val="single"/>
        </w:rPr>
        <w:t>th</w:t>
      </w:r>
      <w:r>
        <w:rPr>
          <w:color w:val="000000" w:themeColor="text1"/>
        </w:rPr>
        <w:t xml:space="preserve">, </w:t>
      </w:r>
      <w:r w:rsidR="00734FA9">
        <w:rPr>
          <w:color w:val="000000" w:themeColor="text1"/>
        </w:rPr>
        <w:t>Mr Wen’s</w:t>
      </w:r>
      <w:r w:rsidR="001208BA">
        <w:rPr>
          <w:color w:val="000000" w:themeColor="text1"/>
        </w:rPr>
        <w:t xml:space="preserve"> </w:t>
      </w:r>
      <w:r w:rsidR="00567BFF">
        <w:rPr>
          <w:color w:val="000000" w:themeColor="text1"/>
        </w:rPr>
        <w:t xml:space="preserve">assertion that </w:t>
      </w:r>
      <w:r w:rsidR="00E0708A">
        <w:rPr>
          <w:color w:val="000000" w:themeColor="text1"/>
        </w:rPr>
        <w:t xml:space="preserve">he was not involved in </w:t>
      </w:r>
      <w:r w:rsidR="00E0708A" w:rsidRPr="003608AF">
        <w:rPr>
          <w:color w:val="000000" w:themeColor="text1"/>
        </w:rPr>
        <w:t>the day-to-day operation and financ</w:t>
      </w:r>
      <w:r w:rsidR="00E0708A">
        <w:rPr>
          <w:color w:val="000000" w:themeColor="text1"/>
        </w:rPr>
        <w:t xml:space="preserve">ial </w:t>
      </w:r>
      <w:r w:rsidR="00E0708A" w:rsidRPr="003608AF">
        <w:rPr>
          <w:color w:val="000000" w:themeColor="text1"/>
        </w:rPr>
        <w:t xml:space="preserve">matters of </w:t>
      </w:r>
      <w:r w:rsidR="00E0708A">
        <w:rPr>
          <w:color w:val="000000" w:themeColor="text1"/>
        </w:rPr>
        <w:t xml:space="preserve">the Company </w:t>
      </w:r>
      <w:r w:rsidR="00E0708A" w:rsidRPr="003608AF">
        <w:rPr>
          <w:color w:val="000000" w:themeColor="text1"/>
        </w:rPr>
        <w:t>and the Group</w:t>
      </w:r>
      <w:r>
        <w:rPr>
          <w:color w:val="000000" w:themeColor="text1"/>
        </w:rPr>
        <w:t xml:space="preserve"> and the same had been delegated to R3, R4 and R5 cannot be true</w:t>
      </w:r>
      <w:r w:rsidR="00F11C37">
        <w:rPr>
          <w:color w:val="000000" w:themeColor="text1"/>
        </w:rPr>
        <w:t xml:space="preserve"> </w:t>
      </w:r>
      <w:r w:rsidR="00340BC2">
        <w:rPr>
          <w:color w:val="000000" w:themeColor="text1"/>
        </w:rPr>
        <w:t xml:space="preserve">in view of the following </w:t>
      </w:r>
      <w:r w:rsidR="00FC2ABB">
        <w:rPr>
          <w:color w:val="000000" w:themeColor="text1"/>
        </w:rPr>
        <w:t>uncontradicted evidence</w:t>
      </w:r>
      <w:r>
        <w:rPr>
          <w:color w:val="000000" w:themeColor="text1"/>
        </w:rPr>
        <w:t xml:space="preserve">: </w:t>
      </w:r>
      <w:r w:rsidR="001208BA">
        <w:rPr>
          <w:color w:val="000000" w:themeColor="text1"/>
        </w:rPr>
        <w:t xml:space="preserve"> </w:t>
      </w:r>
    </w:p>
    <w:p w14:paraId="3EBD77FB" w14:textId="5066EF47" w:rsidR="003608AF" w:rsidRDefault="001208BA" w:rsidP="005C174D">
      <w:pPr>
        <w:pStyle w:val="points"/>
        <w:numPr>
          <w:ilvl w:val="0"/>
          <w:numId w:val="35"/>
        </w:numPr>
        <w:tabs>
          <w:tab w:val="clear" w:pos="1400"/>
        </w:tabs>
      </w:pPr>
      <w:r>
        <w:t xml:space="preserve">Mr Wen </w:t>
      </w:r>
      <w:r w:rsidR="0006553B">
        <w:t xml:space="preserve">made all the decisions for the Group </w:t>
      </w:r>
      <w:r w:rsidR="008C2F3D">
        <w:t xml:space="preserve">and </w:t>
      </w:r>
      <w:r>
        <w:t xml:space="preserve">was </w:t>
      </w:r>
      <w:r w:rsidR="00546B7C">
        <w:t xml:space="preserve">intimately </w:t>
      </w:r>
      <w:r>
        <w:t xml:space="preserve">involved in </w:t>
      </w:r>
      <w:r w:rsidR="005A55A6">
        <w:t xml:space="preserve">approving all </w:t>
      </w:r>
      <w:r w:rsidR="00E7470E">
        <w:t xml:space="preserve">the </w:t>
      </w:r>
      <w:r w:rsidR="005A55A6">
        <w:t>transfers and payments for the companies within the Group at the relevant times</w:t>
      </w:r>
      <w:r w:rsidR="00CE5488">
        <w:t xml:space="preserve"> </w:t>
      </w:r>
      <w:r w:rsidR="00FC2ABB">
        <w:t>(see</w:t>
      </w:r>
      <w:r w:rsidR="00CE5488">
        <w:t xml:space="preserve"> </w:t>
      </w:r>
      <w:r w:rsidR="00CE5488" w:rsidRPr="00486E85">
        <w:t>§§5</w:t>
      </w:r>
      <w:r w:rsidR="000139B5" w:rsidRPr="00486E85">
        <w:t>8</w:t>
      </w:r>
      <w:r w:rsidR="00CE5488" w:rsidRPr="00486E85">
        <w:t>-60</w:t>
      </w:r>
      <w:r w:rsidR="00CE5488">
        <w:t xml:space="preserve"> above</w:t>
      </w:r>
      <w:r w:rsidR="00FC2ABB">
        <w:t>)</w:t>
      </w:r>
      <w:r w:rsidR="00AE6CFF">
        <w:t xml:space="preserve">.  </w:t>
      </w:r>
    </w:p>
    <w:p w14:paraId="38C30EF7" w14:textId="04AA5128" w:rsidR="00CE5488" w:rsidRPr="009C6A3A" w:rsidRDefault="00E168CA" w:rsidP="005C174D">
      <w:pPr>
        <w:pStyle w:val="points"/>
        <w:numPr>
          <w:ilvl w:val="0"/>
          <w:numId w:val="35"/>
        </w:numPr>
        <w:tabs>
          <w:tab w:val="clear" w:pos="1400"/>
        </w:tabs>
        <w:rPr>
          <w:color w:val="000000" w:themeColor="text1"/>
        </w:rPr>
      </w:pPr>
      <w:r>
        <w:t xml:space="preserve">R3 </w:t>
      </w:r>
      <w:r w:rsidR="00CE5488" w:rsidRPr="00A702B1">
        <w:t>was absent from the Group between 2010 and 2013</w:t>
      </w:r>
      <w:r w:rsidR="00CE5488">
        <w:t>.</w:t>
      </w:r>
      <w:r w:rsidR="00CE5488" w:rsidRPr="00A702B1">
        <w:rPr>
          <w:rStyle w:val="FootnoteReference"/>
        </w:rPr>
        <w:footnoteReference w:id="39"/>
      </w:r>
      <w:r w:rsidR="00CE5488" w:rsidRPr="00A702B1">
        <w:t xml:space="preserve"> </w:t>
      </w:r>
    </w:p>
    <w:p w14:paraId="6334A709" w14:textId="59A898FE" w:rsidR="00340BC2" w:rsidRPr="00EF786A" w:rsidRDefault="00072795" w:rsidP="005C174D">
      <w:pPr>
        <w:pStyle w:val="points"/>
        <w:numPr>
          <w:ilvl w:val="0"/>
          <w:numId w:val="35"/>
        </w:numPr>
        <w:tabs>
          <w:tab w:val="clear" w:pos="1400"/>
        </w:tabs>
        <w:rPr>
          <w:color w:val="000000" w:themeColor="text1"/>
        </w:rPr>
      </w:pPr>
      <w:r>
        <w:lastRenderedPageBreak/>
        <w:t>F</w:t>
      </w:r>
      <w:r w:rsidRPr="00A702B1">
        <w:t xml:space="preserve">or a great portion of time between 2011 and 2013, </w:t>
      </w:r>
      <w:r w:rsidR="00B04E2F">
        <w:t xml:space="preserve">R4 </w:t>
      </w:r>
      <w:r w:rsidRPr="00A702B1">
        <w:t>was</w:t>
      </w:r>
      <w:r>
        <w:t xml:space="preserve"> </w:t>
      </w:r>
      <w:r w:rsidRPr="00A702B1">
        <w:t>based in Saudi Arabia</w:t>
      </w:r>
      <w:r>
        <w:t xml:space="preserve"> for work</w:t>
      </w:r>
      <w:r w:rsidRPr="00A702B1">
        <w:t>.</w:t>
      </w:r>
      <w:r w:rsidRPr="00A702B1">
        <w:rPr>
          <w:rStyle w:val="FootnoteReference"/>
        </w:rPr>
        <w:footnoteReference w:id="40"/>
      </w:r>
    </w:p>
    <w:p w14:paraId="34022E1A" w14:textId="61183EC6" w:rsidR="00EF786A" w:rsidRDefault="00EF786A" w:rsidP="005C174D">
      <w:pPr>
        <w:pStyle w:val="points"/>
        <w:numPr>
          <w:ilvl w:val="0"/>
          <w:numId w:val="35"/>
        </w:numPr>
        <w:tabs>
          <w:tab w:val="clear" w:pos="1400"/>
        </w:tabs>
        <w:rPr>
          <w:color w:val="000000" w:themeColor="text1"/>
        </w:rPr>
      </w:pPr>
      <w:r>
        <w:t>R5</w:t>
      </w:r>
      <w:r w:rsidRPr="00EF786A">
        <w:rPr>
          <w:color w:val="000000" w:themeColor="text1"/>
        </w:rPr>
        <w:t xml:space="preserve"> </w:t>
      </w:r>
      <w:r w:rsidRPr="009821EE">
        <w:t>reported</w:t>
      </w:r>
      <w:r w:rsidRPr="00A702B1">
        <w:rPr>
          <w:color w:val="000000" w:themeColor="text1"/>
        </w:rPr>
        <w:t xml:space="preserve"> to Mr Wen.</w:t>
      </w:r>
      <w:r w:rsidRPr="00A702B1">
        <w:rPr>
          <w:rStyle w:val="FootnoteReference"/>
          <w:color w:val="000000" w:themeColor="text1"/>
        </w:rPr>
        <w:footnoteReference w:id="41"/>
      </w:r>
      <w:r w:rsidRPr="00A702B1">
        <w:rPr>
          <w:color w:val="000000" w:themeColor="text1"/>
        </w:rPr>
        <w:t xml:space="preserve">  </w:t>
      </w:r>
    </w:p>
    <w:p w14:paraId="74406EA0" w14:textId="262EF458" w:rsidR="0071140A" w:rsidRDefault="0071140A" w:rsidP="0071140A">
      <w:pPr>
        <w:pStyle w:val="Final"/>
        <w:numPr>
          <w:ilvl w:val="0"/>
          <w:numId w:val="2"/>
        </w:numPr>
        <w:tabs>
          <w:tab w:val="clear" w:pos="720"/>
          <w:tab w:val="num" w:pos="0"/>
        </w:tabs>
        <w:ind w:left="0" w:firstLine="0"/>
        <w:rPr>
          <w:color w:val="000000" w:themeColor="text1"/>
        </w:rPr>
      </w:pPr>
      <w:r>
        <w:rPr>
          <w:color w:val="000000" w:themeColor="text1"/>
          <w:u w:val="single"/>
        </w:rPr>
        <w:t>Fifth</w:t>
      </w:r>
      <w:r>
        <w:rPr>
          <w:color w:val="000000" w:themeColor="text1"/>
        </w:rPr>
        <w:t xml:space="preserve">, as the person having actual control of the Subsidiaries and the 5 Bank Accounts, Mr Wen must </w:t>
      </w:r>
      <w:proofErr w:type="gramStart"/>
      <w:r>
        <w:rPr>
          <w:color w:val="000000" w:themeColor="text1"/>
        </w:rPr>
        <w:t>knew</w:t>
      </w:r>
      <w:proofErr w:type="gramEnd"/>
      <w:r>
        <w:rPr>
          <w:color w:val="000000" w:themeColor="text1"/>
        </w:rPr>
        <w:t xml:space="preserve"> </w:t>
      </w:r>
      <w:r w:rsidRPr="00F55BFE">
        <w:rPr>
          <w:color w:val="000000" w:themeColor="text1"/>
        </w:rPr>
        <w:t xml:space="preserve">that </w:t>
      </w:r>
      <w:r>
        <w:rPr>
          <w:color w:val="000000" w:themeColor="text1"/>
        </w:rPr>
        <w:t xml:space="preserve">the Subsidiaries </w:t>
      </w:r>
      <w:r w:rsidR="0027594F">
        <w:rPr>
          <w:color w:val="000000" w:themeColor="text1"/>
        </w:rPr>
        <w:t>did</w:t>
      </w:r>
      <w:r w:rsidR="0027594F" w:rsidRPr="00F55BFE">
        <w:rPr>
          <w:color w:val="000000" w:themeColor="text1"/>
        </w:rPr>
        <w:t xml:space="preserve"> </w:t>
      </w:r>
      <w:r w:rsidR="0027594F">
        <w:rPr>
          <w:color w:val="000000" w:themeColor="text1"/>
        </w:rPr>
        <w:t xml:space="preserve">not </w:t>
      </w:r>
      <w:r w:rsidRPr="00F55BFE">
        <w:rPr>
          <w:color w:val="000000" w:themeColor="text1"/>
        </w:rPr>
        <w:t xml:space="preserve">have </w:t>
      </w:r>
      <w:r>
        <w:rPr>
          <w:color w:val="000000" w:themeColor="text1"/>
        </w:rPr>
        <w:t>bank balances of over RMB 2 billion</w:t>
      </w:r>
      <w:r w:rsidR="00E5492C">
        <w:rPr>
          <w:color w:val="000000" w:themeColor="text1"/>
        </w:rPr>
        <w:t xml:space="preserve"> (as stated in the 2012 AFS and 2013 AFS)</w:t>
      </w:r>
      <w:r w:rsidR="00AE6CFF">
        <w:rPr>
          <w:color w:val="000000" w:themeColor="text1"/>
        </w:rPr>
        <w:t xml:space="preserve">.  </w:t>
      </w:r>
      <w:r>
        <w:rPr>
          <w:color w:val="000000" w:themeColor="text1"/>
        </w:rPr>
        <w:t>This is reinforced by the fact that at all material times</w:t>
      </w:r>
      <w:r w:rsidR="0027594F">
        <w:rPr>
          <w:color w:val="000000" w:themeColor="text1"/>
        </w:rPr>
        <w:t>:</w:t>
      </w:r>
      <w:r>
        <w:rPr>
          <w:color w:val="000000" w:themeColor="text1"/>
        </w:rPr>
        <w:t xml:space="preserve"> </w:t>
      </w:r>
      <w:r w:rsidR="00547FED">
        <w:rPr>
          <w:color w:val="000000" w:themeColor="text1"/>
        </w:rPr>
        <w:t xml:space="preserve">(1) the Subsidiaries were principal subsidiaries of the Company and held the most significant assets of the Group according to the 2012 AFS and 2013 AFS; (2) Mr Wen </w:t>
      </w:r>
      <w:r>
        <w:rPr>
          <w:color w:val="000000" w:themeColor="text1"/>
        </w:rPr>
        <w:t xml:space="preserve">was familiar with the financial position of the Group </w:t>
      </w:r>
      <w:r w:rsidRPr="00486E85">
        <w:rPr>
          <w:color w:val="000000" w:themeColor="text1"/>
        </w:rPr>
        <w:t>and of the Subsidiaries</w:t>
      </w:r>
      <w:r>
        <w:rPr>
          <w:color w:val="000000" w:themeColor="text1"/>
        </w:rPr>
        <w:t xml:space="preserve">; and </w:t>
      </w:r>
      <w:r w:rsidR="00547FED">
        <w:rPr>
          <w:color w:val="000000" w:themeColor="text1"/>
        </w:rPr>
        <w:t xml:space="preserve">(3) Mr Wen </w:t>
      </w:r>
      <w:r w:rsidR="00AD0916">
        <w:rPr>
          <w:color w:val="000000" w:themeColor="text1"/>
        </w:rPr>
        <w:t xml:space="preserve">was </w:t>
      </w:r>
      <w:r>
        <w:rPr>
          <w:color w:val="000000" w:themeColor="text1"/>
        </w:rPr>
        <w:t>the only person who could approve payments of any significant amounts by the Subsidiaries.</w:t>
      </w:r>
    </w:p>
    <w:p w14:paraId="17CE585D" w14:textId="68975D89" w:rsidR="00C0207F" w:rsidRDefault="00C0207F" w:rsidP="00C0207F">
      <w:pPr>
        <w:pStyle w:val="Final"/>
        <w:numPr>
          <w:ilvl w:val="0"/>
          <w:numId w:val="2"/>
        </w:numPr>
        <w:tabs>
          <w:tab w:val="clear" w:pos="720"/>
          <w:tab w:val="num" w:pos="0"/>
        </w:tabs>
        <w:ind w:left="0" w:firstLine="0"/>
        <w:rPr>
          <w:color w:val="000000" w:themeColor="text1"/>
        </w:rPr>
      </w:pPr>
      <w:r>
        <w:rPr>
          <w:color w:val="000000" w:themeColor="text1"/>
          <w:u w:val="single"/>
        </w:rPr>
        <w:t>Sixth</w:t>
      </w:r>
      <w:r>
        <w:rPr>
          <w:color w:val="000000" w:themeColor="text1"/>
        </w:rPr>
        <w:t xml:space="preserve">, the Schemes were not one-off or insignificant incident but involved elaborate and coordinated actions </w:t>
      </w:r>
      <w:r w:rsidR="00190976">
        <w:rPr>
          <w:color w:val="000000" w:themeColor="text1"/>
        </w:rPr>
        <w:t xml:space="preserve">taken </w:t>
      </w:r>
      <w:r w:rsidR="00256522">
        <w:rPr>
          <w:color w:val="000000" w:themeColor="text1"/>
        </w:rPr>
        <w:t>over 2 years</w:t>
      </w:r>
      <w:r w:rsidR="00AE6CFF">
        <w:rPr>
          <w:color w:val="000000" w:themeColor="text1"/>
        </w:rPr>
        <w:t xml:space="preserve">.  </w:t>
      </w:r>
      <w:r w:rsidR="00924361">
        <w:rPr>
          <w:color w:val="000000" w:themeColor="text1"/>
        </w:rPr>
        <w:t>These included (1) creating fictitious substantial bank balances by fabricating bank statements in respect of the 5 Bank Accounts; (2) creating fictitious transactions which resulted in payments of monies to and from the Subsidiaries (</w:t>
      </w:r>
      <w:proofErr w:type="spellStart"/>
      <w:r w:rsidR="00924361">
        <w:rPr>
          <w:color w:val="000000" w:themeColor="text1"/>
        </w:rPr>
        <w:t>eg</w:t>
      </w:r>
      <w:proofErr w:type="spellEnd"/>
      <w:r w:rsidR="00AE6CFF">
        <w:rPr>
          <w:color w:val="000000" w:themeColor="text1"/>
        </w:rPr>
        <w:t xml:space="preserve">. </w:t>
      </w:r>
      <w:r w:rsidR="00924361">
        <w:rPr>
          <w:color w:val="000000" w:themeColor="text1"/>
        </w:rPr>
        <w:t>the Fictitious Transactions)</w:t>
      </w:r>
      <w:r w:rsidR="00190976">
        <w:rPr>
          <w:color w:val="000000" w:themeColor="text1"/>
        </w:rPr>
        <w:t>;</w:t>
      </w:r>
      <w:r w:rsidR="00924361">
        <w:rPr>
          <w:color w:val="000000" w:themeColor="text1"/>
        </w:rPr>
        <w:t xml:space="preserve"> and (3) creating false credit and debit entries in the books of accounts of the Subsidiaries and of the Company</w:t>
      </w:r>
      <w:r w:rsidR="00AE6CFF">
        <w:rPr>
          <w:color w:val="000000" w:themeColor="text1"/>
        </w:rPr>
        <w:t xml:space="preserve">.  </w:t>
      </w:r>
      <w:r w:rsidR="00F60E07">
        <w:rPr>
          <w:color w:val="000000" w:themeColor="text1"/>
        </w:rPr>
        <w:t>Such</w:t>
      </w:r>
      <w:r w:rsidR="00256522">
        <w:rPr>
          <w:color w:val="000000" w:themeColor="text1"/>
        </w:rPr>
        <w:t xml:space="preserve"> Schemes could only have been directed and orchestrated </w:t>
      </w:r>
      <w:r w:rsidR="00A37B6E">
        <w:rPr>
          <w:color w:val="000000" w:themeColor="text1"/>
        </w:rPr>
        <w:t xml:space="preserve">by </w:t>
      </w:r>
      <w:r w:rsidR="00452A7E">
        <w:rPr>
          <w:color w:val="000000" w:themeColor="text1"/>
        </w:rPr>
        <w:t xml:space="preserve">the </w:t>
      </w:r>
      <w:r w:rsidR="003351C5">
        <w:rPr>
          <w:color w:val="000000" w:themeColor="text1"/>
        </w:rPr>
        <w:t xml:space="preserve">person </w:t>
      </w:r>
      <w:r w:rsidR="00452A7E">
        <w:rPr>
          <w:color w:val="000000" w:themeColor="text1"/>
        </w:rPr>
        <w:t xml:space="preserve">with the highest authority in the Group </w:t>
      </w:r>
      <w:r w:rsidR="00FA3D48">
        <w:rPr>
          <w:color w:val="000000" w:themeColor="text1"/>
        </w:rPr>
        <w:t xml:space="preserve">who </w:t>
      </w:r>
      <w:r w:rsidR="00955188">
        <w:rPr>
          <w:color w:val="000000" w:themeColor="text1"/>
        </w:rPr>
        <w:t>(</w:t>
      </w:r>
      <w:proofErr w:type="spellStart"/>
      <w:r w:rsidR="00955188">
        <w:rPr>
          <w:color w:val="000000" w:themeColor="text1"/>
        </w:rPr>
        <w:t>i</w:t>
      </w:r>
      <w:proofErr w:type="spellEnd"/>
      <w:r w:rsidR="00955188">
        <w:rPr>
          <w:color w:val="000000" w:themeColor="text1"/>
        </w:rPr>
        <w:t xml:space="preserve">) </w:t>
      </w:r>
      <w:r w:rsidR="007C5A3F">
        <w:rPr>
          <w:color w:val="000000" w:themeColor="text1"/>
        </w:rPr>
        <w:t xml:space="preserve">was </w:t>
      </w:r>
      <w:r w:rsidR="00A37B6E">
        <w:rPr>
          <w:color w:val="000000" w:themeColor="text1"/>
        </w:rPr>
        <w:t>familiar with the financial position of the Subsidiaries</w:t>
      </w:r>
      <w:r w:rsidR="00924361">
        <w:rPr>
          <w:color w:val="000000" w:themeColor="text1"/>
        </w:rPr>
        <w:t>,</w:t>
      </w:r>
      <w:r w:rsidR="00A37B6E">
        <w:rPr>
          <w:color w:val="000000" w:themeColor="text1"/>
        </w:rPr>
        <w:t xml:space="preserve"> </w:t>
      </w:r>
      <w:r w:rsidR="00955188">
        <w:rPr>
          <w:color w:val="000000" w:themeColor="text1"/>
        </w:rPr>
        <w:t xml:space="preserve">(ii) had the power to approve any project </w:t>
      </w:r>
      <w:r w:rsidR="007F0841">
        <w:rPr>
          <w:color w:val="000000" w:themeColor="text1"/>
        </w:rPr>
        <w:t xml:space="preserve">carried on by </w:t>
      </w:r>
      <w:r w:rsidR="00955188">
        <w:rPr>
          <w:color w:val="000000" w:themeColor="text1"/>
        </w:rPr>
        <w:t xml:space="preserve">and payment to the Subsidiaries, (iii) had </w:t>
      </w:r>
      <w:r w:rsidR="00F378D5">
        <w:rPr>
          <w:color w:val="000000" w:themeColor="text1"/>
        </w:rPr>
        <w:t xml:space="preserve">the </w:t>
      </w:r>
      <w:r w:rsidR="00F378D5">
        <w:rPr>
          <w:color w:val="000000" w:themeColor="text1"/>
        </w:rPr>
        <w:lastRenderedPageBreak/>
        <w:t xml:space="preserve">power to operate the 5 Bank Accounts and obtain </w:t>
      </w:r>
      <w:r w:rsidR="005C6CDF">
        <w:rPr>
          <w:color w:val="000000" w:themeColor="text1"/>
        </w:rPr>
        <w:t>any information and statements</w:t>
      </w:r>
      <w:r w:rsidR="008C382A">
        <w:rPr>
          <w:color w:val="000000" w:themeColor="text1"/>
        </w:rPr>
        <w:t xml:space="preserve"> of such Accounts</w:t>
      </w:r>
      <w:r w:rsidR="00F378D5">
        <w:rPr>
          <w:color w:val="000000" w:themeColor="text1"/>
        </w:rPr>
        <w:t xml:space="preserve">, </w:t>
      </w:r>
      <w:r w:rsidR="008C382A">
        <w:rPr>
          <w:color w:val="000000" w:themeColor="text1"/>
        </w:rPr>
        <w:t xml:space="preserve">and </w:t>
      </w:r>
      <w:r w:rsidR="00F378D5">
        <w:rPr>
          <w:color w:val="000000" w:themeColor="text1"/>
        </w:rPr>
        <w:t xml:space="preserve">(iv) had </w:t>
      </w:r>
      <w:r w:rsidR="003351C5">
        <w:rPr>
          <w:color w:val="000000" w:themeColor="text1"/>
        </w:rPr>
        <w:t xml:space="preserve">unrestricted </w:t>
      </w:r>
      <w:r w:rsidR="00A12546">
        <w:rPr>
          <w:color w:val="000000" w:themeColor="text1"/>
        </w:rPr>
        <w:t xml:space="preserve">access to the books of accounts </w:t>
      </w:r>
      <w:r w:rsidR="003351C5">
        <w:rPr>
          <w:color w:val="000000" w:themeColor="text1"/>
        </w:rPr>
        <w:t>of the Subsidiaries</w:t>
      </w:r>
      <w:r w:rsidR="00AE6CFF">
        <w:rPr>
          <w:color w:val="000000" w:themeColor="text1"/>
        </w:rPr>
        <w:t xml:space="preserve">.  </w:t>
      </w:r>
      <w:r w:rsidR="00DE5B20">
        <w:rPr>
          <w:color w:val="000000" w:themeColor="text1"/>
        </w:rPr>
        <w:t xml:space="preserve">It is indisputable that Mr Wen was </w:t>
      </w:r>
      <w:r w:rsidR="00D03019">
        <w:rPr>
          <w:color w:val="000000" w:themeColor="text1"/>
        </w:rPr>
        <w:t>t</w:t>
      </w:r>
      <w:r w:rsidR="0098667A">
        <w:rPr>
          <w:color w:val="000000" w:themeColor="text1"/>
        </w:rPr>
        <w:t xml:space="preserve">he </w:t>
      </w:r>
      <w:r w:rsidR="0098667A" w:rsidRPr="00486E85">
        <w:rPr>
          <w:i/>
          <w:iCs/>
          <w:color w:val="000000" w:themeColor="text1"/>
        </w:rPr>
        <w:t>only</w:t>
      </w:r>
      <w:r w:rsidR="0098667A">
        <w:rPr>
          <w:color w:val="000000" w:themeColor="text1"/>
        </w:rPr>
        <w:t xml:space="preserve"> person </w:t>
      </w:r>
      <w:r w:rsidR="009202DE">
        <w:rPr>
          <w:color w:val="000000" w:themeColor="text1"/>
        </w:rPr>
        <w:t xml:space="preserve">in the Group </w:t>
      </w:r>
      <w:r w:rsidR="0098667A">
        <w:rPr>
          <w:color w:val="000000" w:themeColor="text1"/>
        </w:rPr>
        <w:t>who had the power</w:t>
      </w:r>
      <w:r w:rsidR="009B28DA">
        <w:rPr>
          <w:color w:val="000000" w:themeColor="text1"/>
        </w:rPr>
        <w:t>s</w:t>
      </w:r>
      <w:r w:rsidR="0098667A">
        <w:rPr>
          <w:color w:val="000000" w:themeColor="text1"/>
        </w:rPr>
        <w:t xml:space="preserve"> </w:t>
      </w:r>
      <w:r w:rsidR="00CC69C5">
        <w:rPr>
          <w:color w:val="000000" w:themeColor="text1"/>
        </w:rPr>
        <w:t xml:space="preserve">and the means </w:t>
      </w:r>
      <w:r w:rsidR="0098667A">
        <w:rPr>
          <w:color w:val="000000" w:themeColor="text1"/>
        </w:rPr>
        <w:t xml:space="preserve">to </w:t>
      </w:r>
      <w:r w:rsidR="004F6678">
        <w:rPr>
          <w:color w:val="000000" w:themeColor="text1"/>
        </w:rPr>
        <w:t xml:space="preserve">direct </w:t>
      </w:r>
      <w:r w:rsidR="0040595B">
        <w:rPr>
          <w:color w:val="000000" w:themeColor="text1"/>
        </w:rPr>
        <w:t>these coordinated actions</w:t>
      </w:r>
      <w:r w:rsidR="00AE6CFF">
        <w:rPr>
          <w:color w:val="000000" w:themeColor="text1"/>
        </w:rPr>
        <w:t xml:space="preserve">.  </w:t>
      </w:r>
      <w:r w:rsidR="0040595B">
        <w:rPr>
          <w:color w:val="000000" w:themeColor="text1"/>
        </w:rPr>
        <w:t xml:space="preserve">Although during cross-examination, Mr Wen </w:t>
      </w:r>
      <w:r w:rsidR="00264FC3">
        <w:rPr>
          <w:color w:val="000000" w:themeColor="text1"/>
        </w:rPr>
        <w:t>assert</w:t>
      </w:r>
      <w:r w:rsidR="000805E0">
        <w:rPr>
          <w:color w:val="000000" w:themeColor="text1"/>
        </w:rPr>
        <w:t>ed</w:t>
      </w:r>
      <w:r w:rsidR="0040595B">
        <w:rPr>
          <w:color w:val="000000" w:themeColor="text1"/>
        </w:rPr>
        <w:t xml:space="preserve"> that certain </w:t>
      </w:r>
      <w:r w:rsidR="002E0278">
        <w:rPr>
          <w:color w:val="000000" w:themeColor="text1"/>
        </w:rPr>
        <w:t xml:space="preserve">unspecified </w:t>
      </w:r>
      <w:r w:rsidR="0040595B">
        <w:rPr>
          <w:color w:val="000000" w:themeColor="text1"/>
        </w:rPr>
        <w:t>employees in the Finance Department</w:t>
      </w:r>
      <w:r w:rsidR="00A667CF">
        <w:rPr>
          <w:color w:val="000000" w:themeColor="text1"/>
        </w:rPr>
        <w:t xml:space="preserve"> </w:t>
      </w:r>
      <w:r w:rsidR="00D85E6C">
        <w:rPr>
          <w:color w:val="000000" w:themeColor="text1"/>
        </w:rPr>
        <w:t xml:space="preserve">might had </w:t>
      </w:r>
      <w:r w:rsidR="0040595B">
        <w:rPr>
          <w:color w:val="000000" w:themeColor="text1"/>
        </w:rPr>
        <w:t xml:space="preserve">access to </w:t>
      </w:r>
      <w:r w:rsidR="00A667CF">
        <w:rPr>
          <w:color w:val="000000" w:themeColor="text1"/>
        </w:rPr>
        <w:t>and used h</w:t>
      </w:r>
      <w:r w:rsidR="0040595B">
        <w:rPr>
          <w:color w:val="000000" w:themeColor="text1"/>
        </w:rPr>
        <w:t>is person</w:t>
      </w:r>
      <w:r w:rsidR="00A667CF">
        <w:rPr>
          <w:color w:val="000000" w:themeColor="text1"/>
        </w:rPr>
        <w:t>al</w:t>
      </w:r>
      <w:r w:rsidR="0040595B">
        <w:rPr>
          <w:color w:val="000000" w:themeColor="text1"/>
        </w:rPr>
        <w:t xml:space="preserve"> chop</w:t>
      </w:r>
      <w:r w:rsidR="00A667CF">
        <w:rPr>
          <w:color w:val="000000" w:themeColor="text1"/>
        </w:rPr>
        <w:t xml:space="preserve"> </w:t>
      </w:r>
      <w:r w:rsidR="000805E0">
        <w:rPr>
          <w:color w:val="000000" w:themeColor="text1"/>
        </w:rPr>
        <w:t xml:space="preserve">in </w:t>
      </w:r>
      <w:r w:rsidR="00840AAC">
        <w:rPr>
          <w:color w:val="000000" w:themeColor="text1"/>
        </w:rPr>
        <w:t xml:space="preserve">dealing with the </w:t>
      </w:r>
      <w:r w:rsidR="00C832B4">
        <w:rPr>
          <w:color w:val="000000" w:themeColor="text1"/>
        </w:rPr>
        <w:t>5 Bank Accounts, I do not accept his assertion</w:t>
      </w:r>
      <w:r w:rsidR="00D85E6C">
        <w:rPr>
          <w:color w:val="000000" w:themeColor="text1"/>
        </w:rPr>
        <w:t xml:space="preserve"> which never feature</w:t>
      </w:r>
      <w:r w:rsidR="00166E6F">
        <w:rPr>
          <w:color w:val="000000" w:themeColor="text1"/>
        </w:rPr>
        <w:t>d in Wen 1</w:t>
      </w:r>
      <w:r w:rsidR="00166E6F" w:rsidRPr="00166E6F">
        <w:rPr>
          <w:color w:val="000000" w:themeColor="text1"/>
          <w:vertAlign w:val="superscript"/>
        </w:rPr>
        <w:t>st</w:t>
      </w:r>
      <w:r w:rsidR="00166E6F">
        <w:rPr>
          <w:color w:val="000000" w:themeColor="text1"/>
        </w:rPr>
        <w:t xml:space="preserve"> and makes no sense</w:t>
      </w:r>
      <w:r w:rsidR="00AE6CFF">
        <w:rPr>
          <w:color w:val="000000" w:themeColor="text1"/>
        </w:rPr>
        <w:t xml:space="preserve">.  </w:t>
      </w:r>
      <w:r w:rsidR="00BF44D9">
        <w:rPr>
          <w:color w:val="000000" w:themeColor="text1"/>
        </w:rPr>
        <w:t>Mr Wen d</w:t>
      </w:r>
      <w:r w:rsidR="000805E0">
        <w:rPr>
          <w:color w:val="000000" w:themeColor="text1"/>
        </w:rPr>
        <w:t>id</w:t>
      </w:r>
      <w:r w:rsidR="00BF44D9">
        <w:rPr>
          <w:color w:val="000000" w:themeColor="text1"/>
        </w:rPr>
        <w:t xml:space="preserve"> not </w:t>
      </w:r>
      <w:r w:rsidR="001137F1">
        <w:rPr>
          <w:color w:val="000000" w:themeColor="text1"/>
        </w:rPr>
        <w:t xml:space="preserve">proffer any explanation as to </w:t>
      </w:r>
      <w:r w:rsidR="00BF44D9">
        <w:rPr>
          <w:color w:val="000000" w:themeColor="text1"/>
        </w:rPr>
        <w:t>why he allow</w:t>
      </w:r>
      <w:r w:rsidR="001137F1">
        <w:rPr>
          <w:color w:val="000000" w:themeColor="text1"/>
        </w:rPr>
        <w:t>ed</w:t>
      </w:r>
      <w:r w:rsidR="00BF44D9">
        <w:rPr>
          <w:color w:val="000000" w:themeColor="text1"/>
        </w:rPr>
        <w:t xml:space="preserve"> the employees to have access to his personal chop</w:t>
      </w:r>
      <w:r w:rsidR="00AE6CFF">
        <w:rPr>
          <w:color w:val="000000" w:themeColor="text1"/>
        </w:rPr>
        <w:t xml:space="preserve">.  </w:t>
      </w:r>
      <w:r w:rsidR="00BF44D9">
        <w:rPr>
          <w:color w:val="000000" w:themeColor="text1"/>
        </w:rPr>
        <w:t xml:space="preserve"> </w:t>
      </w:r>
      <w:r w:rsidR="002C4B34">
        <w:rPr>
          <w:color w:val="000000" w:themeColor="text1"/>
        </w:rPr>
        <w:t xml:space="preserve"> </w:t>
      </w:r>
    </w:p>
    <w:p w14:paraId="5B473516" w14:textId="0402E15D" w:rsidR="00E91268" w:rsidRDefault="00250EEE" w:rsidP="00C0207F">
      <w:pPr>
        <w:pStyle w:val="Final"/>
        <w:numPr>
          <w:ilvl w:val="0"/>
          <w:numId w:val="2"/>
        </w:numPr>
        <w:tabs>
          <w:tab w:val="clear" w:pos="720"/>
          <w:tab w:val="num" w:pos="0"/>
        </w:tabs>
        <w:ind w:left="0" w:firstLine="0"/>
        <w:rPr>
          <w:color w:val="000000" w:themeColor="text1"/>
        </w:rPr>
      </w:pPr>
      <w:r>
        <w:rPr>
          <w:color w:val="000000" w:themeColor="text1"/>
          <w:u w:val="single"/>
        </w:rPr>
        <w:t>Seventh</w:t>
      </w:r>
      <w:r w:rsidR="00C0207F" w:rsidRPr="00D77097">
        <w:rPr>
          <w:color w:val="000000" w:themeColor="text1"/>
        </w:rPr>
        <w:t xml:space="preserve">, </w:t>
      </w:r>
      <w:r w:rsidR="00C0207F">
        <w:rPr>
          <w:color w:val="000000" w:themeColor="text1"/>
        </w:rPr>
        <w:t xml:space="preserve">the Discrepancies were not </w:t>
      </w:r>
      <w:r w:rsidR="00F95128">
        <w:rPr>
          <w:color w:val="000000" w:themeColor="text1"/>
        </w:rPr>
        <w:t xml:space="preserve">very </w:t>
      </w:r>
      <w:r w:rsidR="00C0207F">
        <w:rPr>
          <w:color w:val="000000" w:themeColor="text1"/>
        </w:rPr>
        <w:t xml:space="preserve">sophisticated or difficult to detect </w:t>
      </w:r>
      <w:r w:rsidR="00F95128">
        <w:rPr>
          <w:color w:val="000000" w:themeColor="text1"/>
        </w:rPr>
        <w:t xml:space="preserve">given that </w:t>
      </w:r>
      <w:r w:rsidR="00876B7B">
        <w:rPr>
          <w:color w:val="000000" w:themeColor="text1"/>
        </w:rPr>
        <w:t xml:space="preserve">Emerson (a group of independent </w:t>
      </w:r>
      <w:r w:rsidR="00C0207F">
        <w:rPr>
          <w:color w:val="000000" w:themeColor="text1"/>
        </w:rPr>
        <w:t>research analysts</w:t>
      </w:r>
      <w:r w:rsidR="00876B7B">
        <w:rPr>
          <w:color w:val="000000" w:themeColor="text1"/>
        </w:rPr>
        <w:t>)</w:t>
      </w:r>
      <w:r w:rsidR="00C0207F">
        <w:rPr>
          <w:color w:val="000000" w:themeColor="text1"/>
        </w:rPr>
        <w:t xml:space="preserve"> </w:t>
      </w:r>
      <w:r w:rsidR="00876B7B">
        <w:rPr>
          <w:color w:val="000000" w:themeColor="text1"/>
        </w:rPr>
        <w:t>was</w:t>
      </w:r>
      <w:r w:rsidR="00C0207F">
        <w:rPr>
          <w:color w:val="000000" w:themeColor="text1"/>
        </w:rPr>
        <w:t xml:space="preserve"> able to identify the existence of possible fictitious bank balances and revenues by analysing the </w:t>
      </w:r>
      <w:r w:rsidR="00876B7B">
        <w:rPr>
          <w:color w:val="000000" w:themeColor="text1"/>
        </w:rPr>
        <w:t xml:space="preserve">business of the Group and the </w:t>
      </w:r>
      <w:r w:rsidR="00C0207F">
        <w:rPr>
          <w:color w:val="000000" w:themeColor="text1"/>
        </w:rPr>
        <w:t xml:space="preserve">published financial statements of the Company </w:t>
      </w:r>
      <w:r w:rsidR="007B0D39">
        <w:rPr>
          <w:color w:val="000000" w:themeColor="text1"/>
        </w:rPr>
        <w:t xml:space="preserve">in the past </w:t>
      </w:r>
      <w:r w:rsidR="00C0207F">
        <w:rPr>
          <w:color w:val="000000" w:themeColor="text1"/>
        </w:rPr>
        <w:t>including the 2012 AFS and 2013 AFS</w:t>
      </w:r>
      <w:r w:rsidR="00AE6CFF">
        <w:rPr>
          <w:color w:val="000000" w:themeColor="text1"/>
        </w:rPr>
        <w:t xml:space="preserve">.  </w:t>
      </w:r>
      <w:r w:rsidR="00E91268">
        <w:rPr>
          <w:color w:val="000000" w:themeColor="text1"/>
        </w:rPr>
        <w:t>It is inconceivable that Mr Wen, who made all decisions for the Group and was familiar with its financial position</w:t>
      </w:r>
      <w:r w:rsidR="00D82834">
        <w:rPr>
          <w:color w:val="000000" w:themeColor="text1"/>
        </w:rPr>
        <w:t>,</w:t>
      </w:r>
      <w:r w:rsidR="00E91268">
        <w:rPr>
          <w:color w:val="000000" w:themeColor="text1"/>
        </w:rPr>
        <w:t xml:space="preserve"> would not have been alerted to the existence of the massive Discrepancies</w:t>
      </w:r>
      <w:r w:rsidR="00AE6CFF">
        <w:rPr>
          <w:color w:val="000000" w:themeColor="text1"/>
        </w:rPr>
        <w:t xml:space="preserve">.  </w:t>
      </w:r>
    </w:p>
    <w:p w14:paraId="1BED8FE6" w14:textId="61DEF539" w:rsidR="00C8529B" w:rsidRDefault="00E91268" w:rsidP="00404030">
      <w:pPr>
        <w:pStyle w:val="Final"/>
        <w:numPr>
          <w:ilvl w:val="0"/>
          <w:numId w:val="2"/>
        </w:numPr>
        <w:tabs>
          <w:tab w:val="clear" w:pos="720"/>
          <w:tab w:val="num" w:pos="0"/>
        </w:tabs>
        <w:ind w:left="0" w:firstLine="0"/>
        <w:rPr>
          <w:color w:val="000000" w:themeColor="text1"/>
        </w:rPr>
      </w:pPr>
      <w:r>
        <w:rPr>
          <w:color w:val="000000" w:themeColor="text1"/>
          <w:u w:val="single"/>
        </w:rPr>
        <w:t>Eight</w:t>
      </w:r>
      <w:r w:rsidR="00404030">
        <w:rPr>
          <w:color w:val="000000" w:themeColor="text1"/>
          <w:u w:val="single"/>
        </w:rPr>
        <w:t>h</w:t>
      </w:r>
      <w:r w:rsidRPr="007C6BE4">
        <w:rPr>
          <w:color w:val="000000" w:themeColor="text1"/>
        </w:rPr>
        <w:t>,</w:t>
      </w:r>
      <w:r>
        <w:rPr>
          <w:color w:val="000000" w:themeColor="text1"/>
        </w:rPr>
        <w:t xml:space="preserve"> the manner in which Mr Wen dealt with the allegations in the Emerson Reports and the </w:t>
      </w:r>
      <w:r w:rsidR="00943A05">
        <w:rPr>
          <w:color w:val="000000" w:themeColor="text1"/>
        </w:rPr>
        <w:t xml:space="preserve">subsequent </w:t>
      </w:r>
      <w:r>
        <w:rPr>
          <w:color w:val="000000" w:themeColor="text1"/>
        </w:rPr>
        <w:t>investigation</w:t>
      </w:r>
      <w:r w:rsidR="00E04F2F">
        <w:rPr>
          <w:color w:val="000000" w:themeColor="text1"/>
        </w:rPr>
        <w:t xml:space="preserve"> </w:t>
      </w:r>
      <w:r w:rsidR="00943A05">
        <w:rPr>
          <w:color w:val="000000" w:themeColor="text1"/>
        </w:rPr>
        <w:t xml:space="preserve">carried on </w:t>
      </w:r>
      <w:r w:rsidR="0007618D">
        <w:rPr>
          <w:color w:val="000000" w:themeColor="text1"/>
        </w:rPr>
        <w:t xml:space="preserve">by the SFC is </w:t>
      </w:r>
      <w:r w:rsidR="00CB28FE">
        <w:rPr>
          <w:color w:val="000000" w:themeColor="text1"/>
        </w:rPr>
        <w:t xml:space="preserve">inconsistent with </w:t>
      </w:r>
      <w:r w:rsidR="00464ACE">
        <w:rPr>
          <w:color w:val="000000" w:themeColor="text1"/>
        </w:rPr>
        <w:t xml:space="preserve">Mr Wen </w:t>
      </w:r>
      <w:r w:rsidR="00A575C8">
        <w:rPr>
          <w:color w:val="000000" w:themeColor="text1"/>
        </w:rPr>
        <w:t xml:space="preserve">having no knowledge of </w:t>
      </w:r>
      <w:r w:rsidR="00D84D47">
        <w:rPr>
          <w:color w:val="000000" w:themeColor="text1"/>
        </w:rPr>
        <w:t xml:space="preserve">or involvement in </w:t>
      </w:r>
      <w:r w:rsidR="00A575C8">
        <w:rPr>
          <w:color w:val="000000" w:themeColor="text1"/>
        </w:rPr>
        <w:t>the Schemes</w:t>
      </w:r>
      <w:r w:rsidR="00503386">
        <w:rPr>
          <w:color w:val="000000" w:themeColor="text1"/>
        </w:rPr>
        <w:t xml:space="preserve"> as he </w:t>
      </w:r>
      <w:r w:rsidR="00A810C3">
        <w:rPr>
          <w:color w:val="000000" w:themeColor="text1"/>
        </w:rPr>
        <w:t>alleged</w:t>
      </w:r>
      <w:r w:rsidR="009F3B55">
        <w:rPr>
          <w:color w:val="000000" w:themeColor="text1"/>
        </w:rPr>
        <w:t>:</w:t>
      </w:r>
      <w:r w:rsidR="00503386">
        <w:rPr>
          <w:color w:val="000000" w:themeColor="text1"/>
        </w:rPr>
        <w:t xml:space="preserve"> </w:t>
      </w:r>
    </w:p>
    <w:p w14:paraId="707F7E5B" w14:textId="1B27A48A" w:rsidR="00F77CF9" w:rsidRDefault="00F77CF9" w:rsidP="005C174D">
      <w:pPr>
        <w:pStyle w:val="points"/>
        <w:numPr>
          <w:ilvl w:val="0"/>
          <w:numId w:val="36"/>
        </w:numPr>
        <w:tabs>
          <w:tab w:val="clear" w:pos="1400"/>
        </w:tabs>
      </w:pPr>
      <w:r w:rsidRPr="002E1B9B">
        <w:t xml:space="preserve">In February 2015, the Emerson Reports were </w:t>
      </w:r>
      <w:r>
        <w:t xml:space="preserve">published </w:t>
      </w:r>
      <w:r w:rsidRPr="002E1B9B">
        <w:t xml:space="preserve">which </w:t>
      </w:r>
      <w:r>
        <w:t xml:space="preserve">contained </w:t>
      </w:r>
      <w:r w:rsidRPr="002E1B9B">
        <w:t>very serious allegations against the Company, including (</w:t>
      </w:r>
      <w:r>
        <w:t>a</w:t>
      </w:r>
      <w:r w:rsidRPr="002E1B9B">
        <w:t xml:space="preserve">) </w:t>
      </w:r>
      <w:r>
        <w:t>the Group’s</w:t>
      </w:r>
      <w:r w:rsidRPr="002E1B9B">
        <w:t xml:space="preserve"> real cash/bank balances only averaged </w:t>
      </w:r>
      <w:r w:rsidRPr="00F325DA">
        <w:t xml:space="preserve">one third </w:t>
      </w:r>
      <w:r w:rsidRPr="002E1B9B">
        <w:t xml:space="preserve">of the amounts </w:t>
      </w:r>
      <w:r>
        <w:t>disclosed</w:t>
      </w:r>
      <w:r w:rsidRPr="002E1B9B">
        <w:t>, (</w:t>
      </w:r>
      <w:r>
        <w:t>b</w:t>
      </w:r>
      <w:r w:rsidRPr="002E1B9B">
        <w:t xml:space="preserve">) the real </w:t>
      </w:r>
      <w:r w:rsidRPr="002E1B9B">
        <w:lastRenderedPageBreak/>
        <w:t xml:space="preserve">profitability was slightly over </w:t>
      </w:r>
      <w:r w:rsidRPr="005F1DA3">
        <w:t>a quarter</w:t>
      </w:r>
      <w:r w:rsidRPr="002E1B9B">
        <w:t xml:space="preserve"> of what was disclosed, and (</w:t>
      </w:r>
      <w:r>
        <w:t>c</w:t>
      </w:r>
      <w:r w:rsidRPr="002E1B9B">
        <w:t>) concerns about its inability to make social security payment in 2011.</w:t>
      </w:r>
    </w:p>
    <w:p w14:paraId="661F530B" w14:textId="34BC19DC" w:rsidR="00F77CF9" w:rsidRPr="00714776" w:rsidRDefault="00F77CF9" w:rsidP="005C174D">
      <w:pPr>
        <w:pStyle w:val="points"/>
        <w:numPr>
          <w:ilvl w:val="0"/>
          <w:numId w:val="36"/>
        </w:numPr>
        <w:tabs>
          <w:tab w:val="clear" w:pos="1400"/>
        </w:tabs>
        <w:rPr>
          <w:color w:val="000000" w:themeColor="text1"/>
        </w:rPr>
      </w:pPr>
      <w:r>
        <w:rPr>
          <w:color w:val="000000" w:themeColor="text1"/>
        </w:rPr>
        <w:t xml:space="preserve">In </w:t>
      </w:r>
      <w:r w:rsidRPr="00470DD1">
        <w:t>response</w:t>
      </w:r>
      <w:r>
        <w:rPr>
          <w:color w:val="000000" w:themeColor="text1"/>
        </w:rPr>
        <w:t xml:space="preserve">, the Company issued </w:t>
      </w:r>
      <w:r w:rsidRPr="00714776">
        <w:rPr>
          <w:color w:val="000000" w:themeColor="text1"/>
        </w:rPr>
        <w:t>3 clarification announcements in February 2015, under Mr Wen’s name as Chairman</w:t>
      </w:r>
      <w:r>
        <w:rPr>
          <w:color w:val="000000" w:themeColor="text1"/>
        </w:rPr>
        <w:t xml:space="preserve">, denying </w:t>
      </w:r>
      <w:r w:rsidR="00972D9F">
        <w:rPr>
          <w:color w:val="000000" w:themeColor="text1"/>
        </w:rPr>
        <w:t xml:space="preserve">all </w:t>
      </w:r>
      <w:r>
        <w:rPr>
          <w:color w:val="000000" w:themeColor="text1"/>
        </w:rPr>
        <w:t>allegations in Emerson Reports</w:t>
      </w:r>
      <w:r w:rsidR="00AE6CFF">
        <w:rPr>
          <w:color w:val="000000" w:themeColor="text1"/>
        </w:rPr>
        <w:t xml:space="preserve">.  </w:t>
      </w:r>
      <w:r>
        <w:rPr>
          <w:color w:val="000000" w:themeColor="text1"/>
        </w:rPr>
        <w:t>At trial, Mr Wen tried to disown the clarification announcements and claimed that he simply approved their publication</w:t>
      </w:r>
      <w:r w:rsidR="00AE6CFF">
        <w:rPr>
          <w:color w:val="000000" w:themeColor="text1"/>
        </w:rPr>
        <w:t xml:space="preserve">.  </w:t>
      </w:r>
      <w:r w:rsidR="00F904F2">
        <w:rPr>
          <w:color w:val="000000" w:themeColor="text1"/>
        </w:rPr>
        <w:t xml:space="preserve">I do not accept his evidence. </w:t>
      </w:r>
      <w:r w:rsidR="00C809D6">
        <w:rPr>
          <w:color w:val="000000" w:themeColor="text1"/>
        </w:rPr>
        <w:t xml:space="preserve">If Mr Wen were unaware of the Schemes as he claimed, he </w:t>
      </w:r>
      <w:proofErr w:type="gramStart"/>
      <w:r w:rsidR="00C809D6">
        <w:rPr>
          <w:color w:val="000000" w:themeColor="text1"/>
        </w:rPr>
        <w:t xml:space="preserve">would </w:t>
      </w:r>
      <w:r>
        <w:rPr>
          <w:color w:val="000000" w:themeColor="text1"/>
        </w:rPr>
        <w:t xml:space="preserve"> have</w:t>
      </w:r>
      <w:proofErr w:type="gramEnd"/>
      <w:r>
        <w:rPr>
          <w:color w:val="000000" w:themeColor="text1"/>
        </w:rPr>
        <w:t xml:space="preserve"> caused the Company to </w:t>
      </w:r>
      <w:r w:rsidR="002C6D4E">
        <w:rPr>
          <w:color w:val="000000" w:themeColor="text1"/>
        </w:rPr>
        <w:t xml:space="preserve">take immediate and serious steps to </w:t>
      </w:r>
      <w:r>
        <w:rPr>
          <w:color w:val="000000" w:themeColor="text1"/>
        </w:rPr>
        <w:t xml:space="preserve">investigate the allegations in particular the discrepancies in bank balances, rather than giving elaborate reasons to refute all the allegations </w:t>
      </w:r>
      <w:r w:rsidR="00BD201F">
        <w:rPr>
          <w:color w:val="000000" w:themeColor="text1"/>
        </w:rPr>
        <w:t xml:space="preserve">in the </w:t>
      </w:r>
      <w:r>
        <w:rPr>
          <w:color w:val="000000" w:themeColor="text1"/>
        </w:rPr>
        <w:t>Emerson</w:t>
      </w:r>
      <w:r w:rsidR="00BD201F">
        <w:rPr>
          <w:color w:val="000000" w:themeColor="text1"/>
        </w:rPr>
        <w:t xml:space="preserve"> Reports</w:t>
      </w:r>
      <w:r w:rsidR="00AE6CFF">
        <w:rPr>
          <w:color w:val="000000" w:themeColor="text1"/>
        </w:rPr>
        <w:t xml:space="preserve">.  </w:t>
      </w:r>
      <w:r>
        <w:rPr>
          <w:color w:val="000000" w:themeColor="text1"/>
        </w:rPr>
        <w:t xml:space="preserve">  </w:t>
      </w:r>
    </w:p>
    <w:p w14:paraId="5AC1B778" w14:textId="38588161" w:rsidR="00F77CF9" w:rsidRDefault="00F77CF9" w:rsidP="005C174D">
      <w:pPr>
        <w:pStyle w:val="points"/>
        <w:numPr>
          <w:ilvl w:val="0"/>
          <w:numId w:val="36"/>
        </w:numPr>
        <w:tabs>
          <w:tab w:val="clear" w:pos="1400"/>
        </w:tabs>
        <w:rPr>
          <w:color w:val="000000" w:themeColor="text1"/>
        </w:rPr>
      </w:pPr>
      <w:r>
        <w:t xml:space="preserve">Even after the discovery of the 2015 Cash Discrepancy, which suggested that one </w:t>
      </w:r>
      <w:r w:rsidR="00BD201F">
        <w:t xml:space="preserve">of the </w:t>
      </w:r>
      <w:r>
        <w:t>allegation</w:t>
      </w:r>
      <w:r w:rsidR="00BD201F">
        <w:t>s</w:t>
      </w:r>
      <w:r>
        <w:t xml:space="preserve"> in the Emerson Reports was well founded</w:t>
      </w:r>
      <w:r w:rsidRPr="00E97306">
        <w:rPr>
          <w:bCs/>
        </w:rPr>
        <w:t>,</w:t>
      </w:r>
      <w:r>
        <w:rPr>
          <w:b/>
          <w:bCs/>
        </w:rPr>
        <w:t xml:space="preserve"> </w:t>
      </w:r>
      <w:r w:rsidRPr="004A32E0">
        <w:t xml:space="preserve">followed by Deloitte’s </w:t>
      </w:r>
      <w:r>
        <w:t xml:space="preserve">demand that the Company should take immediate steps to obtain bank statements from the banks, Mr Wen still </w:t>
      </w:r>
      <w:r w:rsidRPr="00A702B1">
        <w:rPr>
          <w:color w:val="000000" w:themeColor="text1"/>
        </w:rPr>
        <w:t xml:space="preserve">failed to take </w:t>
      </w:r>
      <w:r>
        <w:rPr>
          <w:color w:val="000000" w:themeColor="text1"/>
        </w:rPr>
        <w:t>any</w:t>
      </w:r>
      <w:r w:rsidRPr="00A702B1">
        <w:rPr>
          <w:color w:val="000000" w:themeColor="text1"/>
        </w:rPr>
        <w:t xml:space="preserve"> step to ensure </w:t>
      </w:r>
      <w:r>
        <w:rPr>
          <w:color w:val="000000" w:themeColor="text1"/>
        </w:rPr>
        <w:t xml:space="preserve">that </w:t>
      </w:r>
      <w:r w:rsidRPr="00A702B1">
        <w:rPr>
          <w:color w:val="000000" w:themeColor="text1"/>
        </w:rPr>
        <w:t>genuine statements were obtained</w:t>
      </w:r>
      <w:r>
        <w:rPr>
          <w:color w:val="000000" w:themeColor="text1"/>
        </w:rPr>
        <w:t xml:space="preserve"> from PAB and HXB</w:t>
      </w:r>
      <w:r w:rsidR="00AE6CFF">
        <w:rPr>
          <w:color w:val="000000" w:themeColor="text1"/>
        </w:rPr>
        <w:t xml:space="preserve">.  </w:t>
      </w:r>
      <w:r>
        <w:rPr>
          <w:color w:val="000000" w:themeColor="text1"/>
        </w:rPr>
        <w:t>His attempt to shift the responsibility to the audit committee is unacceptable, as it was Mr Wen (not the audit committee) who had actual control of the Subsidiaries and the 5 Bank Accounts</w:t>
      </w:r>
      <w:r w:rsidR="00AE6CFF">
        <w:rPr>
          <w:color w:val="000000" w:themeColor="text1"/>
        </w:rPr>
        <w:t xml:space="preserve">.  </w:t>
      </w:r>
    </w:p>
    <w:p w14:paraId="54A854B4" w14:textId="7E6357F1" w:rsidR="00F77CF9" w:rsidRDefault="00F77CF9" w:rsidP="005C174D">
      <w:pPr>
        <w:pStyle w:val="points"/>
        <w:numPr>
          <w:ilvl w:val="0"/>
          <w:numId w:val="36"/>
        </w:numPr>
        <w:tabs>
          <w:tab w:val="clear" w:pos="1400"/>
        </w:tabs>
        <w:rPr>
          <w:color w:val="000000" w:themeColor="text1"/>
        </w:rPr>
      </w:pPr>
      <w:r w:rsidRPr="00177C7C">
        <w:rPr>
          <w:color w:val="000000" w:themeColor="text1"/>
        </w:rPr>
        <w:t xml:space="preserve">Even by </w:t>
      </w:r>
      <w:r w:rsidRPr="00470DD1">
        <w:t>the</w:t>
      </w:r>
      <w:r w:rsidRPr="00177C7C">
        <w:rPr>
          <w:color w:val="000000" w:themeColor="text1"/>
        </w:rPr>
        <w:t xml:space="preserve"> time of the board meeting on 26 March 2015 when </w:t>
      </w:r>
      <w:r>
        <w:rPr>
          <w:color w:val="000000" w:themeColor="text1"/>
        </w:rPr>
        <w:t>R4</w:t>
      </w:r>
      <w:r w:rsidRPr="00177C7C">
        <w:rPr>
          <w:color w:val="000000" w:themeColor="text1"/>
        </w:rPr>
        <w:t xml:space="preserve"> claimed to have obtained banks statements from P</w:t>
      </w:r>
      <w:r>
        <w:rPr>
          <w:color w:val="000000" w:themeColor="text1"/>
        </w:rPr>
        <w:t>AB and HXB</w:t>
      </w:r>
      <w:r w:rsidRPr="00177C7C">
        <w:rPr>
          <w:color w:val="000000" w:themeColor="text1"/>
        </w:rPr>
        <w:t xml:space="preserve">, Mr Wen </w:t>
      </w:r>
      <w:r w:rsidR="000D4E0D">
        <w:rPr>
          <w:color w:val="000000" w:themeColor="text1"/>
        </w:rPr>
        <w:t xml:space="preserve">still </w:t>
      </w:r>
      <w:r w:rsidRPr="00177C7C">
        <w:rPr>
          <w:color w:val="000000" w:themeColor="text1"/>
        </w:rPr>
        <w:t xml:space="preserve">did not ask for copies of the same </w:t>
      </w:r>
      <w:r w:rsidRPr="00177C7C">
        <w:rPr>
          <w:color w:val="000000" w:themeColor="text1"/>
        </w:rPr>
        <w:lastRenderedPageBreak/>
        <w:t>or take reasonable steps to verify or supervise and ensure investigation w</w:t>
      </w:r>
      <w:r>
        <w:rPr>
          <w:color w:val="000000" w:themeColor="text1"/>
        </w:rPr>
        <w:t>as</w:t>
      </w:r>
      <w:r w:rsidRPr="00177C7C">
        <w:rPr>
          <w:color w:val="000000" w:themeColor="text1"/>
        </w:rPr>
        <w:t xml:space="preserve"> done properly</w:t>
      </w:r>
      <w:r w:rsidR="00AE6CFF">
        <w:rPr>
          <w:color w:val="000000" w:themeColor="text1"/>
        </w:rPr>
        <w:t xml:space="preserve">.  </w:t>
      </w:r>
      <w:r w:rsidRPr="00177C7C">
        <w:rPr>
          <w:color w:val="000000" w:themeColor="text1"/>
        </w:rPr>
        <w:t>His evidence was that he did not even see or ask to have a look at the bank statements.</w:t>
      </w:r>
    </w:p>
    <w:p w14:paraId="58C65CA0" w14:textId="5DFBE652" w:rsidR="00F77CF9" w:rsidRPr="006A4B78" w:rsidRDefault="00F77CF9" w:rsidP="005C174D">
      <w:pPr>
        <w:pStyle w:val="points"/>
        <w:numPr>
          <w:ilvl w:val="0"/>
          <w:numId w:val="36"/>
        </w:numPr>
        <w:tabs>
          <w:tab w:val="clear" w:pos="1400"/>
        </w:tabs>
        <w:rPr>
          <w:color w:val="000000" w:themeColor="text1"/>
        </w:rPr>
      </w:pPr>
      <w:r>
        <w:rPr>
          <w:color w:val="000000" w:themeColor="text1"/>
        </w:rPr>
        <w:t xml:space="preserve">It </w:t>
      </w:r>
      <w:r w:rsidR="0076784A">
        <w:rPr>
          <w:color w:val="000000" w:themeColor="text1"/>
        </w:rPr>
        <w:t>wa</w:t>
      </w:r>
      <w:r>
        <w:rPr>
          <w:color w:val="000000" w:themeColor="text1"/>
        </w:rPr>
        <w:t xml:space="preserve">s </w:t>
      </w:r>
      <w:r w:rsidRPr="006A4B78">
        <w:rPr>
          <w:color w:val="000000" w:themeColor="text1"/>
        </w:rPr>
        <w:t>Mr Wen</w:t>
      </w:r>
      <w:r>
        <w:rPr>
          <w:color w:val="000000" w:themeColor="text1"/>
        </w:rPr>
        <w:t>’s evidence t</w:t>
      </w:r>
      <w:r w:rsidRPr="006A4B78">
        <w:rPr>
          <w:color w:val="000000" w:themeColor="text1"/>
        </w:rPr>
        <w:t xml:space="preserve">hat when the </w:t>
      </w:r>
      <w:r>
        <w:rPr>
          <w:color w:val="000000" w:themeColor="text1"/>
        </w:rPr>
        <w:t xml:space="preserve">Company’s </w:t>
      </w:r>
      <w:r w:rsidRPr="006A4B78">
        <w:rPr>
          <w:color w:val="000000" w:themeColor="text1"/>
        </w:rPr>
        <w:t xml:space="preserve">Records were supplied to the SFC on 13 July 2015 and 4 August 2015, he </w:t>
      </w:r>
      <w:r w:rsidR="0076784A">
        <w:rPr>
          <w:color w:val="000000" w:themeColor="text1"/>
        </w:rPr>
        <w:t xml:space="preserve">had </w:t>
      </w:r>
      <w:r w:rsidRPr="006A4B78">
        <w:rPr>
          <w:color w:val="000000" w:themeColor="text1"/>
        </w:rPr>
        <w:t>only looked at the cover letters but n</w:t>
      </w:r>
      <w:r w:rsidR="0076784A">
        <w:rPr>
          <w:color w:val="000000" w:themeColor="text1"/>
        </w:rPr>
        <w:t xml:space="preserve">ot </w:t>
      </w:r>
      <w:r w:rsidRPr="006A4B78">
        <w:rPr>
          <w:color w:val="000000" w:themeColor="text1"/>
        </w:rPr>
        <w:t xml:space="preserve">the </w:t>
      </w:r>
      <w:r>
        <w:rPr>
          <w:color w:val="000000" w:themeColor="text1"/>
        </w:rPr>
        <w:t>Company’s</w:t>
      </w:r>
      <w:r w:rsidRPr="006A4B78">
        <w:rPr>
          <w:color w:val="000000" w:themeColor="text1"/>
        </w:rPr>
        <w:t xml:space="preserve"> Records.  </w:t>
      </w:r>
      <w:r>
        <w:rPr>
          <w:color w:val="000000" w:themeColor="text1"/>
        </w:rPr>
        <w:t>This was despite the fact that the</w:t>
      </w:r>
      <w:r w:rsidRPr="006A4B78">
        <w:rPr>
          <w:color w:val="000000" w:themeColor="text1"/>
        </w:rPr>
        <w:t xml:space="preserve"> s.183 </w:t>
      </w:r>
      <w:r>
        <w:rPr>
          <w:color w:val="000000" w:themeColor="text1"/>
        </w:rPr>
        <w:t>N</w:t>
      </w:r>
      <w:r w:rsidRPr="006A4B78">
        <w:rPr>
          <w:color w:val="000000" w:themeColor="text1"/>
        </w:rPr>
        <w:t xml:space="preserve">otice was addressed to him </w:t>
      </w:r>
      <w:r w:rsidRPr="007075A5">
        <w:rPr>
          <w:iCs/>
          <w:color w:val="000000" w:themeColor="text1"/>
        </w:rPr>
        <w:t>personally</w:t>
      </w:r>
      <w:r w:rsidR="00AE6CFF">
        <w:rPr>
          <w:color w:val="000000" w:themeColor="text1"/>
        </w:rPr>
        <w:t xml:space="preserve">.  </w:t>
      </w:r>
    </w:p>
    <w:p w14:paraId="729602DD" w14:textId="0EFF22D6" w:rsidR="001A1B28" w:rsidRPr="00D77097" w:rsidRDefault="0095274E" w:rsidP="0095274E">
      <w:pPr>
        <w:pStyle w:val="Final"/>
        <w:numPr>
          <w:ilvl w:val="0"/>
          <w:numId w:val="2"/>
        </w:numPr>
        <w:tabs>
          <w:tab w:val="clear" w:pos="720"/>
          <w:tab w:val="num" w:pos="0"/>
        </w:tabs>
        <w:ind w:left="0" w:firstLine="0"/>
      </w:pPr>
      <w:r w:rsidRPr="00D77097">
        <w:t xml:space="preserve">Had </w:t>
      </w:r>
      <w:r w:rsidR="00406CCF" w:rsidRPr="00D77097">
        <w:t xml:space="preserve">Mr Wen </w:t>
      </w:r>
      <w:r w:rsidRPr="00D77097">
        <w:t>been unaware of the Schemes, he would have</w:t>
      </w:r>
      <w:r w:rsidR="00406CCF" w:rsidRPr="00D77097">
        <w:t xml:space="preserve"> been very concerned about the allegations in Emerson Reports </w:t>
      </w:r>
      <w:r w:rsidR="006559C6" w:rsidRPr="00D77097">
        <w:t xml:space="preserve">and </w:t>
      </w:r>
      <w:r w:rsidR="00E66BBB" w:rsidRPr="00D77097">
        <w:t xml:space="preserve">would </w:t>
      </w:r>
      <w:r w:rsidR="00ED2587">
        <w:t xml:space="preserve">have </w:t>
      </w:r>
      <w:r w:rsidR="00E66BBB" w:rsidRPr="00D77097">
        <w:t>be</w:t>
      </w:r>
      <w:r w:rsidR="00ED2587">
        <w:t>en</w:t>
      </w:r>
      <w:r w:rsidRPr="00D77097">
        <w:t xml:space="preserve"> keen to cause the Company to carry out extensive and thorough investigation</w:t>
      </w:r>
      <w:r w:rsidR="0037087C" w:rsidRPr="00D77097">
        <w:t>s</w:t>
      </w:r>
      <w:r w:rsidRPr="00D77097">
        <w:t xml:space="preserve"> into the allegations</w:t>
      </w:r>
      <w:r w:rsidR="00ED2587">
        <w:t xml:space="preserve">. This is because the </w:t>
      </w:r>
      <w:r w:rsidR="00111546" w:rsidRPr="00D77097">
        <w:t xml:space="preserve">allegations, if true, would mean that the Company </w:t>
      </w:r>
      <w:r w:rsidR="006B0CF3">
        <w:t xml:space="preserve">and his </w:t>
      </w:r>
      <w:r w:rsidRPr="00D77097">
        <w:t>50% shareholding</w:t>
      </w:r>
      <w:r w:rsidR="001A1B28" w:rsidRPr="00D77097">
        <w:t xml:space="preserve"> worth a lot less than the shareholders’ equity as stated in the 2012 AFS and the 2013 AFS</w:t>
      </w:r>
      <w:r w:rsidR="00AE6CFF" w:rsidRPr="00D77097">
        <w:t xml:space="preserve">.  </w:t>
      </w:r>
    </w:p>
    <w:p w14:paraId="23F65FB7" w14:textId="756B20A3" w:rsidR="005455EF" w:rsidRPr="00404030" w:rsidRDefault="00DA5C6F" w:rsidP="00404030">
      <w:pPr>
        <w:pStyle w:val="Final"/>
        <w:numPr>
          <w:ilvl w:val="0"/>
          <w:numId w:val="2"/>
        </w:numPr>
        <w:tabs>
          <w:tab w:val="clear" w:pos="720"/>
          <w:tab w:val="num" w:pos="0"/>
        </w:tabs>
        <w:ind w:left="0" w:firstLine="0"/>
        <w:rPr>
          <w:color w:val="000000" w:themeColor="text1"/>
        </w:rPr>
      </w:pPr>
      <w:r>
        <w:rPr>
          <w:color w:val="000000" w:themeColor="text1"/>
        </w:rPr>
        <w:t>Instead, Mr Wen did the complete opposite</w:t>
      </w:r>
      <w:r w:rsidR="00AE6CFF">
        <w:rPr>
          <w:color w:val="000000" w:themeColor="text1"/>
        </w:rPr>
        <w:t xml:space="preserve">.  </w:t>
      </w:r>
      <w:r>
        <w:rPr>
          <w:color w:val="000000" w:themeColor="text1"/>
        </w:rPr>
        <w:t xml:space="preserve">He </w:t>
      </w:r>
      <w:r w:rsidR="005455EF" w:rsidRPr="00404030">
        <w:rPr>
          <w:color w:val="000000" w:themeColor="text1"/>
        </w:rPr>
        <w:t xml:space="preserve">allowed all </w:t>
      </w:r>
      <w:r w:rsidR="00EB4144">
        <w:rPr>
          <w:color w:val="000000" w:themeColor="text1"/>
        </w:rPr>
        <w:t xml:space="preserve">relevant </w:t>
      </w:r>
      <w:r w:rsidR="005455EF" w:rsidRPr="00404030">
        <w:rPr>
          <w:color w:val="000000" w:themeColor="text1"/>
        </w:rPr>
        <w:t xml:space="preserve">personnel and documents relating to the </w:t>
      </w:r>
      <w:r w:rsidR="00B24351">
        <w:rPr>
          <w:color w:val="000000" w:themeColor="text1"/>
        </w:rPr>
        <w:t xml:space="preserve">5 Bank Accounts to disappear </w:t>
      </w:r>
      <w:r w:rsidR="00CB7279">
        <w:rPr>
          <w:color w:val="000000" w:themeColor="text1"/>
        </w:rPr>
        <w:t>after the SFC had issued the s.183 Notice in March 2015</w:t>
      </w:r>
      <w:r w:rsidR="005A1A00">
        <w:rPr>
          <w:color w:val="000000" w:themeColor="text1"/>
        </w:rPr>
        <w:t xml:space="preserve"> in that</w:t>
      </w:r>
      <w:r w:rsidR="00F279FB">
        <w:rPr>
          <w:color w:val="000000" w:themeColor="text1"/>
        </w:rPr>
        <w:t>:</w:t>
      </w:r>
    </w:p>
    <w:p w14:paraId="3DC2A9DA" w14:textId="5EF6D87D" w:rsidR="005455EF" w:rsidRPr="00D0343F" w:rsidRDefault="005455EF" w:rsidP="005C174D">
      <w:pPr>
        <w:pStyle w:val="points"/>
        <w:numPr>
          <w:ilvl w:val="0"/>
          <w:numId w:val="37"/>
        </w:numPr>
        <w:tabs>
          <w:tab w:val="clear" w:pos="1400"/>
        </w:tabs>
      </w:pPr>
      <w:r>
        <w:t>A</w:t>
      </w:r>
      <w:r w:rsidRPr="00D0343F">
        <w:t xml:space="preserve">ll </w:t>
      </w:r>
      <w:r>
        <w:t xml:space="preserve">senior employees </w:t>
      </w:r>
      <w:r w:rsidRPr="00D0343F">
        <w:t xml:space="preserve">involved in the </w:t>
      </w:r>
      <w:r>
        <w:t>fictitious ba</w:t>
      </w:r>
      <w:r w:rsidRPr="00D0343F">
        <w:t>nk balance</w:t>
      </w:r>
      <w:r>
        <w:t>s</w:t>
      </w:r>
      <w:r w:rsidRPr="00D0343F">
        <w:t xml:space="preserve"> left </w:t>
      </w:r>
      <w:r>
        <w:t>the Company: R4</w:t>
      </w:r>
      <w:r w:rsidRPr="00D0343F">
        <w:t xml:space="preserve"> left on 18 December 2015, </w:t>
      </w:r>
      <w:r>
        <w:t xml:space="preserve">R5 left </w:t>
      </w:r>
      <w:r w:rsidRPr="00D0343F">
        <w:t xml:space="preserve">on 16 April 2016 (3 days after </w:t>
      </w:r>
      <w:r>
        <w:t>s</w:t>
      </w:r>
      <w:r w:rsidRPr="00D0343F">
        <w:t>uspension</w:t>
      </w:r>
      <w:r>
        <w:t xml:space="preserve"> of trading</w:t>
      </w:r>
      <w:r w:rsidRPr="00D0343F">
        <w:t xml:space="preserve">), </w:t>
      </w:r>
      <w:r>
        <w:t xml:space="preserve">R3 </w:t>
      </w:r>
      <w:r w:rsidRPr="00D0343F">
        <w:t>left in August 2016</w:t>
      </w:r>
      <w:r>
        <w:t>,</w:t>
      </w:r>
      <w:r w:rsidRPr="00D0343F">
        <w:t xml:space="preserve"> and other relevant finance staff left in 2015-2016</w:t>
      </w:r>
      <w:r>
        <w:rPr>
          <w:rStyle w:val="FootnoteReference"/>
          <w:color w:val="000000" w:themeColor="text1"/>
        </w:rPr>
        <w:footnoteReference w:id="42"/>
      </w:r>
      <w:r w:rsidR="00AE6CFF">
        <w:t xml:space="preserve">.  </w:t>
      </w:r>
      <w:r>
        <w:t xml:space="preserve">All of them left allegedly </w:t>
      </w:r>
      <w:r w:rsidRPr="00547E2D">
        <w:rPr>
          <w:iCs/>
        </w:rPr>
        <w:t>for personal reasons</w:t>
      </w:r>
      <w:r w:rsidRPr="00D0343F">
        <w:t xml:space="preserve">, </w:t>
      </w:r>
      <w:r w:rsidRPr="00B64C65">
        <w:rPr>
          <w:iCs/>
        </w:rPr>
        <w:t>without any record of a</w:t>
      </w:r>
      <w:r>
        <w:rPr>
          <w:iCs/>
        </w:rPr>
        <w:t xml:space="preserve">ny </w:t>
      </w:r>
      <w:r w:rsidRPr="00B64C65">
        <w:rPr>
          <w:iCs/>
        </w:rPr>
        <w:t xml:space="preserve">discussion </w:t>
      </w:r>
      <w:r>
        <w:rPr>
          <w:iCs/>
        </w:rPr>
        <w:t xml:space="preserve">or </w:t>
      </w:r>
      <w:r w:rsidRPr="00D0343F">
        <w:t xml:space="preserve">explanation on the </w:t>
      </w:r>
      <w:r>
        <w:lastRenderedPageBreak/>
        <w:t>Schemes and without leaving any c</w:t>
      </w:r>
      <w:r w:rsidRPr="00D0343F">
        <w:t xml:space="preserve">ontact details </w:t>
      </w:r>
      <w:r>
        <w:t xml:space="preserve">to the Company. </w:t>
      </w:r>
      <w:r w:rsidR="00CC1D3A">
        <w:t xml:space="preserve"> </w:t>
      </w:r>
      <w:r>
        <w:t>It is implausible that M</w:t>
      </w:r>
      <w:r w:rsidR="00EB3B5C">
        <w:t>r</w:t>
      </w:r>
      <w:r>
        <w:t xml:space="preserve"> Wen would allow all senior employees to leave without even asking them to provide information and documents relating to the 8 Bank Accounts which the SFC had been investigating since at least mid-July 2015.</w:t>
      </w:r>
    </w:p>
    <w:p w14:paraId="6FFAD6C6" w14:textId="38B7113D" w:rsidR="005455EF" w:rsidRDefault="005455EF" w:rsidP="005C174D">
      <w:pPr>
        <w:pStyle w:val="points"/>
        <w:numPr>
          <w:ilvl w:val="0"/>
          <w:numId w:val="37"/>
        </w:numPr>
        <w:tabs>
          <w:tab w:val="clear" w:pos="1400"/>
        </w:tabs>
        <w:rPr>
          <w:color w:val="000000" w:themeColor="text1"/>
        </w:rPr>
      </w:pPr>
      <w:r>
        <w:rPr>
          <w:color w:val="000000" w:themeColor="text1"/>
        </w:rPr>
        <w:t xml:space="preserve">The </w:t>
      </w:r>
      <w:r w:rsidRPr="00F3056C">
        <w:rPr>
          <w:color w:val="000000" w:themeColor="text1"/>
        </w:rPr>
        <w:t>5 Bank Accounts were cancelled and closed on 21 August and 2 September 2015</w:t>
      </w:r>
      <w:r>
        <w:rPr>
          <w:color w:val="000000" w:themeColor="text1"/>
        </w:rPr>
        <w:t>, after BCP had provided the Company’s Records</w:t>
      </w:r>
      <w:r w:rsidRPr="00F3056C">
        <w:rPr>
          <w:color w:val="000000" w:themeColor="text1"/>
        </w:rPr>
        <w:t xml:space="preserve"> </w:t>
      </w:r>
      <w:r>
        <w:rPr>
          <w:color w:val="000000" w:themeColor="text1"/>
        </w:rPr>
        <w:t>to the SFC on 13 July 2015 and 4 August 2015</w:t>
      </w:r>
      <w:r w:rsidR="00AE6CFF">
        <w:rPr>
          <w:bCs/>
          <w:color w:val="000000" w:themeColor="text1"/>
          <w:lang w:val="en-US"/>
        </w:rPr>
        <w:t xml:space="preserve">.  </w:t>
      </w:r>
      <w:proofErr w:type="spellStart"/>
      <w:r>
        <w:rPr>
          <w:bCs/>
          <w:color w:val="000000" w:themeColor="text1"/>
          <w:lang w:val="en-US"/>
        </w:rPr>
        <w:t>Mr</w:t>
      </w:r>
      <w:proofErr w:type="spellEnd"/>
      <w:r>
        <w:rPr>
          <w:bCs/>
          <w:color w:val="000000" w:themeColor="text1"/>
          <w:lang w:val="en-US"/>
        </w:rPr>
        <w:t xml:space="preserve"> Wen’s assertion that he did not know or approve the closure of the 5 Bank Accounts is incredible, given that (as I so find) he had actual control of and access to the 5 Bank Accounts.</w:t>
      </w:r>
    </w:p>
    <w:p w14:paraId="050E6E2F" w14:textId="675FB355" w:rsidR="005455EF" w:rsidRDefault="005455EF" w:rsidP="005C174D">
      <w:pPr>
        <w:pStyle w:val="points"/>
        <w:numPr>
          <w:ilvl w:val="0"/>
          <w:numId w:val="37"/>
        </w:numPr>
        <w:tabs>
          <w:tab w:val="clear" w:pos="1400"/>
        </w:tabs>
        <w:rPr>
          <w:color w:val="000000" w:themeColor="text1"/>
        </w:rPr>
      </w:pPr>
      <w:r w:rsidRPr="00806575">
        <w:rPr>
          <w:color w:val="000000" w:themeColor="text1"/>
        </w:rPr>
        <w:t>All company chops of the Subsidiaries were changed</w:t>
      </w:r>
      <w:r w:rsidR="00AE6CFF">
        <w:rPr>
          <w:color w:val="000000" w:themeColor="text1"/>
        </w:rPr>
        <w:t xml:space="preserve">.  </w:t>
      </w:r>
      <w:r w:rsidRPr="00806575">
        <w:rPr>
          <w:color w:val="000000" w:themeColor="text1"/>
        </w:rPr>
        <w:t>Mr Wen assert</w:t>
      </w:r>
      <w:r w:rsidR="004B70B8">
        <w:rPr>
          <w:color w:val="000000" w:themeColor="text1"/>
        </w:rPr>
        <w:t>ed</w:t>
      </w:r>
      <w:r w:rsidRPr="00806575">
        <w:rPr>
          <w:color w:val="000000" w:themeColor="text1"/>
        </w:rPr>
        <w:t xml:space="preserve"> that the change </w:t>
      </w:r>
      <w:r w:rsidR="004B70B8">
        <w:rPr>
          <w:color w:val="000000" w:themeColor="text1"/>
        </w:rPr>
        <w:t xml:space="preserve">had been </w:t>
      </w:r>
      <w:r w:rsidRPr="00806575">
        <w:rPr>
          <w:color w:val="000000" w:themeColor="text1"/>
        </w:rPr>
        <w:t xml:space="preserve">made without his </w:t>
      </w:r>
      <w:r w:rsidRPr="00806575">
        <w:rPr>
          <w:bCs/>
          <w:iCs/>
          <w:color w:val="000000" w:themeColor="text1"/>
          <w:lang w:val="en-US"/>
        </w:rPr>
        <w:t>knowledge or approval</w:t>
      </w:r>
      <w:r w:rsidRPr="00806575">
        <w:rPr>
          <w:color w:val="000000" w:themeColor="text1"/>
        </w:rPr>
        <w:t>, and there was no record or explanation in respect of (a) the time of change, (b) the reason of replacement, and (c) the whereabouts of the original chops</w:t>
      </w:r>
      <w:r w:rsidR="004B70B8">
        <w:rPr>
          <w:color w:val="000000" w:themeColor="text1"/>
        </w:rPr>
        <w:t xml:space="preserve">. The </w:t>
      </w:r>
      <w:r w:rsidRPr="00806575">
        <w:rPr>
          <w:color w:val="000000" w:themeColor="text1"/>
        </w:rPr>
        <w:t xml:space="preserve">assertion cannot be true as </w:t>
      </w:r>
      <w:r w:rsidR="004B70B8">
        <w:rPr>
          <w:color w:val="000000" w:themeColor="text1"/>
        </w:rPr>
        <w:t xml:space="preserve">Mr Wen </w:t>
      </w:r>
      <w:r>
        <w:rPr>
          <w:color w:val="000000" w:themeColor="text1"/>
        </w:rPr>
        <w:t xml:space="preserve">was the person who </w:t>
      </w:r>
      <w:r w:rsidRPr="00806575">
        <w:rPr>
          <w:color w:val="000000" w:themeColor="text1"/>
        </w:rPr>
        <w:t xml:space="preserve">made </w:t>
      </w:r>
      <w:r w:rsidRPr="00806575">
        <w:rPr>
          <w:bCs/>
          <w:color w:val="000000" w:themeColor="text1"/>
          <w:lang w:val="en-US"/>
        </w:rPr>
        <w:t xml:space="preserve">all </w:t>
      </w:r>
      <w:r>
        <w:rPr>
          <w:bCs/>
          <w:color w:val="000000" w:themeColor="text1"/>
          <w:lang w:val="en-US"/>
        </w:rPr>
        <w:t xml:space="preserve">the </w:t>
      </w:r>
      <w:r w:rsidRPr="00806575">
        <w:rPr>
          <w:bCs/>
          <w:color w:val="000000" w:themeColor="text1"/>
          <w:lang w:val="en-US"/>
        </w:rPr>
        <w:t xml:space="preserve">decisions </w:t>
      </w:r>
      <w:r>
        <w:rPr>
          <w:bCs/>
          <w:color w:val="000000" w:themeColor="text1"/>
          <w:lang w:val="en-US"/>
        </w:rPr>
        <w:t xml:space="preserve">for </w:t>
      </w:r>
      <w:r w:rsidRPr="00806575">
        <w:rPr>
          <w:bCs/>
          <w:color w:val="000000" w:themeColor="text1"/>
          <w:lang w:val="en-US"/>
        </w:rPr>
        <w:t xml:space="preserve">the Group and he was the legal representative of BJ </w:t>
      </w:r>
      <w:proofErr w:type="spellStart"/>
      <w:r w:rsidRPr="00806575">
        <w:rPr>
          <w:bCs/>
          <w:color w:val="000000" w:themeColor="text1"/>
          <w:lang w:val="en-US"/>
        </w:rPr>
        <w:t>Epure</w:t>
      </w:r>
      <w:proofErr w:type="spellEnd"/>
      <w:r w:rsidRPr="00806575">
        <w:rPr>
          <w:bCs/>
          <w:color w:val="000000" w:themeColor="text1"/>
          <w:lang w:val="en-US"/>
        </w:rPr>
        <w:t xml:space="preserve"> and BJ Sound</w:t>
      </w:r>
      <w:r w:rsidR="00AE6CFF">
        <w:rPr>
          <w:bCs/>
          <w:color w:val="000000" w:themeColor="text1"/>
          <w:lang w:val="en-US"/>
        </w:rPr>
        <w:t xml:space="preserve">.  </w:t>
      </w:r>
      <w:r w:rsidRPr="00806575">
        <w:rPr>
          <w:bCs/>
          <w:color w:val="000000" w:themeColor="text1"/>
          <w:lang w:val="en-US"/>
        </w:rPr>
        <w:t>Without his approval</w:t>
      </w:r>
      <w:r>
        <w:rPr>
          <w:bCs/>
          <w:color w:val="000000" w:themeColor="text1"/>
          <w:lang w:val="en-US"/>
        </w:rPr>
        <w:t xml:space="preserve"> qua legal representative</w:t>
      </w:r>
      <w:r w:rsidRPr="00806575">
        <w:rPr>
          <w:bCs/>
          <w:color w:val="000000" w:themeColor="text1"/>
          <w:lang w:val="en-US"/>
        </w:rPr>
        <w:t xml:space="preserve">, it was impossible for BJ </w:t>
      </w:r>
      <w:proofErr w:type="spellStart"/>
      <w:r w:rsidRPr="00806575">
        <w:rPr>
          <w:bCs/>
          <w:color w:val="000000" w:themeColor="text1"/>
          <w:lang w:val="en-US"/>
        </w:rPr>
        <w:t>Epure</w:t>
      </w:r>
      <w:proofErr w:type="spellEnd"/>
      <w:r w:rsidRPr="00806575">
        <w:rPr>
          <w:bCs/>
          <w:color w:val="000000" w:themeColor="text1"/>
          <w:lang w:val="en-US"/>
        </w:rPr>
        <w:t xml:space="preserve"> and BJ Sound to replace their chops</w:t>
      </w:r>
      <w:r w:rsidR="00AE6CFF">
        <w:rPr>
          <w:bCs/>
          <w:color w:val="000000" w:themeColor="text1"/>
          <w:lang w:val="en-US"/>
        </w:rPr>
        <w:t xml:space="preserve">.  </w:t>
      </w:r>
    </w:p>
    <w:p w14:paraId="15A5A51E" w14:textId="0DAB38FE" w:rsidR="005455EF" w:rsidRPr="0050199E" w:rsidRDefault="005455EF" w:rsidP="005C174D">
      <w:pPr>
        <w:pStyle w:val="points"/>
        <w:numPr>
          <w:ilvl w:val="0"/>
          <w:numId w:val="37"/>
        </w:numPr>
        <w:tabs>
          <w:tab w:val="clear" w:pos="1400"/>
        </w:tabs>
        <w:rPr>
          <w:color w:val="000000" w:themeColor="text1"/>
        </w:rPr>
      </w:pPr>
      <w:r w:rsidRPr="0050199E">
        <w:rPr>
          <w:color w:val="000000" w:themeColor="text1"/>
        </w:rPr>
        <w:t>All financial records and bank documents of the Subsidiaries were allegedly lost in a fire on 25 November 2016</w:t>
      </w:r>
      <w:r w:rsidR="00AE6CFF">
        <w:rPr>
          <w:color w:val="000000" w:themeColor="text1"/>
        </w:rPr>
        <w:t xml:space="preserve">.  </w:t>
      </w:r>
      <w:r w:rsidRPr="0050199E">
        <w:rPr>
          <w:color w:val="000000" w:themeColor="text1"/>
        </w:rPr>
        <w:t xml:space="preserve">There </w:t>
      </w:r>
      <w:r w:rsidR="00D36152">
        <w:rPr>
          <w:color w:val="000000" w:themeColor="text1"/>
        </w:rPr>
        <w:t>wa</w:t>
      </w:r>
      <w:r w:rsidRPr="0050199E">
        <w:rPr>
          <w:color w:val="000000" w:themeColor="text1"/>
        </w:rPr>
        <w:t xml:space="preserve">s no credible explanation as to why the fire </w:t>
      </w:r>
      <w:r w:rsidR="00D36152">
        <w:rPr>
          <w:color w:val="000000" w:themeColor="text1"/>
        </w:rPr>
        <w:t xml:space="preserve">had </w:t>
      </w:r>
      <w:r w:rsidRPr="0050199E">
        <w:rPr>
          <w:color w:val="000000" w:themeColor="text1"/>
        </w:rPr>
        <w:t xml:space="preserve">only </w:t>
      </w:r>
      <w:r w:rsidR="00D36152">
        <w:rPr>
          <w:color w:val="000000" w:themeColor="text1"/>
        </w:rPr>
        <w:t xml:space="preserve">been </w:t>
      </w:r>
      <w:r w:rsidRPr="0050199E">
        <w:rPr>
          <w:color w:val="000000" w:themeColor="text1"/>
        </w:rPr>
        <w:t xml:space="preserve">reported to the </w:t>
      </w:r>
      <w:r>
        <w:rPr>
          <w:color w:val="000000" w:themeColor="text1"/>
        </w:rPr>
        <w:t xml:space="preserve">local </w:t>
      </w:r>
      <w:r w:rsidRPr="0050199E">
        <w:rPr>
          <w:color w:val="000000" w:themeColor="text1"/>
        </w:rPr>
        <w:t xml:space="preserve">fire service on </w:t>
      </w:r>
      <w:proofErr w:type="gramStart"/>
      <w:r w:rsidRPr="0050199E">
        <w:rPr>
          <w:color w:val="000000" w:themeColor="text1"/>
        </w:rPr>
        <w:t>30  December</w:t>
      </w:r>
      <w:proofErr w:type="gramEnd"/>
      <w:r w:rsidRPr="0050199E">
        <w:rPr>
          <w:color w:val="000000" w:themeColor="text1"/>
        </w:rPr>
        <w:t xml:space="preserve"> 2016</w:t>
      </w:r>
      <w:r w:rsidR="00AE6CFF">
        <w:rPr>
          <w:color w:val="000000" w:themeColor="text1"/>
        </w:rPr>
        <w:t xml:space="preserve">.  </w:t>
      </w:r>
      <w:r>
        <w:rPr>
          <w:color w:val="000000" w:themeColor="text1"/>
        </w:rPr>
        <w:t xml:space="preserve">In </w:t>
      </w:r>
      <w:r>
        <w:rPr>
          <w:color w:val="000000" w:themeColor="text1"/>
        </w:rPr>
        <w:lastRenderedPageBreak/>
        <w:t xml:space="preserve">any </w:t>
      </w:r>
      <w:proofErr w:type="gramStart"/>
      <w:r>
        <w:rPr>
          <w:color w:val="000000" w:themeColor="text1"/>
        </w:rPr>
        <w:t xml:space="preserve">event, </w:t>
      </w:r>
      <w:r w:rsidRPr="0050199E">
        <w:rPr>
          <w:color w:val="000000" w:themeColor="text1"/>
        </w:rPr>
        <w:t xml:space="preserve"> the</w:t>
      </w:r>
      <w:proofErr w:type="gramEnd"/>
      <w:r w:rsidRPr="0050199E">
        <w:rPr>
          <w:color w:val="000000" w:themeColor="text1"/>
        </w:rPr>
        <w:t xml:space="preserve"> one-page report only described the </w:t>
      </w:r>
      <w:r>
        <w:rPr>
          <w:color w:val="000000" w:themeColor="text1"/>
        </w:rPr>
        <w:t xml:space="preserve">named </w:t>
      </w:r>
      <w:r w:rsidRPr="0050199E">
        <w:rPr>
          <w:color w:val="000000" w:themeColor="text1"/>
        </w:rPr>
        <w:t>vehicle caught fire</w:t>
      </w:r>
      <w:r w:rsidR="00AE6CFF">
        <w:rPr>
          <w:color w:val="000000" w:themeColor="text1"/>
        </w:rPr>
        <w:t xml:space="preserve">.  </w:t>
      </w:r>
      <w:r>
        <w:rPr>
          <w:color w:val="000000" w:themeColor="text1"/>
        </w:rPr>
        <w:t xml:space="preserve">It did </w:t>
      </w:r>
      <w:r w:rsidRPr="00486E85">
        <w:rPr>
          <w:i/>
          <w:iCs/>
          <w:color w:val="000000" w:themeColor="text1"/>
        </w:rPr>
        <w:t>not</w:t>
      </w:r>
      <w:r>
        <w:rPr>
          <w:color w:val="000000" w:themeColor="text1"/>
        </w:rPr>
        <w:t xml:space="preserve"> say </w:t>
      </w:r>
      <w:r w:rsidRPr="0050199E">
        <w:rPr>
          <w:color w:val="000000" w:themeColor="text1"/>
        </w:rPr>
        <w:t xml:space="preserve">that the vehicle </w:t>
      </w:r>
      <w:r>
        <w:rPr>
          <w:color w:val="000000" w:themeColor="text1"/>
        </w:rPr>
        <w:t xml:space="preserve">was in any way related to </w:t>
      </w:r>
      <w:r w:rsidRPr="0050199E">
        <w:rPr>
          <w:color w:val="000000" w:themeColor="text1"/>
        </w:rPr>
        <w:t>the Group</w:t>
      </w:r>
      <w:r>
        <w:rPr>
          <w:color w:val="000000" w:themeColor="text1"/>
        </w:rPr>
        <w:t xml:space="preserve">, still less </w:t>
      </w:r>
      <w:r w:rsidRPr="0050199E">
        <w:rPr>
          <w:color w:val="000000" w:themeColor="text1"/>
        </w:rPr>
        <w:t xml:space="preserve">that </w:t>
      </w:r>
      <w:r>
        <w:rPr>
          <w:color w:val="000000" w:themeColor="text1"/>
        </w:rPr>
        <w:t xml:space="preserve">the vehicle carried </w:t>
      </w:r>
      <w:r w:rsidRPr="0050199E">
        <w:rPr>
          <w:color w:val="000000" w:themeColor="text1"/>
        </w:rPr>
        <w:t xml:space="preserve">all </w:t>
      </w:r>
      <w:r>
        <w:rPr>
          <w:color w:val="000000" w:themeColor="text1"/>
        </w:rPr>
        <w:t xml:space="preserve">the </w:t>
      </w:r>
      <w:r w:rsidRPr="0050199E">
        <w:rPr>
          <w:color w:val="000000" w:themeColor="text1"/>
        </w:rPr>
        <w:t xml:space="preserve">records and bank statements of the Subsidiaries and </w:t>
      </w:r>
      <w:r>
        <w:rPr>
          <w:color w:val="000000" w:themeColor="text1"/>
        </w:rPr>
        <w:t xml:space="preserve">the same </w:t>
      </w:r>
      <w:r w:rsidR="00737798">
        <w:rPr>
          <w:color w:val="000000" w:themeColor="text1"/>
        </w:rPr>
        <w:t xml:space="preserve">had been </w:t>
      </w:r>
      <w:r w:rsidRPr="0050199E">
        <w:rPr>
          <w:color w:val="000000" w:themeColor="text1"/>
        </w:rPr>
        <w:t>destroyed in the fire</w:t>
      </w:r>
      <w:r w:rsidR="00AE6CFF">
        <w:rPr>
          <w:color w:val="000000" w:themeColor="text1"/>
        </w:rPr>
        <w:t xml:space="preserve">.  </w:t>
      </w:r>
      <w:r w:rsidRPr="0050199E">
        <w:rPr>
          <w:color w:val="000000" w:themeColor="text1"/>
        </w:rPr>
        <w:t xml:space="preserve">Nor </w:t>
      </w:r>
      <w:r w:rsidR="00737798">
        <w:rPr>
          <w:color w:val="000000" w:themeColor="text1"/>
        </w:rPr>
        <w:t>wa</w:t>
      </w:r>
      <w:r w:rsidRPr="0050199E">
        <w:rPr>
          <w:color w:val="000000" w:themeColor="text1"/>
        </w:rPr>
        <w:t xml:space="preserve">s there any credible explanation as to why </w:t>
      </w:r>
      <w:r>
        <w:rPr>
          <w:color w:val="000000" w:themeColor="text1"/>
        </w:rPr>
        <w:t xml:space="preserve">the incident </w:t>
      </w:r>
      <w:r w:rsidR="00737798">
        <w:rPr>
          <w:color w:val="000000" w:themeColor="text1"/>
        </w:rPr>
        <w:t xml:space="preserve">had </w:t>
      </w:r>
      <w:r>
        <w:rPr>
          <w:color w:val="000000" w:themeColor="text1"/>
        </w:rPr>
        <w:t>only</w:t>
      </w:r>
      <w:r w:rsidR="00737798">
        <w:rPr>
          <w:color w:val="000000" w:themeColor="text1"/>
        </w:rPr>
        <w:t xml:space="preserve"> been</w:t>
      </w:r>
      <w:r>
        <w:rPr>
          <w:color w:val="000000" w:themeColor="text1"/>
        </w:rPr>
        <w:t xml:space="preserve"> announced by the Company 7 months later, </w:t>
      </w:r>
      <w:r w:rsidRPr="0050199E">
        <w:rPr>
          <w:color w:val="000000" w:themeColor="text1"/>
        </w:rPr>
        <w:t>on 19 June 2017</w:t>
      </w:r>
      <w:r>
        <w:rPr>
          <w:color w:val="000000" w:themeColor="text1"/>
        </w:rPr>
        <w:t xml:space="preserve"> or why</w:t>
      </w:r>
      <w:r w:rsidRPr="0050199E">
        <w:rPr>
          <w:color w:val="000000" w:themeColor="text1"/>
        </w:rPr>
        <w:t xml:space="preserve"> the </w:t>
      </w:r>
      <w:r>
        <w:rPr>
          <w:color w:val="000000" w:themeColor="text1"/>
        </w:rPr>
        <w:t xml:space="preserve">Company claimed that </w:t>
      </w:r>
      <w:r w:rsidRPr="0050199E">
        <w:rPr>
          <w:color w:val="000000" w:themeColor="text1"/>
        </w:rPr>
        <w:t>“some of the financial documents of the Company” were lost and/or damaged</w:t>
      </w:r>
      <w:r w:rsidR="00BD1704">
        <w:rPr>
          <w:color w:val="000000" w:themeColor="text1"/>
        </w:rPr>
        <w:t xml:space="preserve">. </w:t>
      </w:r>
      <w:r w:rsidRPr="0050199E">
        <w:rPr>
          <w:color w:val="000000" w:themeColor="text1"/>
        </w:rPr>
        <w:t xml:space="preserve">  </w:t>
      </w:r>
    </w:p>
    <w:p w14:paraId="5F3EA4E5" w14:textId="6BC281F2" w:rsidR="00503386" w:rsidRDefault="00E137DD" w:rsidP="00C0207F">
      <w:pPr>
        <w:pStyle w:val="Final"/>
        <w:numPr>
          <w:ilvl w:val="0"/>
          <w:numId w:val="2"/>
        </w:numPr>
        <w:tabs>
          <w:tab w:val="clear" w:pos="720"/>
          <w:tab w:val="num" w:pos="0"/>
        </w:tabs>
        <w:ind w:left="0" w:firstLine="0"/>
        <w:rPr>
          <w:color w:val="000000" w:themeColor="text1"/>
        </w:rPr>
      </w:pPr>
      <w:r>
        <w:rPr>
          <w:color w:val="000000" w:themeColor="text1"/>
        </w:rPr>
        <w:t xml:space="preserve">It was only after the disappearance of the </w:t>
      </w:r>
      <w:r w:rsidR="00BB7CA6">
        <w:rPr>
          <w:color w:val="000000" w:themeColor="text1"/>
        </w:rPr>
        <w:t xml:space="preserve">relevant personnel and documents </w:t>
      </w:r>
      <w:r w:rsidR="00F279FB">
        <w:rPr>
          <w:color w:val="000000" w:themeColor="text1"/>
        </w:rPr>
        <w:t xml:space="preserve">that </w:t>
      </w:r>
      <w:r w:rsidR="00F44928">
        <w:rPr>
          <w:color w:val="000000" w:themeColor="text1"/>
        </w:rPr>
        <w:t xml:space="preserve">in 2017, </w:t>
      </w:r>
      <w:r w:rsidR="00BB7CA6">
        <w:rPr>
          <w:color w:val="000000" w:themeColor="text1"/>
        </w:rPr>
        <w:t>Mr Wen</w:t>
      </w:r>
      <w:r w:rsidR="002A20E4">
        <w:rPr>
          <w:color w:val="000000" w:themeColor="text1"/>
        </w:rPr>
        <w:t xml:space="preserve"> </w:t>
      </w:r>
      <w:r w:rsidR="008F2020">
        <w:rPr>
          <w:color w:val="000000" w:themeColor="text1"/>
        </w:rPr>
        <w:t xml:space="preserve">belatedly </w:t>
      </w:r>
      <w:r w:rsidR="00BB7CA6">
        <w:rPr>
          <w:color w:val="000000" w:themeColor="text1"/>
        </w:rPr>
        <w:t xml:space="preserve">caused the Company to </w:t>
      </w:r>
      <w:r w:rsidR="00F279FB">
        <w:rPr>
          <w:color w:val="000000" w:themeColor="text1"/>
        </w:rPr>
        <w:t xml:space="preserve">engage </w:t>
      </w:r>
      <w:proofErr w:type="spellStart"/>
      <w:r w:rsidR="00F279FB">
        <w:rPr>
          <w:color w:val="000000" w:themeColor="text1"/>
        </w:rPr>
        <w:t>Gaowen</w:t>
      </w:r>
      <w:proofErr w:type="spellEnd"/>
      <w:r w:rsidR="00F279FB">
        <w:rPr>
          <w:color w:val="000000" w:themeColor="text1"/>
        </w:rPr>
        <w:t xml:space="preserve"> Law Firm</w:t>
      </w:r>
      <w:r w:rsidR="00CD6EAD">
        <w:rPr>
          <w:rStyle w:val="FootnoteReference"/>
          <w:color w:val="000000" w:themeColor="text1"/>
        </w:rPr>
        <w:footnoteReference w:id="43"/>
      </w:r>
      <w:r w:rsidR="00F279FB">
        <w:rPr>
          <w:color w:val="000000" w:themeColor="text1"/>
        </w:rPr>
        <w:t xml:space="preserve"> and PKF to investigate </w:t>
      </w:r>
      <w:r w:rsidR="00F44928">
        <w:rPr>
          <w:color w:val="000000" w:themeColor="text1"/>
        </w:rPr>
        <w:t xml:space="preserve">the </w:t>
      </w:r>
      <w:r w:rsidR="00244E70">
        <w:rPr>
          <w:color w:val="000000" w:themeColor="text1"/>
        </w:rPr>
        <w:t>Discrepancie</w:t>
      </w:r>
      <w:r w:rsidR="008F2020">
        <w:rPr>
          <w:color w:val="000000" w:themeColor="text1"/>
        </w:rPr>
        <w:t>s</w:t>
      </w:r>
      <w:r w:rsidR="00AE6CFF">
        <w:rPr>
          <w:color w:val="000000" w:themeColor="text1"/>
        </w:rPr>
        <w:t xml:space="preserve">.  </w:t>
      </w:r>
      <w:r w:rsidR="008F2020">
        <w:rPr>
          <w:color w:val="000000" w:themeColor="text1"/>
        </w:rPr>
        <w:t xml:space="preserve">As all the relevant personnel and documents </w:t>
      </w:r>
      <w:r w:rsidR="00737798">
        <w:rPr>
          <w:color w:val="000000" w:themeColor="text1"/>
        </w:rPr>
        <w:t xml:space="preserve">had </w:t>
      </w:r>
      <w:r w:rsidR="008F2020">
        <w:rPr>
          <w:color w:val="000000" w:themeColor="text1"/>
        </w:rPr>
        <w:t xml:space="preserve">not </w:t>
      </w:r>
      <w:r w:rsidR="00737798">
        <w:rPr>
          <w:color w:val="000000" w:themeColor="text1"/>
        </w:rPr>
        <w:t xml:space="preserve">been made </w:t>
      </w:r>
      <w:r w:rsidR="008F2020">
        <w:rPr>
          <w:color w:val="000000" w:themeColor="text1"/>
        </w:rPr>
        <w:t xml:space="preserve">available to them, </w:t>
      </w:r>
      <w:r w:rsidR="00F44928">
        <w:rPr>
          <w:color w:val="000000" w:themeColor="text1"/>
        </w:rPr>
        <w:t>the</w:t>
      </w:r>
      <w:r w:rsidR="008F2020">
        <w:rPr>
          <w:color w:val="000000" w:themeColor="text1"/>
        </w:rPr>
        <w:t xml:space="preserve">y </w:t>
      </w:r>
      <w:r w:rsidR="00737798">
        <w:rPr>
          <w:color w:val="000000" w:themeColor="text1"/>
        </w:rPr>
        <w:t xml:space="preserve">were </w:t>
      </w:r>
      <w:r w:rsidR="008F2020">
        <w:rPr>
          <w:color w:val="000000" w:themeColor="text1"/>
        </w:rPr>
        <w:t xml:space="preserve">only </w:t>
      </w:r>
      <w:r w:rsidR="00737798">
        <w:rPr>
          <w:color w:val="000000" w:themeColor="text1"/>
        </w:rPr>
        <w:t xml:space="preserve">able to </w:t>
      </w:r>
      <w:r w:rsidR="008F2020">
        <w:rPr>
          <w:color w:val="000000" w:themeColor="text1"/>
        </w:rPr>
        <w:t xml:space="preserve">produce </w:t>
      </w:r>
      <w:r w:rsidR="00F44928">
        <w:rPr>
          <w:color w:val="000000" w:themeColor="text1"/>
        </w:rPr>
        <w:t>heavily qualified</w:t>
      </w:r>
      <w:r w:rsidR="008F2020">
        <w:rPr>
          <w:color w:val="000000" w:themeColor="text1"/>
        </w:rPr>
        <w:t xml:space="preserve"> reports based on the Company’s in</w:t>
      </w:r>
      <w:r w:rsidR="001570BE">
        <w:rPr>
          <w:color w:val="000000" w:themeColor="text1"/>
        </w:rPr>
        <w:t xml:space="preserve">formation </w:t>
      </w:r>
      <w:r w:rsidR="00737798">
        <w:rPr>
          <w:color w:val="000000" w:themeColor="text1"/>
        </w:rPr>
        <w:t xml:space="preserve">without </w:t>
      </w:r>
      <w:r w:rsidR="008F2020">
        <w:rPr>
          <w:color w:val="000000" w:themeColor="text1"/>
        </w:rPr>
        <w:t>any independent verification</w:t>
      </w:r>
      <w:r w:rsidR="00F52376">
        <w:rPr>
          <w:color w:val="000000" w:themeColor="text1"/>
        </w:rPr>
        <w:t>.</w:t>
      </w:r>
      <w:r w:rsidR="00F279FB">
        <w:rPr>
          <w:rStyle w:val="FootnoteReference"/>
          <w:color w:val="000000" w:themeColor="text1"/>
        </w:rPr>
        <w:footnoteReference w:id="44"/>
      </w:r>
    </w:p>
    <w:p w14:paraId="2CB56541" w14:textId="3B4AF47A" w:rsidR="00151F84" w:rsidRDefault="00151F84" w:rsidP="00C0207F">
      <w:pPr>
        <w:pStyle w:val="Final"/>
        <w:numPr>
          <w:ilvl w:val="0"/>
          <w:numId w:val="2"/>
        </w:numPr>
        <w:tabs>
          <w:tab w:val="clear" w:pos="720"/>
          <w:tab w:val="num" w:pos="0"/>
        </w:tabs>
        <w:ind w:left="0" w:firstLine="0"/>
        <w:rPr>
          <w:color w:val="000000" w:themeColor="text1"/>
        </w:rPr>
      </w:pPr>
      <w:r w:rsidRPr="00404030">
        <w:rPr>
          <w:color w:val="000000" w:themeColor="text1"/>
        </w:rPr>
        <w:t>The timing and the surreptitious manner in which Mr Wen allowed the personnel and documents to disappear is consistent with and reinforces the SFC’s case that Mr Wen knowingly caused, directed and orchestrated the Schemes</w:t>
      </w:r>
      <w:r w:rsidR="00AE6CFF">
        <w:rPr>
          <w:color w:val="000000" w:themeColor="text1"/>
        </w:rPr>
        <w:t xml:space="preserve">.  </w:t>
      </w:r>
    </w:p>
    <w:p w14:paraId="1BDAD691" w14:textId="3C65CECF" w:rsidR="00605250" w:rsidRDefault="00182570" w:rsidP="00605250">
      <w:pPr>
        <w:pStyle w:val="Final"/>
        <w:numPr>
          <w:ilvl w:val="0"/>
          <w:numId w:val="2"/>
        </w:numPr>
        <w:tabs>
          <w:tab w:val="clear" w:pos="720"/>
          <w:tab w:val="num" w:pos="0"/>
        </w:tabs>
        <w:ind w:left="0" w:firstLine="0"/>
        <w:rPr>
          <w:color w:val="000000" w:themeColor="text1"/>
        </w:rPr>
      </w:pPr>
      <w:r w:rsidRPr="000F3DEA">
        <w:rPr>
          <w:color w:val="000000" w:themeColor="text1"/>
          <w:u w:val="single"/>
        </w:rPr>
        <w:t>Lastly</w:t>
      </w:r>
      <w:r>
        <w:rPr>
          <w:color w:val="000000" w:themeColor="text1"/>
        </w:rPr>
        <w:t xml:space="preserve">, </w:t>
      </w:r>
      <w:r w:rsidR="000F3DEA">
        <w:rPr>
          <w:color w:val="000000" w:themeColor="text1"/>
        </w:rPr>
        <w:t>t</w:t>
      </w:r>
      <w:r w:rsidR="00605250" w:rsidRPr="00F92426">
        <w:rPr>
          <w:color w:val="000000" w:themeColor="text1"/>
        </w:rPr>
        <w:t>a</w:t>
      </w:r>
      <w:r w:rsidR="00605250">
        <w:rPr>
          <w:color w:val="000000" w:themeColor="text1"/>
        </w:rPr>
        <w:t xml:space="preserve">king into account the following facts </w:t>
      </w:r>
      <w:r w:rsidR="008F057E">
        <w:rPr>
          <w:color w:val="000000" w:themeColor="text1"/>
        </w:rPr>
        <w:t xml:space="preserve">(which are either not in dispute or are </w:t>
      </w:r>
      <w:r w:rsidR="00174F61">
        <w:rPr>
          <w:color w:val="000000" w:themeColor="text1"/>
        </w:rPr>
        <w:t xml:space="preserve">established by </w:t>
      </w:r>
      <w:r w:rsidR="00FC5E84">
        <w:rPr>
          <w:color w:val="000000" w:themeColor="text1"/>
        </w:rPr>
        <w:t xml:space="preserve">cogent </w:t>
      </w:r>
      <w:r w:rsidR="00174F61">
        <w:rPr>
          <w:color w:val="000000" w:themeColor="text1"/>
        </w:rPr>
        <w:t>evidence</w:t>
      </w:r>
      <w:r w:rsidR="003B09F2">
        <w:rPr>
          <w:color w:val="000000" w:themeColor="text1"/>
        </w:rPr>
        <w:t xml:space="preserve"> discussed above</w:t>
      </w:r>
      <w:r w:rsidR="00516BDB">
        <w:rPr>
          <w:color w:val="000000" w:themeColor="text1"/>
        </w:rPr>
        <w:t>)</w:t>
      </w:r>
      <w:r w:rsidR="00605250">
        <w:rPr>
          <w:color w:val="000000" w:themeColor="text1"/>
        </w:rPr>
        <w:t xml:space="preserve">, </w:t>
      </w:r>
      <w:r w:rsidR="00605250">
        <w:rPr>
          <w:color w:val="000000" w:themeColor="text1"/>
        </w:rPr>
        <w:lastRenderedPageBreak/>
        <w:t xml:space="preserve">the only inference which can be drawn is that the Schemes must have been carried out with the knowledge and approval of Mr Wen: </w:t>
      </w:r>
    </w:p>
    <w:p w14:paraId="356628EE" w14:textId="34341F59" w:rsidR="00605250" w:rsidRDefault="00605250" w:rsidP="005C174D">
      <w:pPr>
        <w:pStyle w:val="points"/>
        <w:numPr>
          <w:ilvl w:val="0"/>
          <w:numId w:val="38"/>
        </w:numPr>
        <w:tabs>
          <w:tab w:val="clear" w:pos="1400"/>
        </w:tabs>
      </w:pPr>
      <w:r>
        <w:t xml:space="preserve">The Management System and the way in which the Group had been managed </w:t>
      </w:r>
      <w:r w:rsidR="0053774D">
        <w:t xml:space="preserve">show </w:t>
      </w:r>
      <w:r>
        <w:t xml:space="preserve">that Mr Wen’s </w:t>
      </w:r>
      <w:r w:rsidRPr="00B44119">
        <w:t xml:space="preserve">approval was required for all decisions made by the Group, and all payments and transfers of funds by the </w:t>
      </w:r>
      <w:r w:rsidR="0053774D">
        <w:t xml:space="preserve">Subsidiaries </w:t>
      </w:r>
      <w:r w:rsidRPr="00B44119">
        <w:t xml:space="preserve">could only be made </w:t>
      </w:r>
      <w:r w:rsidRPr="00486E85">
        <w:rPr>
          <w:i/>
          <w:iCs/>
        </w:rPr>
        <w:t xml:space="preserve">after </w:t>
      </w:r>
      <w:r>
        <w:t xml:space="preserve">Mr Wen </w:t>
      </w:r>
      <w:r w:rsidRPr="00B44119">
        <w:t>had signed the relevant applications for approval</w:t>
      </w:r>
      <w:r w:rsidR="00AE6CFF">
        <w:t xml:space="preserve">.  </w:t>
      </w:r>
    </w:p>
    <w:p w14:paraId="22D21063" w14:textId="4FB03F26" w:rsidR="001C66F1" w:rsidRDefault="00605250" w:rsidP="005C174D">
      <w:pPr>
        <w:pStyle w:val="points"/>
        <w:numPr>
          <w:ilvl w:val="0"/>
          <w:numId w:val="38"/>
        </w:numPr>
        <w:tabs>
          <w:tab w:val="clear" w:pos="1400"/>
        </w:tabs>
        <w:rPr>
          <w:color w:val="000000" w:themeColor="text1"/>
        </w:rPr>
      </w:pPr>
      <w:r>
        <w:rPr>
          <w:color w:val="000000" w:themeColor="text1"/>
        </w:rPr>
        <w:t>T</w:t>
      </w:r>
      <w:r w:rsidRPr="00263AF5">
        <w:rPr>
          <w:color w:val="000000" w:themeColor="text1"/>
        </w:rPr>
        <w:t xml:space="preserve">he </w:t>
      </w:r>
      <w:r w:rsidRPr="00076A3B">
        <w:t>complexity</w:t>
      </w:r>
      <w:r w:rsidRPr="00263AF5">
        <w:rPr>
          <w:color w:val="000000" w:themeColor="text1"/>
        </w:rPr>
        <w:t xml:space="preserve"> of the Schemes</w:t>
      </w:r>
      <w:r w:rsidR="00642065">
        <w:rPr>
          <w:color w:val="000000" w:themeColor="text1"/>
        </w:rPr>
        <w:t>,</w:t>
      </w:r>
      <w:r w:rsidRPr="00263AF5">
        <w:rPr>
          <w:color w:val="000000" w:themeColor="text1"/>
        </w:rPr>
        <w:t xml:space="preserve"> </w:t>
      </w:r>
      <w:r>
        <w:rPr>
          <w:color w:val="000000" w:themeColor="text1"/>
        </w:rPr>
        <w:t xml:space="preserve">which involved </w:t>
      </w:r>
      <w:proofErr w:type="gramStart"/>
      <w:r>
        <w:rPr>
          <w:color w:val="000000" w:themeColor="text1"/>
        </w:rPr>
        <w:t xml:space="preserve">creating </w:t>
      </w:r>
      <w:r w:rsidRPr="00263AF5">
        <w:rPr>
          <w:color w:val="000000" w:themeColor="text1"/>
        </w:rPr>
        <w:t xml:space="preserve"> substantial</w:t>
      </w:r>
      <w:proofErr w:type="gramEnd"/>
      <w:r w:rsidRPr="00263AF5">
        <w:rPr>
          <w:color w:val="000000" w:themeColor="text1"/>
        </w:rPr>
        <w:t xml:space="preserve"> fictitious bank balances and the corresponding fictitious transactions and entries in the accounts of the Subsidiaries and of the Group</w:t>
      </w:r>
      <w:r>
        <w:rPr>
          <w:color w:val="000000" w:themeColor="text1"/>
        </w:rPr>
        <w:t xml:space="preserve"> over a prolonged period of time</w:t>
      </w:r>
      <w:r w:rsidR="00642065">
        <w:rPr>
          <w:color w:val="000000" w:themeColor="text1"/>
        </w:rPr>
        <w:t>,</w:t>
      </w:r>
      <w:r>
        <w:rPr>
          <w:color w:val="000000" w:themeColor="text1"/>
        </w:rPr>
        <w:t xml:space="preserve"> required the participation of </w:t>
      </w:r>
      <w:r w:rsidRPr="00263AF5">
        <w:rPr>
          <w:color w:val="000000" w:themeColor="text1"/>
        </w:rPr>
        <w:t xml:space="preserve">many senior employees including at least R4 and R5. </w:t>
      </w:r>
      <w:r w:rsidR="004C737B">
        <w:rPr>
          <w:color w:val="000000" w:themeColor="text1"/>
        </w:rPr>
        <w:t xml:space="preserve"> </w:t>
      </w:r>
      <w:r w:rsidRPr="00263AF5">
        <w:rPr>
          <w:color w:val="000000" w:themeColor="text1"/>
        </w:rPr>
        <w:t xml:space="preserve">Mr Wen was the only person who had the authority to direct and mobilise all these senior employees to engage in the fraud for </w:t>
      </w:r>
      <w:r>
        <w:rPr>
          <w:color w:val="000000" w:themeColor="text1"/>
        </w:rPr>
        <w:t>the entire period</w:t>
      </w:r>
      <w:r w:rsidRPr="00263AF5">
        <w:rPr>
          <w:color w:val="000000" w:themeColor="text1"/>
        </w:rPr>
        <w:t>.</w:t>
      </w:r>
    </w:p>
    <w:p w14:paraId="573B43DB" w14:textId="77777777" w:rsidR="004935FF" w:rsidRDefault="001C66F1" w:rsidP="005C174D">
      <w:pPr>
        <w:pStyle w:val="points"/>
        <w:numPr>
          <w:ilvl w:val="0"/>
          <w:numId w:val="38"/>
        </w:numPr>
        <w:tabs>
          <w:tab w:val="clear" w:pos="1400"/>
        </w:tabs>
        <w:rPr>
          <w:color w:val="000000" w:themeColor="text1"/>
        </w:rPr>
      </w:pPr>
      <w:r w:rsidRPr="001C66F1">
        <w:rPr>
          <w:color w:val="000000" w:themeColor="text1"/>
        </w:rPr>
        <w:t xml:space="preserve">The </w:t>
      </w:r>
      <w:r w:rsidRPr="00076A3B">
        <w:t>fictitious</w:t>
      </w:r>
      <w:r>
        <w:rPr>
          <w:color w:val="000000" w:themeColor="text1"/>
        </w:rPr>
        <w:t xml:space="preserve"> </w:t>
      </w:r>
      <w:r w:rsidRPr="001C66F1">
        <w:rPr>
          <w:color w:val="000000" w:themeColor="text1"/>
        </w:rPr>
        <w:t xml:space="preserve">bank balances of the </w:t>
      </w:r>
      <w:r>
        <w:rPr>
          <w:color w:val="000000" w:themeColor="text1"/>
        </w:rPr>
        <w:t xml:space="preserve">5 Bank Accounts were very significant to the </w:t>
      </w:r>
      <w:r w:rsidRPr="001C66F1">
        <w:rPr>
          <w:color w:val="000000" w:themeColor="text1"/>
        </w:rPr>
        <w:t>Group</w:t>
      </w:r>
      <w:r w:rsidR="00C1619E">
        <w:rPr>
          <w:color w:val="000000" w:themeColor="text1"/>
        </w:rPr>
        <w:t xml:space="preserve"> in that:</w:t>
      </w:r>
      <w:r w:rsidRPr="001C66F1">
        <w:rPr>
          <w:color w:val="000000" w:themeColor="text1"/>
        </w:rPr>
        <w:t xml:space="preserve">  </w:t>
      </w:r>
    </w:p>
    <w:p w14:paraId="29BB2D31" w14:textId="3250838C" w:rsidR="007034A7" w:rsidRDefault="00EC0E3C" w:rsidP="005C174D">
      <w:pPr>
        <w:pStyle w:val="points"/>
        <w:numPr>
          <w:ilvl w:val="0"/>
          <w:numId w:val="39"/>
        </w:numPr>
        <w:tabs>
          <w:tab w:val="clear" w:pos="1400"/>
          <w:tab w:val="clear" w:pos="1960"/>
        </w:tabs>
        <w:ind w:hanging="720"/>
        <w:rPr>
          <w:color w:val="000000" w:themeColor="text1"/>
        </w:rPr>
      </w:pPr>
      <w:r>
        <w:rPr>
          <w:color w:val="000000" w:themeColor="text1"/>
        </w:rPr>
        <w:t>T</w:t>
      </w:r>
      <w:r w:rsidR="001C66F1" w:rsidRPr="004935FF">
        <w:rPr>
          <w:color w:val="000000" w:themeColor="text1"/>
        </w:rPr>
        <w:t xml:space="preserve">he balances in the </w:t>
      </w:r>
      <w:r>
        <w:rPr>
          <w:color w:val="000000" w:themeColor="text1"/>
        </w:rPr>
        <w:t>5</w:t>
      </w:r>
      <w:r w:rsidR="001C66F1" w:rsidRPr="004935FF">
        <w:rPr>
          <w:color w:val="000000" w:themeColor="text1"/>
        </w:rPr>
        <w:t xml:space="preserve"> Bank Accounts </w:t>
      </w:r>
      <w:r>
        <w:rPr>
          <w:color w:val="000000" w:themeColor="text1"/>
        </w:rPr>
        <w:t>represe</w:t>
      </w:r>
      <w:r w:rsidR="00221714">
        <w:rPr>
          <w:color w:val="000000" w:themeColor="text1"/>
        </w:rPr>
        <w:t>nte</w:t>
      </w:r>
      <w:r>
        <w:rPr>
          <w:color w:val="000000" w:themeColor="text1"/>
        </w:rPr>
        <w:t xml:space="preserve">d </w:t>
      </w:r>
      <w:r w:rsidR="001C66F1" w:rsidRPr="00221714">
        <w:rPr>
          <w:color w:val="000000" w:themeColor="text1"/>
        </w:rPr>
        <w:t xml:space="preserve">75% and 77% </w:t>
      </w:r>
      <w:r w:rsidR="001C66F1" w:rsidRPr="004935FF">
        <w:rPr>
          <w:color w:val="000000" w:themeColor="text1"/>
        </w:rPr>
        <w:t>of the Group’s bank balance</w:t>
      </w:r>
      <w:r w:rsidR="00221714">
        <w:rPr>
          <w:color w:val="000000" w:themeColor="text1"/>
        </w:rPr>
        <w:t>s</w:t>
      </w:r>
      <w:r w:rsidR="001C66F1" w:rsidRPr="004935FF">
        <w:rPr>
          <w:color w:val="000000" w:themeColor="text1"/>
        </w:rPr>
        <w:t xml:space="preserve"> </w:t>
      </w:r>
      <w:r w:rsidR="005B1408">
        <w:rPr>
          <w:color w:val="000000" w:themeColor="text1"/>
        </w:rPr>
        <w:t xml:space="preserve">and </w:t>
      </w:r>
      <w:r w:rsidR="00D1016A" w:rsidRPr="00D1016A">
        <w:rPr>
          <w:color w:val="000000" w:themeColor="text1"/>
        </w:rPr>
        <w:t>84% and 91%</w:t>
      </w:r>
      <w:r w:rsidR="00161EFD">
        <w:rPr>
          <w:color w:val="000000" w:themeColor="text1"/>
          <w:lang w:val="en-US"/>
        </w:rPr>
        <w:t> </w:t>
      </w:r>
      <w:r w:rsidR="00D1016A" w:rsidRPr="005627FB">
        <w:rPr>
          <w:color w:val="000000" w:themeColor="text1"/>
        </w:rPr>
        <w:t>of the Group’s net assets</w:t>
      </w:r>
      <w:r w:rsidR="00D1016A" w:rsidRPr="004935FF">
        <w:rPr>
          <w:color w:val="000000" w:themeColor="text1"/>
        </w:rPr>
        <w:t xml:space="preserve"> </w:t>
      </w:r>
      <w:r w:rsidR="007034A7" w:rsidRPr="005627FB">
        <w:rPr>
          <w:color w:val="000000" w:themeColor="text1"/>
        </w:rPr>
        <w:t>as at 31 December 2012 and 31 December 2013 respectively</w:t>
      </w:r>
      <w:r w:rsidR="001C66F1" w:rsidRPr="004935FF">
        <w:rPr>
          <w:color w:val="000000" w:themeColor="text1"/>
        </w:rPr>
        <w:t>.</w:t>
      </w:r>
    </w:p>
    <w:p w14:paraId="296AB9D1" w14:textId="292CF11C" w:rsidR="001C66F1" w:rsidRPr="007034A7" w:rsidRDefault="001C66F1" w:rsidP="005C174D">
      <w:pPr>
        <w:pStyle w:val="points"/>
        <w:numPr>
          <w:ilvl w:val="0"/>
          <w:numId w:val="39"/>
        </w:numPr>
        <w:tabs>
          <w:tab w:val="clear" w:pos="1400"/>
          <w:tab w:val="clear" w:pos="1960"/>
        </w:tabs>
        <w:ind w:hanging="720"/>
        <w:rPr>
          <w:color w:val="000000" w:themeColor="text1"/>
        </w:rPr>
      </w:pPr>
      <w:r w:rsidRPr="007034A7">
        <w:rPr>
          <w:color w:val="000000" w:themeColor="text1"/>
        </w:rPr>
        <w:t xml:space="preserve">Mr Wen acknowledged that the Subsidiaries were important subsidiaries of the Group and contributed </w:t>
      </w:r>
      <w:r w:rsidR="007034A7">
        <w:rPr>
          <w:color w:val="000000" w:themeColor="text1"/>
        </w:rPr>
        <w:t xml:space="preserve">a </w:t>
      </w:r>
      <w:r w:rsidRPr="007034A7">
        <w:rPr>
          <w:color w:val="000000" w:themeColor="text1"/>
        </w:rPr>
        <w:t>substantial</w:t>
      </w:r>
      <w:r w:rsidR="007034A7">
        <w:rPr>
          <w:color w:val="000000" w:themeColor="text1"/>
        </w:rPr>
        <w:t xml:space="preserve"> part of </w:t>
      </w:r>
      <w:r w:rsidRPr="007034A7">
        <w:rPr>
          <w:color w:val="000000" w:themeColor="text1"/>
        </w:rPr>
        <w:t>its assets and financial performance.</w:t>
      </w:r>
    </w:p>
    <w:p w14:paraId="203E9872" w14:textId="7BB045EC" w:rsidR="00F3056C" w:rsidRDefault="0082154D" w:rsidP="005C174D">
      <w:pPr>
        <w:pStyle w:val="points"/>
        <w:numPr>
          <w:ilvl w:val="0"/>
          <w:numId w:val="38"/>
        </w:numPr>
        <w:tabs>
          <w:tab w:val="clear" w:pos="1400"/>
        </w:tabs>
        <w:rPr>
          <w:color w:val="000000" w:themeColor="text1"/>
        </w:rPr>
      </w:pPr>
      <w:r>
        <w:rPr>
          <w:color w:val="000000" w:themeColor="text1"/>
        </w:rPr>
        <w:lastRenderedPageBreak/>
        <w:t xml:space="preserve">Mr </w:t>
      </w:r>
      <w:r w:rsidRPr="00076A3B">
        <w:t>Wen</w:t>
      </w:r>
      <w:r>
        <w:rPr>
          <w:color w:val="000000" w:themeColor="text1"/>
        </w:rPr>
        <w:t xml:space="preserve"> admitted that he was familiar with the Group and the Subsidiaries</w:t>
      </w:r>
      <w:r w:rsidR="00AE6CFF">
        <w:rPr>
          <w:color w:val="000000" w:themeColor="text1"/>
        </w:rPr>
        <w:t xml:space="preserve">.  </w:t>
      </w:r>
      <w:r w:rsidR="00504D42">
        <w:rPr>
          <w:color w:val="000000" w:themeColor="text1"/>
        </w:rPr>
        <w:t>Other than bare denial, h</w:t>
      </w:r>
      <w:r w:rsidR="003725D9">
        <w:rPr>
          <w:color w:val="000000" w:themeColor="text1"/>
        </w:rPr>
        <w:t xml:space="preserve">e has not proffered any explanation as to how </w:t>
      </w:r>
      <w:r w:rsidR="00504D42">
        <w:rPr>
          <w:color w:val="000000" w:themeColor="text1"/>
        </w:rPr>
        <w:t xml:space="preserve">he could have overlooked the fact that </w:t>
      </w:r>
      <w:r w:rsidR="00DB23BB">
        <w:rPr>
          <w:color w:val="000000" w:themeColor="text1"/>
        </w:rPr>
        <w:t xml:space="preserve">the balances of </w:t>
      </w:r>
      <w:r w:rsidR="00DC49F9">
        <w:rPr>
          <w:color w:val="000000" w:themeColor="text1"/>
        </w:rPr>
        <w:t xml:space="preserve">the 5 Bank Accounts </w:t>
      </w:r>
      <w:r w:rsidR="00FB59E8">
        <w:rPr>
          <w:color w:val="000000" w:themeColor="text1"/>
        </w:rPr>
        <w:t xml:space="preserve">and the net assets of the Group had been overstated by </w:t>
      </w:r>
      <w:r w:rsidR="00DC49F9">
        <w:rPr>
          <w:color w:val="000000" w:themeColor="text1"/>
        </w:rPr>
        <w:t>over RMB 2 billion</w:t>
      </w:r>
      <w:r w:rsidR="00AE6CFF">
        <w:rPr>
          <w:color w:val="000000" w:themeColor="text1"/>
        </w:rPr>
        <w:t xml:space="preserve">.  </w:t>
      </w:r>
    </w:p>
    <w:p w14:paraId="0E46CFDC" w14:textId="6D487808" w:rsidR="008E3EAE" w:rsidRPr="005C6E89" w:rsidRDefault="004B3BE5" w:rsidP="005C174D">
      <w:pPr>
        <w:pStyle w:val="points"/>
        <w:numPr>
          <w:ilvl w:val="0"/>
          <w:numId w:val="38"/>
        </w:numPr>
        <w:tabs>
          <w:tab w:val="clear" w:pos="1400"/>
        </w:tabs>
        <w:rPr>
          <w:color w:val="000000" w:themeColor="text1"/>
        </w:rPr>
      </w:pPr>
      <w:r w:rsidRPr="005C6E89">
        <w:rPr>
          <w:color w:val="000000" w:themeColor="text1"/>
        </w:rPr>
        <w:t xml:space="preserve">Mr Wen </w:t>
      </w:r>
      <w:r w:rsidRPr="00076A3B">
        <w:t>stood</w:t>
      </w:r>
      <w:r w:rsidRPr="005C6E89">
        <w:rPr>
          <w:color w:val="000000" w:themeColor="text1"/>
        </w:rPr>
        <w:t xml:space="preserve"> to gain the most financially from the Schemes</w:t>
      </w:r>
      <w:r w:rsidR="00642065">
        <w:rPr>
          <w:color w:val="000000" w:themeColor="text1"/>
        </w:rPr>
        <w:t>. A</w:t>
      </w:r>
      <w:r w:rsidR="007E3328" w:rsidRPr="005C6E89">
        <w:rPr>
          <w:color w:val="000000" w:themeColor="text1"/>
        </w:rPr>
        <w:t xml:space="preserve">mongst the senior management, he was the only one who held over 50% shareholding in the Company, whereas the other EDs (including R3 and R4) or senior officers (including R5) </w:t>
      </w:r>
      <w:r w:rsidR="00BD2C5F" w:rsidRPr="005C6E89">
        <w:rPr>
          <w:color w:val="000000" w:themeColor="text1"/>
        </w:rPr>
        <w:t xml:space="preserve">only </w:t>
      </w:r>
      <w:r w:rsidR="007E3328" w:rsidRPr="005C6E89">
        <w:rPr>
          <w:color w:val="000000" w:themeColor="text1"/>
        </w:rPr>
        <w:t xml:space="preserve">held </w:t>
      </w:r>
      <w:r w:rsidR="00642065">
        <w:rPr>
          <w:color w:val="000000" w:themeColor="text1"/>
        </w:rPr>
        <w:t>im</w:t>
      </w:r>
      <w:r w:rsidR="007E3328" w:rsidRPr="005C6E89">
        <w:rPr>
          <w:color w:val="000000" w:themeColor="text1"/>
        </w:rPr>
        <w:t>material shareholding</w:t>
      </w:r>
      <w:r w:rsidR="00AE6CFF">
        <w:rPr>
          <w:color w:val="000000" w:themeColor="text1"/>
        </w:rPr>
        <w:t xml:space="preserve">.  </w:t>
      </w:r>
      <w:r w:rsidR="00F92426" w:rsidRPr="005C6E89">
        <w:rPr>
          <w:color w:val="000000" w:themeColor="text1"/>
        </w:rPr>
        <w:t>Indeed, under cross-</w:t>
      </w:r>
      <w:r w:rsidR="00363843" w:rsidRPr="005C6E89">
        <w:rPr>
          <w:color w:val="000000" w:themeColor="text1"/>
        </w:rPr>
        <w:t>examination</w:t>
      </w:r>
      <w:r w:rsidR="00F92426" w:rsidRPr="005C6E89">
        <w:rPr>
          <w:color w:val="000000" w:themeColor="text1"/>
        </w:rPr>
        <w:t xml:space="preserve">, Mr Wen accepted that if the share price of the Company increased, the value of his shareholding would also increase. </w:t>
      </w:r>
    </w:p>
    <w:p w14:paraId="14F239C6" w14:textId="237AA032" w:rsidR="0045390D" w:rsidRDefault="00310CFD" w:rsidP="000C5102">
      <w:pPr>
        <w:pStyle w:val="Final"/>
        <w:numPr>
          <w:ilvl w:val="0"/>
          <w:numId w:val="2"/>
        </w:numPr>
        <w:tabs>
          <w:tab w:val="clear" w:pos="720"/>
          <w:tab w:val="num" w:pos="0"/>
        </w:tabs>
        <w:ind w:left="0" w:firstLine="0"/>
        <w:rPr>
          <w:color w:val="000000" w:themeColor="text1"/>
        </w:rPr>
      </w:pPr>
      <w:r>
        <w:rPr>
          <w:color w:val="000000" w:themeColor="text1"/>
        </w:rPr>
        <w:t>For the reasons</w:t>
      </w:r>
      <w:r w:rsidR="001D20D0">
        <w:rPr>
          <w:color w:val="000000" w:themeColor="text1"/>
        </w:rPr>
        <w:t xml:space="preserve"> explained above</w:t>
      </w:r>
      <w:r>
        <w:rPr>
          <w:color w:val="000000" w:themeColor="text1"/>
        </w:rPr>
        <w:t xml:space="preserve">, there is </w:t>
      </w:r>
      <w:r w:rsidR="00EF036E">
        <w:rPr>
          <w:color w:val="000000" w:themeColor="text1"/>
        </w:rPr>
        <w:t xml:space="preserve">compelling </w:t>
      </w:r>
      <w:r>
        <w:rPr>
          <w:color w:val="000000" w:themeColor="text1"/>
        </w:rPr>
        <w:t>evidence to prove that Mr Wen knowingly caused, directed and orchestrated the Falsification Scheme and the Fabrication Scheme</w:t>
      </w:r>
      <w:r w:rsidR="00AE6CFF">
        <w:rPr>
          <w:color w:val="000000" w:themeColor="text1"/>
        </w:rPr>
        <w:t xml:space="preserve">.  </w:t>
      </w:r>
    </w:p>
    <w:p w14:paraId="6F794AB5" w14:textId="1856EA82" w:rsidR="00B27C40" w:rsidRPr="00B57E31" w:rsidRDefault="00B27C40" w:rsidP="009E6012">
      <w:pPr>
        <w:pStyle w:val="H-1"/>
        <w:tabs>
          <w:tab w:val="clear" w:pos="1080"/>
          <w:tab w:val="left" w:pos="720"/>
        </w:tabs>
      </w:pPr>
      <w:r w:rsidRPr="00B57E31">
        <w:t>D3.</w:t>
      </w:r>
      <w:r w:rsidRPr="00B57E31">
        <w:tab/>
      </w:r>
      <w:r w:rsidR="00B37193" w:rsidRPr="00B57E31">
        <w:t>3</w:t>
      </w:r>
      <w:r w:rsidR="00B37193" w:rsidRPr="00B57E31">
        <w:rPr>
          <w:vertAlign w:val="superscript"/>
        </w:rPr>
        <w:t>rd</w:t>
      </w:r>
      <w:r w:rsidR="00B37193" w:rsidRPr="00B57E31">
        <w:t xml:space="preserve"> Issue: whether Mr Wen took a blind eye to the Schemes </w:t>
      </w:r>
    </w:p>
    <w:p w14:paraId="2A000255" w14:textId="71041352" w:rsidR="00866DF5" w:rsidRPr="00866DF5" w:rsidRDefault="008030A1" w:rsidP="00265192">
      <w:pPr>
        <w:pStyle w:val="Final"/>
        <w:numPr>
          <w:ilvl w:val="0"/>
          <w:numId w:val="2"/>
        </w:numPr>
        <w:tabs>
          <w:tab w:val="clear" w:pos="720"/>
          <w:tab w:val="num" w:pos="0"/>
        </w:tabs>
        <w:ind w:left="0" w:firstLine="0"/>
        <w:rPr>
          <w:color w:val="000000" w:themeColor="text1"/>
        </w:rPr>
      </w:pPr>
      <w:r>
        <w:rPr>
          <w:color w:val="000000" w:themeColor="text1"/>
        </w:rPr>
        <w:t>The SFC puts this as an alternative case against Mr Wen</w:t>
      </w:r>
      <w:r w:rsidR="00523A41">
        <w:rPr>
          <w:color w:val="000000" w:themeColor="text1"/>
        </w:rPr>
        <w:t xml:space="preserve">, presumably on the assumption that taking a </w:t>
      </w:r>
      <w:r w:rsidR="000B46E4">
        <w:rPr>
          <w:color w:val="000000" w:themeColor="text1"/>
        </w:rPr>
        <w:t>“</w:t>
      </w:r>
      <w:r w:rsidR="00523A41">
        <w:rPr>
          <w:color w:val="000000" w:themeColor="text1"/>
        </w:rPr>
        <w:t>blind eye</w:t>
      </w:r>
      <w:r w:rsidR="000B46E4">
        <w:rPr>
          <w:color w:val="000000" w:themeColor="text1"/>
        </w:rPr>
        <w:t>”</w:t>
      </w:r>
      <w:r w:rsidR="00523A41">
        <w:rPr>
          <w:color w:val="000000" w:themeColor="text1"/>
        </w:rPr>
        <w:t xml:space="preserve"> to the Schemes </w:t>
      </w:r>
      <w:r w:rsidR="000B46E4">
        <w:rPr>
          <w:color w:val="000000" w:themeColor="text1"/>
        </w:rPr>
        <w:t xml:space="preserve">is not </w:t>
      </w:r>
      <w:r w:rsidR="00B56EEC">
        <w:rPr>
          <w:color w:val="000000" w:themeColor="text1"/>
        </w:rPr>
        <w:t xml:space="preserve">or cannot be equated with </w:t>
      </w:r>
      <w:r w:rsidR="000B46E4">
        <w:rPr>
          <w:color w:val="000000" w:themeColor="text1"/>
        </w:rPr>
        <w:t>dishonest</w:t>
      </w:r>
      <w:r w:rsidR="00B56EEC">
        <w:rPr>
          <w:color w:val="000000" w:themeColor="text1"/>
        </w:rPr>
        <w:t>y</w:t>
      </w:r>
      <w:r w:rsidR="00AE6CFF">
        <w:rPr>
          <w:color w:val="000000" w:themeColor="text1"/>
        </w:rPr>
        <w:t xml:space="preserve">.  </w:t>
      </w:r>
      <w:r w:rsidR="00F83B29">
        <w:rPr>
          <w:color w:val="000000" w:themeColor="text1"/>
        </w:rPr>
        <w:t>T</w:t>
      </w:r>
      <w:r w:rsidR="000B46E4">
        <w:rPr>
          <w:color w:val="000000" w:themeColor="text1"/>
        </w:rPr>
        <w:t>he assumption goes against th</w:t>
      </w:r>
      <w:r w:rsidR="00B64917">
        <w:rPr>
          <w:color w:val="000000" w:themeColor="text1"/>
        </w:rPr>
        <w:t xml:space="preserve">e </w:t>
      </w:r>
      <w:r w:rsidR="000B46E4">
        <w:rPr>
          <w:color w:val="000000" w:themeColor="text1"/>
        </w:rPr>
        <w:t xml:space="preserve">authorities where the courts explained </w:t>
      </w:r>
      <w:r w:rsidR="00E839C8">
        <w:rPr>
          <w:color w:val="000000" w:themeColor="text1"/>
        </w:rPr>
        <w:t xml:space="preserve">that </w:t>
      </w:r>
      <w:r w:rsidR="00B01F13">
        <w:rPr>
          <w:color w:val="000000" w:themeColor="text1"/>
        </w:rPr>
        <w:t xml:space="preserve">a person deliberately closing one’s eyes and ears </w:t>
      </w:r>
      <w:r w:rsidR="003B60AA">
        <w:rPr>
          <w:color w:val="000000" w:themeColor="text1"/>
        </w:rPr>
        <w:t>and not ask</w:t>
      </w:r>
      <w:r w:rsidR="00916512">
        <w:rPr>
          <w:color w:val="000000" w:themeColor="text1"/>
        </w:rPr>
        <w:t>ing</w:t>
      </w:r>
      <w:r w:rsidR="003B60AA">
        <w:rPr>
          <w:color w:val="000000" w:themeColor="text1"/>
        </w:rPr>
        <w:t xml:space="preserve"> questions </w:t>
      </w:r>
      <w:r w:rsidR="003651BD">
        <w:rPr>
          <w:color w:val="000000" w:themeColor="text1"/>
        </w:rPr>
        <w:t xml:space="preserve">of the fraud </w:t>
      </w:r>
      <w:r w:rsidR="00916512">
        <w:rPr>
          <w:color w:val="000000" w:themeColor="text1"/>
        </w:rPr>
        <w:t xml:space="preserve">to avoid confirmation of the facts in whose existence there is a good reason to believe </w:t>
      </w:r>
      <w:r w:rsidR="00F83B29">
        <w:rPr>
          <w:color w:val="000000" w:themeColor="text1"/>
        </w:rPr>
        <w:t xml:space="preserve">is as dishonest as a person having actual knowledge </w:t>
      </w:r>
      <w:r w:rsidR="00866DF5">
        <w:rPr>
          <w:color w:val="000000" w:themeColor="text1"/>
        </w:rPr>
        <w:t xml:space="preserve">(see </w:t>
      </w:r>
      <w:r w:rsidR="00916512">
        <w:rPr>
          <w:i/>
        </w:rPr>
        <w:t>Royal Brunei Airlines v</w:t>
      </w:r>
      <w:r w:rsidR="00AE6CFF">
        <w:rPr>
          <w:rFonts w:hint="eastAsia"/>
          <w:i/>
        </w:rPr>
        <w:t xml:space="preserve"> </w:t>
      </w:r>
      <w:r w:rsidR="00916512">
        <w:rPr>
          <w:i/>
        </w:rPr>
        <w:t>Tan</w:t>
      </w:r>
      <w:r w:rsidR="00916512">
        <w:t xml:space="preserve"> [1995] 2 AC 378, at 389-391,</w:t>
      </w:r>
      <w:r w:rsidR="00866DF5">
        <w:rPr>
          <w:szCs w:val="19"/>
        </w:rPr>
        <w:t xml:space="preserve"> per Lord Nicholls; </w:t>
      </w:r>
      <w:proofErr w:type="spellStart"/>
      <w:r w:rsidR="00866DF5" w:rsidRPr="00C6285C">
        <w:rPr>
          <w:i/>
          <w:iCs/>
          <w:szCs w:val="19"/>
        </w:rPr>
        <w:lastRenderedPageBreak/>
        <w:t>Grupo</w:t>
      </w:r>
      <w:proofErr w:type="spellEnd"/>
      <w:r w:rsidR="00866DF5" w:rsidRPr="00C6285C">
        <w:rPr>
          <w:i/>
          <w:iCs/>
          <w:szCs w:val="19"/>
        </w:rPr>
        <w:t xml:space="preserve"> </w:t>
      </w:r>
      <w:proofErr w:type="spellStart"/>
      <w:r w:rsidR="00866DF5" w:rsidRPr="00C6285C">
        <w:rPr>
          <w:i/>
          <w:iCs/>
          <w:szCs w:val="19"/>
        </w:rPr>
        <w:t>Torras</w:t>
      </w:r>
      <w:proofErr w:type="spellEnd"/>
      <w:r w:rsidR="00866DF5" w:rsidRPr="00C6285C">
        <w:rPr>
          <w:i/>
          <w:iCs/>
          <w:szCs w:val="19"/>
        </w:rPr>
        <w:t xml:space="preserve"> v Al-Sabah </w:t>
      </w:r>
      <w:r w:rsidR="00866DF5">
        <w:rPr>
          <w:szCs w:val="19"/>
        </w:rPr>
        <w:t xml:space="preserve">[2001] LI Rep PN 117; </w:t>
      </w:r>
      <w:proofErr w:type="spellStart"/>
      <w:r w:rsidR="007F2E9E">
        <w:rPr>
          <w:i/>
          <w:iCs/>
        </w:rPr>
        <w:t>Twinsectra</w:t>
      </w:r>
      <w:proofErr w:type="spellEnd"/>
      <w:r w:rsidR="007F2E9E">
        <w:rPr>
          <w:i/>
          <w:iCs/>
        </w:rPr>
        <w:t xml:space="preserve"> Ltd v</w:t>
      </w:r>
      <w:r w:rsidR="00AE6CFF">
        <w:rPr>
          <w:rFonts w:hint="eastAsia"/>
          <w:i/>
          <w:iCs/>
        </w:rPr>
        <w:t xml:space="preserve"> </w:t>
      </w:r>
      <w:r w:rsidR="007F2E9E">
        <w:rPr>
          <w:i/>
          <w:iCs/>
        </w:rPr>
        <w:t xml:space="preserve">Yardley &amp; </w:t>
      </w:r>
      <w:proofErr w:type="spellStart"/>
      <w:r w:rsidR="007F2E9E">
        <w:rPr>
          <w:i/>
          <w:iCs/>
        </w:rPr>
        <w:t>ors</w:t>
      </w:r>
      <w:proofErr w:type="spellEnd"/>
      <w:r w:rsidR="007F2E9E">
        <w:rPr>
          <w:i/>
          <w:iCs/>
        </w:rPr>
        <w:t xml:space="preserve"> </w:t>
      </w:r>
      <w:r w:rsidR="007F2E9E">
        <w:t>[2002] AC 164, at 195</w:t>
      </w:r>
      <w:r w:rsidR="00866DF5">
        <w:rPr>
          <w:szCs w:val="19"/>
        </w:rPr>
        <w:t xml:space="preserve">, per Lord Millett; </w:t>
      </w:r>
      <w:r w:rsidR="00750BC5">
        <w:rPr>
          <w:i/>
        </w:rPr>
        <w:t>Manifest Shipping Co Ltd v</w:t>
      </w:r>
      <w:r w:rsidR="00AE6CFF">
        <w:rPr>
          <w:rFonts w:hint="eastAsia"/>
          <w:i/>
        </w:rPr>
        <w:t xml:space="preserve"> </w:t>
      </w:r>
      <w:r w:rsidR="00750BC5">
        <w:rPr>
          <w:i/>
        </w:rPr>
        <w:t xml:space="preserve">Uni-Polaris Insurance Co Ltd </w:t>
      </w:r>
      <w:r w:rsidR="00750BC5">
        <w:t xml:space="preserve">[2003] 1 AC 469, at §116, per Lord Scott; </w:t>
      </w:r>
      <w:r w:rsidR="00916512">
        <w:rPr>
          <w:i/>
        </w:rPr>
        <w:t xml:space="preserve">Barlow Clowes International Ltd (in liquidation) v </w:t>
      </w:r>
      <w:proofErr w:type="spellStart"/>
      <w:r w:rsidR="00916512">
        <w:rPr>
          <w:i/>
        </w:rPr>
        <w:t>Eurotrust</w:t>
      </w:r>
      <w:proofErr w:type="spellEnd"/>
      <w:r w:rsidR="00916512">
        <w:rPr>
          <w:i/>
        </w:rPr>
        <w:t xml:space="preserve"> International Ltd</w:t>
      </w:r>
      <w:r w:rsidR="00916512">
        <w:t xml:space="preserve"> [2006] 1 All ER 333, </w:t>
      </w:r>
      <w:r w:rsidR="00866DF5">
        <w:rPr>
          <w:szCs w:val="19"/>
        </w:rPr>
        <w:t>§§10-12, per Lord Hoffmann)</w:t>
      </w:r>
      <w:r w:rsidR="00AE6CFF">
        <w:rPr>
          <w:szCs w:val="19"/>
        </w:rPr>
        <w:t xml:space="preserve">.  </w:t>
      </w:r>
    </w:p>
    <w:p w14:paraId="05F00BAB" w14:textId="397EAF6A" w:rsidR="00B56EEC" w:rsidRDefault="00B56EEC" w:rsidP="00265192">
      <w:pPr>
        <w:pStyle w:val="Final"/>
        <w:numPr>
          <w:ilvl w:val="0"/>
          <w:numId w:val="2"/>
        </w:numPr>
        <w:tabs>
          <w:tab w:val="clear" w:pos="720"/>
          <w:tab w:val="num" w:pos="0"/>
        </w:tabs>
        <w:ind w:left="0" w:firstLine="0"/>
        <w:rPr>
          <w:color w:val="000000" w:themeColor="text1"/>
        </w:rPr>
      </w:pPr>
      <w:r>
        <w:rPr>
          <w:color w:val="000000" w:themeColor="text1"/>
        </w:rPr>
        <w:t xml:space="preserve">In light of the findings under </w:t>
      </w:r>
      <w:r w:rsidRPr="00CA4802">
        <w:rPr>
          <w:color w:val="000000" w:themeColor="text1"/>
          <w:u w:val="single"/>
        </w:rPr>
        <w:t>section D2</w:t>
      </w:r>
      <w:r>
        <w:rPr>
          <w:color w:val="000000" w:themeColor="text1"/>
        </w:rPr>
        <w:t xml:space="preserve"> above, it is unnecessary to </w:t>
      </w:r>
      <w:r w:rsidR="00476545">
        <w:rPr>
          <w:color w:val="000000" w:themeColor="text1"/>
        </w:rPr>
        <w:t>consider whether Mr Wen took a blind eye to the Schemes.</w:t>
      </w:r>
    </w:p>
    <w:p w14:paraId="6210D1FD" w14:textId="214706BB" w:rsidR="00F33379" w:rsidRPr="00845E3D" w:rsidRDefault="00F33379" w:rsidP="00486E85">
      <w:pPr>
        <w:pStyle w:val="H-1"/>
        <w:tabs>
          <w:tab w:val="clear" w:pos="1080"/>
          <w:tab w:val="clear" w:pos="3946"/>
          <w:tab w:val="left" w:pos="720"/>
          <w:tab w:val="center" w:pos="851"/>
        </w:tabs>
        <w:ind w:left="709" w:hanging="709"/>
      </w:pPr>
      <w:r w:rsidRPr="00845E3D">
        <w:t>D4</w:t>
      </w:r>
      <w:r w:rsidR="00486E85">
        <w:t>.</w:t>
      </w:r>
      <w:r w:rsidR="004E0B8D">
        <w:tab/>
      </w:r>
      <w:r w:rsidR="00AA0AB7">
        <w:tab/>
      </w:r>
      <w:r w:rsidRPr="00845E3D">
        <w:t>4</w:t>
      </w:r>
      <w:r w:rsidRPr="00845E3D">
        <w:rPr>
          <w:vertAlign w:val="superscript"/>
        </w:rPr>
        <w:t>th</w:t>
      </w:r>
      <w:r w:rsidRPr="00845E3D">
        <w:t xml:space="preserve"> Issue: </w:t>
      </w:r>
      <w:r w:rsidR="00845E3D">
        <w:t>whether Mr Wen acted negligently in allowing the Schemes to be perpetrated</w:t>
      </w:r>
    </w:p>
    <w:p w14:paraId="2FE4B19C" w14:textId="41103E6E" w:rsidR="00582B54" w:rsidRDefault="00D960D3" w:rsidP="00265192">
      <w:pPr>
        <w:pStyle w:val="Final"/>
        <w:numPr>
          <w:ilvl w:val="0"/>
          <w:numId w:val="2"/>
        </w:numPr>
        <w:tabs>
          <w:tab w:val="clear" w:pos="720"/>
          <w:tab w:val="num" w:pos="0"/>
        </w:tabs>
        <w:ind w:left="0" w:firstLine="0"/>
        <w:rPr>
          <w:color w:val="000000" w:themeColor="text1"/>
        </w:rPr>
      </w:pPr>
      <w:r>
        <w:rPr>
          <w:color w:val="000000" w:themeColor="text1"/>
        </w:rPr>
        <w:t xml:space="preserve">This is </w:t>
      </w:r>
      <w:r w:rsidR="00A225FB">
        <w:rPr>
          <w:color w:val="000000" w:themeColor="text1"/>
        </w:rPr>
        <w:t xml:space="preserve">the </w:t>
      </w:r>
      <w:r>
        <w:rPr>
          <w:color w:val="000000" w:themeColor="text1"/>
        </w:rPr>
        <w:t xml:space="preserve">other alternative case made by </w:t>
      </w:r>
      <w:r w:rsidR="00A81C6A">
        <w:rPr>
          <w:color w:val="000000" w:themeColor="text1"/>
        </w:rPr>
        <w:t xml:space="preserve">the SFC against </w:t>
      </w:r>
      <w:r>
        <w:rPr>
          <w:color w:val="000000" w:themeColor="text1"/>
        </w:rPr>
        <w:t>Mr Wen</w:t>
      </w:r>
      <w:r w:rsidR="00AE6CFF">
        <w:rPr>
          <w:color w:val="000000" w:themeColor="text1"/>
        </w:rPr>
        <w:t xml:space="preserve">.  </w:t>
      </w:r>
      <w:r w:rsidR="0009542C">
        <w:rPr>
          <w:color w:val="000000" w:themeColor="text1"/>
        </w:rPr>
        <w:t xml:space="preserve"> </w:t>
      </w:r>
    </w:p>
    <w:p w14:paraId="31DA32D7" w14:textId="4282C599" w:rsidR="003907B3" w:rsidRDefault="00974F74" w:rsidP="00265192">
      <w:pPr>
        <w:pStyle w:val="Final"/>
        <w:numPr>
          <w:ilvl w:val="0"/>
          <w:numId w:val="2"/>
        </w:numPr>
        <w:tabs>
          <w:tab w:val="clear" w:pos="720"/>
          <w:tab w:val="num" w:pos="0"/>
        </w:tabs>
        <w:ind w:left="0" w:firstLine="0"/>
        <w:rPr>
          <w:color w:val="000000" w:themeColor="text1"/>
        </w:rPr>
      </w:pPr>
      <w:r>
        <w:rPr>
          <w:color w:val="000000" w:themeColor="text1"/>
        </w:rPr>
        <w:t>I</w:t>
      </w:r>
      <w:r w:rsidR="00F53318">
        <w:rPr>
          <w:color w:val="000000" w:themeColor="text1"/>
        </w:rPr>
        <w:t xml:space="preserve">f, contrary to </w:t>
      </w:r>
      <w:r w:rsidR="009A663F">
        <w:rPr>
          <w:color w:val="000000" w:themeColor="text1"/>
        </w:rPr>
        <w:t xml:space="preserve">the above findings, </w:t>
      </w:r>
      <w:r w:rsidR="00F53318">
        <w:rPr>
          <w:color w:val="000000" w:themeColor="text1"/>
        </w:rPr>
        <w:t xml:space="preserve">Mr Wen had no knowledge or involvement in </w:t>
      </w:r>
      <w:r w:rsidR="00385C88">
        <w:rPr>
          <w:color w:val="000000" w:themeColor="text1"/>
        </w:rPr>
        <w:t>the Schemes</w:t>
      </w:r>
      <w:r w:rsidR="00D03899">
        <w:rPr>
          <w:color w:val="000000" w:themeColor="text1"/>
        </w:rPr>
        <w:t xml:space="preserve">, </w:t>
      </w:r>
      <w:r w:rsidR="00C50CD5">
        <w:rPr>
          <w:color w:val="000000" w:themeColor="text1"/>
        </w:rPr>
        <w:t xml:space="preserve">it is necessary to consider whether </w:t>
      </w:r>
      <w:r w:rsidR="00D03899">
        <w:rPr>
          <w:color w:val="000000" w:themeColor="text1"/>
        </w:rPr>
        <w:t xml:space="preserve">he acted in breach of his duty </w:t>
      </w:r>
      <w:r w:rsidR="0090157C">
        <w:rPr>
          <w:color w:val="000000" w:themeColor="text1"/>
        </w:rPr>
        <w:t xml:space="preserve">to exercise proper skill, </w:t>
      </w:r>
      <w:r w:rsidR="00D03899">
        <w:rPr>
          <w:color w:val="000000" w:themeColor="text1"/>
        </w:rPr>
        <w:t xml:space="preserve">care and diligence </w:t>
      </w:r>
      <w:r w:rsidR="0090157C">
        <w:rPr>
          <w:color w:val="000000" w:themeColor="text1"/>
        </w:rPr>
        <w:t xml:space="preserve">as </w:t>
      </w:r>
      <w:r w:rsidR="00110BF0">
        <w:rPr>
          <w:color w:val="000000" w:themeColor="text1"/>
        </w:rPr>
        <w:t xml:space="preserve">an </w:t>
      </w:r>
      <w:r w:rsidR="0090157C">
        <w:rPr>
          <w:color w:val="000000" w:themeColor="text1"/>
        </w:rPr>
        <w:t xml:space="preserve">ED of </w:t>
      </w:r>
      <w:r w:rsidR="00D62837">
        <w:rPr>
          <w:color w:val="000000" w:themeColor="text1"/>
        </w:rPr>
        <w:t>the Company</w:t>
      </w:r>
      <w:r w:rsidR="00AE6CFF">
        <w:rPr>
          <w:color w:val="000000" w:themeColor="text1"/>
        </w:rPr>
        <w:t xml:space="preserve">.  </w:t>
      </w:r>
    </w:p>
    <w:p w14:paraId="153ADFBF" w14:textId="32F7CE7C" w:rsidR="0098787A" w:rsidRDefault="003907B3" w:rsidP="00265192">
      <w:pPr>
        <w:pStyle w:val="Final"/>
        <w:numPr>
          <w:ilvl w:val="0"/>
          <w:numId w:val="2"/>
        </w:numPr>
        <w:tabs>
          <w:tab w:val="clear" w:pos="720"/>
          <w:tab w:val="num" w:pos="0"/>
        </w:tabs>
        <w:ind w:left="0" w:firstLine="0"/>
        <w:rPr>
          <w:color w:val="000000" w:themeColor="text1"/>
        </w:rPr>
      </w:pPr>
      <w:r>
        <w:rPr>
          <w:color w:val="000000" w:themeColor="text1"/>
        </w:rPr>
        <w:t>Although Mr Wen ma</w:t>
      </w:r>
      <w:r w:rsidR="0031118C">
        <w:rPr>
          <w:color w:val="000000" w:themeColor="text1"/>
        </w:rPr>
        <w:t>d</w:t>
      </w:r>
      <w:r>
        <w:rPr>
          <w:color w:val="000000" w:themeColor="text1"/>
        </w:rPr>
        <w:t xml:space="preserve">e no admission on the breach of duty of care, skill and diligence </w:t>
      </w:r>
      <w:r w:rsidR="008A7031">
        <w:rPr>
          <w:color w:val="000000" w:themeColor="text1"/>
        </w:rPr>
        <w:t xml:space="preserve">as alleged in the Petition, </w:t>
      </w:r>
      <w:r w:rsidR="0031118C">
        <w:rPr>
          <w:color w:val="000000" w:themeColor="text1"/>
        </w:rPr>
        <w:t xml:space="preserve">it is clear from his oral evidence that he </w:t>
      </w:r>
      <w:r w:rsidR="003A4CCD">
        <w:rPr>
          <w:color w:val="000000" w:themeColor="text1"/>
        </w:rPr>
        <w:t>d</w:t>
      </w:r>
      <w:r w:rsidR="00F83B29">
        <w:rPr>
          <w:color w:val="000000" w:themeColor="text1"/>
        </w:rPr>
        <w:t xml:space="preserve">id </w:t>
      </w:r>
      <w:r w:rsidR="003A4CCD" w:rsidRPr="00F72664">
        <w:rPr>
          <w:i/>
          <w:iCs/>
          <w:color w:val="000000" w:themeColor="text1"/>
        </w:rPr>
        <w:t>not</w:t>
      </w:r>
      <w:r w:rsidR="003A4CCD">
        <w:rPr>
          <w:color w:val="000000" w:themeColor="text1"/>
        </w:rPr>
        <w:t xml:space="preserve"> </w:t>
      </w:r>
      <w:r w:rsidR="00C36E5A">
        <w:rPr>
          <w:color w:val="000000" w:themeColor="text1"/>
        </w:rPr>
        <w:t xml:space="preserve">take issue with the </w:t>
      </w:r>
      <w:r w:rsidR="0031118C">
        <w:rPr>
          <w:color w:val="000000" w:themeColor="text1"/>
        </w:rPr>
        <w:t xml:space="preserve">SFC’s case </w:t>
      </w:r>
      <w:r w:rsidR="00E03415">
        <w:rPr>
          <w:color w:val="000000" w:themeColor="text1"/>
        </w:rPr>
        <w:t>on negligence as pleaded in the Pet</w:t>
      </w:r>
      <w:r w:rsidR="0031118C">
        <w:rPr>
          <w:color w:val="000000" w:themeColor="text1"/>
        </w:rPr>
        <w:t>ition</w:t>
      </w:r>
      <w:r w:rsidR="00E03415">
        <w:rPr>
          <w:rStyle w:val="FootnoteReference"/>
          <w:color w:val="000000" w:themeColor="text1"/>
        </w:rPr>
        <w:footnoteReference w:id="45"/>
      </w:r>
      <w:r w:rsidR="00AE6CFF">
        <w:rPr>
          <w:color w:val="000000" w:themeColor="text1"/>
        </w:rPr>
        <w:t xml:space="preserve">.  </w:t>
      </w:r>
      <w:r w:rsidR="00825C26">
        <w:rPr>
          <w:color w:val="000000" w:themeColor="text1"/>
        </w:rPr>
        <w:t xml:space="preserve">This is reinforced by the fact that </w:t>
      </w:r>
      <w:r w:rsidR="005626AB">
        <w:rPr>
          <w:color w:val="000000" w:themeColor="text1"/>
        </w:rPr>
        <w:t>Ms Liao d</w:t>
      </w:r>
      <w:r w:rsidR="00F83B29">
        <w:rPr>
          <w:color w:val="000000" w:themeColor="text1"/>
        </w:rPr>
        <w:t>id</w:t>
      </w:r>
      <w:r w:rsidR="005626AB">
        <w:rPr>
          <w:color w:val="000000" w:themeColor="text1"/>
        </w:rPr>
        <w:t xml:space="preserve"> not make any submissions i</w:t>
      </w:r>
      <w:r w:rsidR="00993B4F">
        <w:rPr>
          <w:color w:val="000000" w:themeColor="text1"/>
        </w:rPr>
        <w:t>n respect of the SFC’s case on negligence</w:t>
      </w:r>
      <w:r w:rsidR="00AE6CFF">
        <w:rPr>
          <w:color w:val="000000" w:themeColor="text1"/>
        </w:rPr>
        <w:t xml:space="preserve">.  </w:t>
      </w:r>
    </w:p>
    <w:p w14:paraId="494C967B" w14:textId="129D516B" w:rsidR="00B82FB6" w:rsidRDefault="00B82FB6" w:rsidP="00265192">
      <w:pPr>
        <w:pStyle w:val="Final"/>
        <w:numPr>
          <w:ilvl w:val="0"/>
          <w:numId w:val="2"/>
        </w:numPr>
        <w:tabs>
          <w:tab w:val="clear" w:pos="720"/>
          <w:tab w:val="num" w:pos="0"/>
        </w:tabs>
        <w:ind w:left="0" w:firstLine="0"/>
        <w:rPr>
          <w:color w:val="000000" w:themeColor="text1"/>
        </w:rPr>
      </w:pPr>
      <w:r>
        <w:rPr>
          <w:color w:val="000000" w:themeColor="text1"/>
        </w:rPr>
        <w:t>The principles are not in dispute</w:t>
      </w:r>
      <w:r w:rsidR="00AE6CFF">
        <w:rPr>
          <w:color w:val="000000" w:themeColor="text1"/>
        </w:rPr>
        <w:t xml:space="preserve">.  </w:t>
      </w:r>
      <w:r w:rsidR="00451BD0">
        <w:rPr>
          <w:color w:val="000000" w:themeColor="text1"/>
        </w:rPr>
        <w:t xml:space="preserve">As Mr </w:t>
      </w:r>
      <w:proofErr w:type="spellStart"/>
      <w:r w:rsidR="00451BD0">
        <w:rPr>
          <w:color w:val="000000" w:themeColor="text1"/>
        </w:rPr>
        <w:t>Suen</w:t>
      </w:r>
      <w:proofErr w:type="spellEnd"/>
      <w:r w:rsidR="00451BD0">
        <w:rPr>
          <w:color w:val="000000" w:themeColor="text1"/>
        </w:rPr>
        <w:t xml:space="preserve"> submit</w:t>
      </w:r>
      <w:r w:rsidR="00F83B29">
        <w:rPr>
          <w:color w:val="000000" w:themeColor="text1"/>
        </w:rPr>
        <w:t>ted</w:t>
      </w:r>
      <w:r>
        <w:rPr>
          <w:color w:val="000000" w:themeColor="text1"/>
        </w:rPr>
        <w:t>:</w:t>
      </w:r>
    </w:p>
    <w:p w14:paraId="302B97D9" w14:textId="05F936A6" w:rsidR="00B82FB6" w:rsidRDefault="00A0547F" w:rsidP="005C174D">
      <w:pPr>
        <w:pStyle w:val="points"/>
        <w:numPr>
          <w:ilvl w:val="0"/>
          <w:numId w:val="40"/>
        </w:numPr>
        <w:tabs>
          <w:tab w:val="clear" w:pos="1400"/>
        </w:tabs>
      </w:pPr>
      <w:r>
        <w:lastRenderedPageBreak/>
        <w:t>A</w:t>
      </w:r>
      <w:r w:rsidR="00451BD0">
        <w:t xml:space="preserve"> director owes a duty to exercise such care, skill and diligence as would be exercised by a reasonably diligent person </w:t>
      </w:r>
      <w:r w:rsidR="00451BD0" w:rsidRPr="008B074D">
        <w:t xml:space="preserve">with the general knowledge, skill and experience that may reasonably be expected of a person carrying out the functions </w:t>
      </w:r>
      <w:r w:rsidR="00AB7EEA">
        <w:t xml:space="preserve">of a </w:t>
      </w:r>
      <w:r w:rsidR="00451BD0" w:rsidRPr="008B074D">
        <w:t>director in relation to the company and the general knowledge, skill and experience that the director has</w:t>
      </w:r>
      <w:r w:rsidR="00451BD0">
        <w:t>.</w:t>
      </w:r>
      <w:r w:rsidR="00451BD0">
        <w:rPr>
          <w:rStyle w:val="FootnoteReference"/>
          <w:color w:val="000000" w:themeColor="text1"/>
        </w:rPr>
        <w:footnoteReference w:id="46"/>
      </w:r>
      <w:r w:rsidR="00451BD0">
        <w:t xml:space="preserve"> </w:t>
      </w:r>
      <w:r w:rsidR="00251C56">
        <w:t xml:space="preserve"> </w:t>
      </w:r>
      <w:r w:rsidR="00DB0089">
        <w:t xml:space="preserve">Such </w:t>
      </w:r>
      <w:r w:rsidR="009F6499">
        <w:t xml:space="preserve">duty </w:t>
      </w:r>
      <w:r>
        <w:t xml:space="preserve">can be found in </w:t>
      </w:r>
      <w:r w:rsidR="009F6499">
        <w:t xml:space="preserve">common law </w:t>
      </w:r>
      <w:r w:rsidR="00CE73B3">
        <w:t>(</w:t>
      </w:r>
      <w:r w:rsidR="00451BD0" w:rsidRPr="0076596B">
        <w:rPr>
          <w:i/>
          <w:iCs/>
        </w:rPr>
        <w:t>Re Long Success</w:t>
      </w:r>
      <w:r w:rsidR="00BC2A4D">
        <w:rPr>
          <w:i/>
          <w:iCs/>
        </w:rPr>
        <w:t xml:space="preserve"> International (Holdings) Ltd</w:t>
      </w:r>
      <w:r w:rsidR="00D10E32">
        <w:rPr>
          <w:i/>
          <w:iCs/>
        </w:rPr>
        <w:t>,</w:t>
      </w:r>
      <w:r w:rsidR="00451BD0">
        <w:rPr>
          <w:b/>
          <w:bCs/>
        </w:rPr>
        <w:t xml:space="preserve"> </w:t>
      </w:r>
      <w:r w:rsidR="00451BD0">
        <w:t>§31</w:t>
      </w:r>
      <w:r w:rsidR="00BC2A4D">
        <w:t>, per Coleman J</w:t>
      </w:r>
      <w:r w:rsidR="00451BD0">
        <w:t xml:space="preserve">; </w:t>
      </w:r>
      <w:r w:rsidR="00451BD0" w:rsidRPr="0076596B">
        <w:rPr>
          <w:i/>
          <w:iCs/>
        </w:rPr>
        <w:t xml:space="preserve">Re </w:t>
      </w:r>
      <w:proofErr w:type="spellStart"/>
      <w:r w:rsidR="00451BD0" w:rsidRPr="0076596B">
        <w:rPr>
          <w:i/>
          <w:iCs/>
        </w:rPr>
        <w:t>D</w:t>
      </w:r>
      <w:r w:rsidR="00BD7818">
        <w:rPr>
          <w:i/>
          <w:iCs/>
        </w:rPr>
        <w:t>’</w:t>
      </w:r>
      <w:r w:rsidR="00451BD0" w:rsidRPr="0076596B">
        <w:rPr>
          <w:i/>
          <w:iCs/>
        </w:rPr>
        <w:t>Jan</w:t>
      </w:r>
      <w:proofErr w:type="spellEnd"/>
      <w:r w:rsidR="00451BD0" w:rsidRPr="0076596B">
        <w:rPr>
          <w:i/>
          <w:iCs/>
        </w:rPr>
        <w:t xml:space="preserve"> of London Ltd</w:t>
      </w:r>
      <w:r w:rsidR="00451BD0" w:rsidRPr="008B074D">
        <w:t xml:space="preserve"> [1993] BCC 646 at 648 per Hoffmann LJ (as he then was)</w:t>
      </w:r>
      <w:r w:rsidR="00245F50" w:rsidRPr="00245F50">
        <w:t>,</w:t>
      </w:r>
      <w:r w:rsidR="0076596B">
        <w:rPr>
          <w:b/>
          <w:bCs/>
        </w:rPr>
        <w:t xml:space="preserve"> </w:t>
      </w:r>
      <w:r w:rsidR="00451BD0">
        <w:t xml:space="preserve">s.465 of the </w:t>
      </w:r>
      <w:r w:rsidR="00451BD0" w:rsidRPr="0076596B">
        <w:t>Companies Ordinance (Cap</w:t>
      </w:r>
      <w:r w:rsidR="00CD3BCB">
        <w:t>.</w:t>
      </w:r>
      <w:r w:rsidR="00AE6CFF">
        <w:t xml:space="preserve"> </w:t>
      </w:r>
      <w:r w:rsidR="00451BD0" w:rsidRPr="0076596B">
        <w:t>622)</w:t>
      </w:r>
      <w:r w:rsidR="0045498C">
        <w:t xml:space="preserve"> and the</w:t>
      </w:r>
      <w:r w:rsidR="00451BD0">
        <w:t xml:space="preserve"> </w:t>
      </w:r>
      <w:r w:rsidR="00451BD0" w:rsidRPr="00C437DD">
        <w:t>Listing Rules</w:t>
      </w:r>
      <w:r w:rsidR="00451BD0">
        <w:rPr>
          <w:b/>
          <w:bCs/>
        </w:rPr>
        <w:t xml:space="preserve"> </w:t>
      </w:r>
      <w:r w:rsidR="00451BD0">
        <w:t>r.3.08(f)</w:t>
      </w:r>
      <w:r w:rsidR="00950E80">
        <w:rPr>
          <w:rStyle w:val="FootnoteReference"/>
          <w:color w:val="000000" w:themeColor="text1"/>
        </w:rPr>
        <w:footnoteReference w:id="47"/>
      </w:r>
      <w:r w:rsidR="004E0B8D" w:rsidRPr="00245F50">
        <w:t>)</w:t>
      </w:r>
      <w:r w:rsidR="00AE6CFF">
        <w:t xml:space="preserve">.  </w:t>
      </w:r>
    </w:p>
    <w:p w14:paraId="71FE92AB" w14:textId="0A4A8396" w:rsidR="00A0547F" w:rsidRDefault="00A97FF2" w:rsidP="005C174D">
      <w:pPr>
        <w:pStyle w:val="points"/>
        <w:numPr>
          <w:ilvl w:val="0"/>
          <w:numId w:val="40"/>
        </w:numPr>
        <w:tabs>
          <w:tab w:val="clear" w:pos="1400"/>
        </w:tabs>
        <w:rPr>
          <w:color w:val="000000" w:themeColor="text1"/>
        </w:rPr>
      </w:pPr>
      <w:r>
        <w:rPr>
          <w:color w:val="000000" w:themeColor="text1"/>
        </w:rPr>
        <w:t xml:space="preserve">A </w:t>
      </w:r>
      <w:r w:rsidRPr="004D08BA">
        <w:t>director</w:t>
      </w:r>
      <w:r>
        <w:rPr>
          <w:color w:val="000000" w:themeColor="text1"/>
        </w:rPr>
        <w:t xml:space="preserve"> is under </w:t>
      </w:r>
      <w:r w:rsidRPr="00171745">
        <w:rPr>
          <w:color w:val="000000" w:themeColor="text1"/>
        </w:rPr>
        <w:t>a continuing duty to acquire and maintain a sufficient knowledge and understanding of the company’s business and affairs to enable them to properly discharge their duties as directors</w:t>
      </w:r>
      <w:r w:rsidR="00AE6CFF">
        <w:rPr>
          <w:color w:val="000000" w:themeColor="text1"/>
        </w:rPr>
        <w:t xml:space="preserve">.  </w:t>
      </w:r>
      <w:r w:rsidRPr="00315FB8">
        <w:rPr>
          <w:color w:val="000000" w:themeColor="text1"/>
        </w:rPr>
        <w:t xml:space="preserve">Whilst </w:t>
      </w:r>
      <w:r>
        <w:rPr>
          <w:color w:val="000000" w:themeColor="text1"/>
        </w:rPr>
        <w:t xml:space="preserve">a </w:t>
      </w:r>
      <w:r w:rsidRPr="00315FB8">
        <w:rPr>
          <w:color w:val="000000" w:themeColor="text1"/>
        </w:rPr>
        <w:t>director</w:t>
      </w:r>
      <w:r>
        <w:rPr>
          <w:color w:val="000000" w:themeColor="text1"/>
        </w:rPr>
        <w:t xml:space="preserve"> is</w:t>
      </w:r>
      <w:r w:rsidRPr="00315FB8">
        <w:rPr>
          <w:color w:val="000000" w:themeColor="text1"/>
        </w:rPr>
        <w:t xml:space="preserve"> entitled to delegate particular functions to </w:t>
      </w:r>
      <w:r w:rsidR="00C32F84">
        <w:rPr>
          <w:color w:val="000000" w:themeColor="text1"/>
        </w:rPr>
        <w:t xml:space="preserve">others, he remains under a </w:t>
      </w:r>
      <w:r w:rsidRPr="00315FB8">
        <w:rPr>
          <w:color w:val="000000" w:themeColor="text1"/>
        </w:rPr>
        <w:t>duty to supervise the discharge of the delegated functions</w:t>
      </w:r>
      <w:r>
        <w:rPr>
          <w:color w:val="000000" w:themeColor="text1"/>
        </w:rPr>
        <w:t xml:space="preserve"> </w:t>
      </w:r>
      <w:r w:rsidR="00C32F84">
        <w:rPr>
          <w:color w:val="000000" w:themeColor="text1"/>
        </w:rPr>
        <w:t>(</w:t>
      </w:r>
      <w:r w:rsidRPr="0046393C">
        <w:rPr>
          <w:i/>
          <w:iCs/>
          <w:color w:val="000000" w:themeColor="text1"/>
        </w:rPr>
        <w:t>Re Copyright</w:t>
      </w:r>
      <w:r w:rsidR="00E16F90">
        <w:rPr>
          <w:i/>
          <w:iCs/>
          <w:color w:val="000000" w:themeColor="text1"/>
        </w:rPr>
        <w:t xml:space="preserve"> Ltd</w:t>
      </w:r>
      <w:r>
        <w:rPr>
          <w:b/>
          <w:bCs/>
          <w:color w:val="000000" w:themeColor="text1"/>
        </w:rPr>
        <w:t xml:space="preserve"> </w:t>
      </w:r>
      <w:r>
        <w:rPr>
          <w:color w:val="000000" w:themeColor="text1"/>
        </w:rPr>
        <w:t xml:space="preserve">[2004] 2 HKLRD 113, §§34-35; </w:t>
      </w:r>
      <w:r w:rsidRPr="00E16F90">
        <w:rPr>
          <w:i/>
          <w:iCs/>
          <w:color w:val="000000" w:themeColor="text1"/>
        </w:rPr>
        <w:t>Re Long Success</w:t>
      </w:r>
      <w:r w:rsidR="00CB3FF8">
        <w:rPr>
          <w:i/>
          <w:iCs/>
          <w:color w:val="000000" w:themeColor="text1"/>
        </w:rPr>
        <w:t>,</w:t>
      </w:r>
      <w:r>
        <w:rPr>
          <w:b/>
          <w:bCs/>
          <w:color w:val="000000" w:themeColor="text1"/>
        </w:rPr>
        <w:t xml:space="preserve"> </w:t>
      </w:r>
      <w:r>
        <w:rPr>
          <w:color w:val="000000" w:themeColor="text1"/>
        </w:rPr>
        <w:t>§33</w:t>
      </w:r>
      <w:r w:rsidR="00E16F90" w:rsidRPr="00F72A3B">
        <w:rPr>
          <w:color w:val="000000" w:themeColor="text1"/>
        </w:rPr>
        <w:t>).</w:t>
      </w:r>
    </w:p>
    <w:p w14:paraId="70E152B8" w14:textId="7BF1F358" w:rsidR="00F72A3B" w:rsidRDefault="00F72A3B" w:rsidP="005C174D">
      <w:pPr>
        <w:pStyle w:val="points"/>
        <w:numPr>
          <w:ilvl w:val="0"/>
          <w:numId w:val="40"/>
        </w:numPr>
        <w:tabs>
          <w:tab w:val="clear" w:pos="1400"/>
        </w:tabs>
        <w:rPr>
          <w:color w:val="000000" w:themeColor="text1"/>
        </w:rPr>
      </w:pPr>
      <w:r>
        <w:rPr>
          <w:color w:val="000000" w:themeColor="text1"/>
        </w:rPr>
        <w:t xml:space="preserve">The duty </w:t>
      </w:r>
      <w:r w:rsidRPr="004D08BA">
        <w:t>incorporates</w:t>
      </w:r>
      <w:r>
        <w:rPr>
          <w:color w:val="000000" w:themeColor="text1"/>
        </w:rPr>
        <w:t xml:space="preserve"> a duty to supervise the affairs of the company’s subsidiaries</w:t>
      </w:r>
      <w:r w:rsidR="00B97341">
        <w:rPr>
          <w:color w:val="000000" w:themeColor="text1"/>
        </w:rPr>
        <w:t xml:space="preserve"> (</w:t>
      </w:r>
      <w:r w:rsidRPr="00C14041">
        <w:rPr>
          <w:i/>
          <w:iCs/>
          <w:color w:val="000000" w:themeColor="text1"/>
        </w:rPr>
        <w:t>Re Long Success</w:t>
      </w:r>
      <w:r w:rsidR="00CB3FF8">
        <w:rPr>
          <w:i/>
          <w:iCs/>
          <w:color w:val="000000" w:themeColor="text1"/>
        </w:rPr>
        <w:t>,</w:t>
      </w:r>
      <w:r>
        <w:rPr>
          <w:b/>
          <w:bCs/>
          <w:color w:val="000000" w:themeColor="text1"/>
        </w:rPr>
        <w:t xml:space="preserve"> </w:t>
      </w:r>
      <w:r>
        <w:rPr>
          <w:color w:val="000000" w:themeColor="text1"/>
        </w:rPr>
        <w:t>§32</w:t>
      </w:r>
      <w:r w:rsidR="00B97341">
        <w:rPr>
          <w:color w:val="000000" w:themeColor="text1"/>
        </w:rPr>
        <w:t>).</w:t>
      </w:r>
    </w:p>
    <w:p w14:paraId="0C117F57" w14:textId="13F10A0E" w:rsidR="00CB3FF8" w:rsidRDefault="00CB3FF8" w:rsidP="005C174D">
      <w:pPr>
        <w:pStyle w:val="points"/>
        <w:numPr>
          <w:ilvl w:val="0"/>
          <w:numId w:val="40"/>
        </w:numPr>
        <w:tabs>
          <w:tab w:val="clear" w:pos="1400"/>
        </w:tabs>
        <w:rPr>
          <w:color w:val="000000" w:themeColor="text1"/>
        </w:rPr>
      </w:pPr>
      <w:r>
        <w:rPr>
          <w:color w:val="000000" w:themeColor="text1"/>
        </w:rPr>
        <w:t xml:space="preserve">A </w:t>
      </w:r>
      <w:r w:rsidRPr="004D08BA">
        <w:t>director</w:t>
      </w:r>
      <w:r>
        <w:rPr>
          <w:color w:val="000000" w:themeColor="text1"/>
        </w:rPr>
        <w:t xml:space="preserve"> must read and understand the financial statements of the company and consider whether they are consistent with his knowledge of the company’s financial position</w:t>
      </w:r>
      <w:r w:rsidR="007E5D69">
        <w:rPr>
          <w:color w:val="000000" w:themeColor="text1"/>
        </w:rPr>
        <w:t xml:space="preserve"> and</w:t>
      </w:r>
      <w:r>
        <w:rPr>
          <w:color w:val="000000" w:themeColor="text1"/>
        </w:rPr>
        <w:t xml:space="preserve"> statutory requirements, and make enquiries if matters revealed </w:t>
      </w:r>
      <w:r>
        <w:rPr>
          <w:color w:val="000000" w:themeColor="text1"/>
        </w:rPr>
        <w:lastRenderedPageBreak/>
        <w:t>in the financial statements call for such enquiries</w:t>
      </w:r>
      <w:r w:rsidR="00AE6CFF">
        <w:rPr>
          <w:color w:val="000000" w:themeColor="text1"/>
        </w:rPr>
        <w:t xml:space="preserve">.  </w:t>
      </w:r>
      <w:r w:rsidR="00B95606">
        <w:rPr>
          <w:color w:val="000000" w:themeColor="text1"/>
        </w:rPr>
        <w:t>(</w:t>
      </w:r>
      <w:r w:rsidRPr="00B95606">
        <w:rPr>
          <w:i/>
          <w:iCs/>
          <w:color w:val="000000" w:themeColor="text1"/>
        </w:rPr>
        <w:t>Law of Companies in Hong Kong</w:t>
      </w:r>
      <w:r w:rsidR="0012728A">
        <w:rPr>
          <w:i/>
          <w:iCs/>
          <w:color w:val="000000" w:themeColor="text1"/>
        </w:rPr>
        <w:t>,</w:t>
      </w:r>
      <w:r>
        <w:rPr>
          <w:b/>
          <w:bCs/>
          <w:color w:val="000000" w:themeColor="text1"/>
        </w:rPr>
        <w:t xml:space="preserve"> </w:t>
      </w:r>
      <w:r w:rsidR="0012728A" w:rsidRPr="0026467B">
        <w:rPr>
          <w:color w:val="000000" w:themeColor="text1"/>
        </w:rPr>
        <w:t>3</w:t>
      </w:r>
      <w:r w:rsidR="0012728A" w:rsidRPr="0026467B">
        <w:rPr>
          <w:color w:val="000000" w:themeColor="text1"/>
          <w:vertAlign w:val="superscript"/>
        </w:rPr>
        <w:t>rd</w:t>
      </w:r>
      <w:r w:rsidR="0012728A" w:rsidRPr="0026467B">
        <w:rPr>
          <w:color w:val="000000" w:themeColor="text1"/>
        </w:rPr>
        <w:t xml:space="preserve"> ed.,</w:t>
      </w:r>
      <w:r w:rsidR="0012728A">
        <w:rPr>
          <w:b/>
          <w:bCs/>
          <w:color w:val="000000" w:themeColor="text1"/>
        </w:rPr>
        <w:t xml:space="preserve"> </w:t>
      </w:r>
      <w:r>
        <w:rPr>
          <w:color w:val="000000" w:themeColor="text1"/>
        </w:rPr>
        <w:t>§8.158</w:t>
      </w:r>
      <w:r w:rsidR="00B95606">
        <w:rPr>
          <w:color w:val="000000" w:themeColor="text1"/>
        </w:rPr>
        <w:t>).</w:t>
      </w:r>
    </w:p>
    <w:p w14:paraId="267B73D6" w14:textId="588F1922" w:rsidR="005A7E62" w:rsidRDefault="00856179" w:rsidP="005A7E62">
      <w:pPr>
        <w:pStyle w:val="Final"/>
        <w:numPr>
          <w:ilvl w:val="0"/>
          <w:numId w:val="2"/>
        </w:numPr>
        <w:tabs>
          <w:tab w:val="clear" w:pos="720"/>
          <w:tab w:val="num" w:pos="0"/>
        </w:tabs>
        <w:ind w:left="0" w:firstLine="0"/>
        <w:rPr>
          <w:color w:val="000000" w:themeColor="text1"/>
        </w:rPr>
      </w:pPr>
      <w:r>
        <w:rPr>
          <w:color w:val="000000" w:themeColor="text1"/>
        </w:rPr>
        <w:t>As stated in the 2012 Annual Report of the Company</w:t>
      </w:r>
      <w:r w:rsidR="002F1339">
        <w:rPr>
          <w:color w:val="000000" w:themeColor="text1"/>
        </w:rPr>
        <w:t xml:space="preserve">, and </w:t>
      </w:r>
      <w:r w:rsidR="00627C3A">
        <w:rPr>
          <w:color w:val="000000" w:themeColor="text1"/>
        </w:rPr>
        <w:t>wa</w:t>
      </w:r>
      <w:r w:rsidR="002F1339">
        <w:rPr>
          <w:color w:val="000000" w:themeColor="text1"/>
        </w:rPr>
        <w:t>s not in dispute</w:t>
      </w:r>
      <w:r w:rsidR="002E7A69">
        <w:rPr>
          <w:color w:val="000000" w:themeColor="text1"/>
        </w:rPr>
        <w:t>:</w:t>
      </w:r>
    </w:p>
    <w:p w14:paraId="6133F9AD" w14:textId="6915EE68" w:rsidR="00856179" w:rsidRDefault="00BE5D52" w:rsidP="005C174D">
      <w:pPr>
        <w:pStyle w:val="points"/>
        <w:numPr>
          <w:ilvl w:val="0"/>
          <w:numId w:val="41"/>
        </w:numPr>
        <w:tabs>
          <w:tab w:val="clear" w:pos="1400"/>
        </w:tabs>
      </w:pPr>
      <w:r>
        <w:t xml:space="preserve">Mr Wen </w:t>
      </w:r>
      <w:r w:rsidR="00856179" w:rsidRPr="005A7E62">
        <w:t>had responsibility for the overall management and corporate governance of the Group, and ha</w:t>
      </w:r>
      <w:r w:rsidR="00627C3A">
        <w:t>d</w:t>
      </w:r>
      <w:r w:rsidR="00856179" w:rsidRPr="005A7E62">
        <w:t xml:space="preserve"> a duty to ensure that the business of the Group </w:t>
      </w:r>
      <w:r w:rsidR="00627C3A">
        <w:t>wa</w:t>
      </w:r>
      <w:r w:rsidR="00856179" w:rsidRPr="005A7E62">
        <w:t>s effectively managed and properly conducted day</w:t>
      </w:r>
      <w:r w:rsidR="00627C3A">
        <w:t>-</w:t>
      </w:r>
      <w:r w:rsidR="00856179" w:rsidRPr="005A7E62">
        <w:t>to</w:t>
      </w:r>
      <w:r w:rsidR="00627C3A">
        <w:t>-</w:t>
      </w:r>
      <w:r w:rsidR="00856179" w:rsidRPr="005A7E62">
        <w:t>day;</w:t>
      </w:r>
      <w:r w:rsidR="00C93191">
        <w:t xml:space="preserve"> and</w:t>
      </w:r>
    </w:p>
    <w:p w14:paraId="316CDECD" w14:textId="5081130C" w:rsidR="00856179" w:rsidRDefault="001D0D12" w:rsidP="005C174D">
      <w:pPr>
        <w:pStyle w:val="points"/>
        <w:numPr>
          <w:ilvl w:val="0"/>
          <w:numId w:val="41"/>
        </w:numPr>
        <w:tabs>
          <w:tab w:val="clear" w:pos="1400"/>
        </w:tabs>
        <w:rPr>
          <w:color w:val="000000" w:themeColor="text1"/>
        </w:rPr>
      </w:pPr>
      <w:r>
        <w:rPr>
          <w:color w:val="000000" w:themeColor="text1"/>
        </w:rPr>
        <w:t xml:space="preserve">Mr </w:t>
      </w:r>
      <w:r w:rsidRPr="005120FC">
        <w:t>Wen</w:t>
      </w:r>
      <w:r>
        <w:rPr>
          <w:color w:val="000000" w:themeColor="text1"/>
        </w:rPr>
        <w:t xml:space="preserve"> had direct responsibility in considering and approving the </w:t>
      </w:r>
      <w:r w:rsidR="00856179" w:rsidRPr="001D0D12">
        <w:rPr>
          <w:color w:val="000000" w:themeColor="text1"/>
        </w:rPr>
        <w:t xml:space="preserve">financial results </w:t>
      </w:r>
      <w:r>
        <w:rPr>
          <w:color w:val="000000" w:themeColor="text1"/>
        </w:rPr>
        <w:t>of the Group,</w:t>
      </w:r>
      <w:r w:rsidR="00856179" w:rsidRPr="001D0D12">
        <w:rPr>
          <w:color w:val="000000" w:themeColor="text1"/>
        </w:rPr>
        <w:t xml:space="preserve"> oversee</w:t>
      </w:r>
      <w:r w:rsidR="00996A2F">
        <w:rPr>
          <w:color w:val="000000" w:themeColor="text1"/>
        </w:rPr>
        <w:t xml:space="preserve">ing </w:t>
      </w:r>
      <w:r w:rsidR="00F52F87">
        <w:rPr>
          <w:color w:val="000000" w:themeColor="text1"/>
        </w:rPr>
        <w:t>its</w:t>
      </w:r>
      <w:r w:rsidR="00C76174">
        <w:rPr>
          <w:color w:val="000000" w:themeColor="text1"/>
        </w:rPr>
        <w:t xml:space="preserve"> </w:t>
      </w:r>
      <w:r w:rsidR="00856179" w:rsidRPr="001D0D12">
        <w:rPr>
          <w:color w:val="000000" w:themeColor="text1"/>
        </w:rPr>
        <w:t xml:space="preserve">business and affairs; reviewing </w:t>
      </w:r>
      <w:r w:rsidR="0067646F">
        <w:rPr>
          <w:color w:val="000000" w:themeColor="text1"/>
        </w:rPr>
        <w:t xml:space="preserve">and approving </w:t>
      </w:r>
      <w:r w:rsidR="00856179" w:rsidRPr="001D0D12">
        <w:rPr>
          <w:color w:val="000000" w:themeColor="text1"/>
        </w:rPr>
        <w:t>material acquisitions and disposal of assets; reviewing a framework for proper internal controls and risk management; and ensuring the Group’s compliance with laws, regulations, policies, guidelines</w:t>
      </w:r>
      <w:r w:rsidR="00C93191">
        <w:rPr>
          <w:color w:val="000000" w:themeColor="text1"/>
        </w:rPr>
        <w:t>.</w:t>
      </w:r>
    </w:p>
    <w:p w14:paraId="620EF646" w14:textId="5C5F4EA7" w:rsidR="00351F06" w:rsidRPr="00351F06" w:rsidRDefault="00D920F7" w:rsidP="00AE057F">
      <w:pPr>
        <w:pStyle w:val="Final"/>
        <w:numPr>
          <w:ilvl w:val="0"/>
          <w:numId w:val="2"/>
        </w:numPr>
        <w:tabs>
          <w:tab w:val="clear" w:pos="720"/>
          <w:tab w:val="num" w:pos="0"/>
        </w:tabs>
        <w:ind w:left="0" w:firstLine="0"/>
        <w:rPr>
          <w:color w:val="000000" w:themeColor="text1"/>
        </w:rPr>
      </w:pPr>
      <w:r>
        <w:rPr>
          <w:color w:val="000000" w:themeColor="text1"/>
        </w:rPr>
        <w:t xml:space="preserve">In view of the duty of care and skill owed </w:t>
      </w:r>
      <w:r w:rsidR="00B57F4C">
        <w:rPr>
          <w:color w:val="000000" w:themeColor="text1"/>
        </w:rPr>
        <w:t xml:space="preserve">to the Company </w:t>
      </w:r>
      <w:proofErr w:type="gramStart"/>
      <w:r w:rsidR="00B57F4C">
        <w:rPr>
          <w:color w:val="000000" w:themeColor="text1"/>
        </w:rPr>
        <w:t xml:space="preserve">and </w:t>
      </w:r>
      <w:r>
        <w:rPr>
          <w:color w:val="000000" w:themeColor="text1"/>
        </w:rPr>
        <w:t xml:space="preserve"> his</w:t>
      </w:r>
      <w:proofErr w:type="gramEnd"/>
      <w:r>
        <w:rPr>
          <w:color w:val="000000" w:themeColor="text1"/>
        </w:rPr>
        <w:t xml:space="preserve"> responsibility </w:t>
      </w:r>
      <w:r w:rsidR="00547AB2">
        <w:rPr>
          <w:color w:val="000000" w:themeColor="text1"/>
        </w:rPr>
        <w:t>in the Group</w:t>
      </w:r>
      <w:r w:rsidR="00235288">
        <w:rPr>
          <w:color w:val="000000" w:themeColor="text1"/>
        </w:rPr>
        <w:t xml:space="preserve">, </w:t>
      </w:r>
      <w:r w:rsidR="00F77B32">
        <w:rPr>
          <w:color w:val="000000" w:themeColor="text1"/>
        </w:rPr>
        <w:t xml:space="preserve">Mr Wen </w:t>
      </w:r>
      <w:r>
        <w:t>ought to have</w:t>
      </w:r>
      <w:r w:rsidR="00351F06">
        <w:t>:</w:t>
      </w:r>
    </w:p>
    <w:p w14:paraId="386FE1D5" w14:textId="77777777" w:rsidR="009C2F4C" w:rsidRPr="009C2F4C" w:rsidRDefault="00D920F7" w:rsidP="005C174D">
      <w:pPr>
        <w:pStyle w:val="points"/>
        <w:numPr>
          <w:ilvl w:val="0"/>
          <w:numId w:val="42"/>
        </w:numPr>
        <w:rPr>
          <w:color w:val="000000" w:themeColor="text1"/>
        </w:rPr>
      </w:pPr>
      <w:r>
        <w:t>a</w:t>
      </w:r>
      <w:r w:rsidR="004B4803">
        <w:t xml:space="preserve"> proper </w:t>
      </w:r>
      <w:r>
        <w:t xml:space="preserve">understanding </w:t>
      </w:r>
      <w:r w:rsidR="0057575D">
        <w:t xml:space="preserve">and knowledge </w:t>
      </w:r>
      <w:r w:rsidR="00B20233">
        <w:t>on</w:t>
      </w:r>
      <w:r>
        <w:t xml:space="preserve"> the overall business, finances and performance of the Group</w:t>
      </w:r>
      <w:r w:rsidR="00484489">
        <w:t xml:space="preserve"> including its bank balance</w:t>
      </w:r>
      <w:r w:rsidR="00351F06">
        <w:t>s</w:t>
      </w:r>
      <w:r w:rsidR="009C2F4C">
        <w:t>;</w:t>
      </w:r>
    </w:p>
    <w:p w14:paraId="6B954826" w14:textId="0288F0C9" w:rsidR="00D920F7" w:rsidRPr="0017003B" w:rsidRDefault="009C2F4C" w:rsidP="005C174D">
      <w:pPr>
        <w:pStyle w:val="points"/>
        <w:numPr>
          <w:ilvl w:val="0"/>
          <w:numId w:val="42"/>
        </w:numPr>
        <w:rPr>
          <w:color w:val="000000" w:themeColor="text1"/>
        </w:rPr>
      </w:pPr>
      <w:r>
        <w:t xml:space="preserve">taken steps to </w:t>
      </w:r>
      <w:r w:rsidR="00484489">
        <w:t xml:space="preserve">ascertain </w:t>
      </w:r>
      <w:r w:rsidR="0099718E">
        <w:t>and satisf</w:t>
      </w:r>
      <w:r>
        <w:t>y</w:t>
      </w:r>
      <w:r w:rsidR="0099718E">
        <w:t xml:space="preserve"> himself </w:t>
      </w:r>
      <w:r>
        <w:t xml:space="preserve">that </w:t>
      </w:r>
      <w:r w:rsidR="003B71F8">
        <w:t xml:space="preserve">the financial position including the </w:t>
      </w:r>
      <w:r>
        <w:t xml:space="preserve">bank balances </w:t>
      </w:r>
      <w:r w:rsidR="00B90651" w:rsidRPr="00A702B1">
        <w:rPr>
          <w:color w:val="000000" w:themeColor="text1"/>
        </w:rPr>
        <w:t>reported in</w:t>
      </w:r>
      <w:r w:rsidR="00B90651">
        <w:rPr>
          <w:color w:val="000000" w:themeColor="text1"/>
        </w:rPr>
        <w:t xml:space="preserve"> the </w:t>
      </w:r>
      <w:r w:rsidR="00D00763">
        <w:rPr>
          <w:color w:val="000000" w:themeColor="text1"/>
        </w:rPr>
        <w:t xml:space="preserve">2012 AFS and 2013 AFS </w:t>
      </w:r>
      <w:r w:rsidR="00B90651" w:rsidRPr="00A702B1">
        <w:rPr>
          <w:color w:val="000000" w:themeColor="text1"/>
        </w:rPr>
        <w:t xml:space="preserve">were </w:t>
      </w:r>
      <w:r w:rsidR="00825F86">
        <w:rPr>
          <w:color w:val="000000" w:themeColor="text1"/>
        </w:rPr>
        <w:t xml:space="preserve">accurate or </w:t>
      </w:r>
      <w:r w:rsidR="00B90651" w:rsidRPr="00A702B1">
        <w:rPr>
          <w:color w:val="000000" w:themeColor="text1"/>
        </w:rPr>
        <w:t xml:space="preserve">within </w:t>
      </w:r>
      <w:r w:rsidR="00CC6156">
        <w:rPr>
          <w:color w:val="000000" w:themeColor="text1"/>
        </w:rPr>
        <w:t>a</w:t>
      </w:r>
      <w:r w:rsidR="00B90651" w:rsidRPr="00A702B1">
        <w:rPr>
          <w:color w:val="000000" w:themeColor="text1"/>
        </w:rPr>
        <w:t xml:space="preserve"> reasonable range</w:t>
      </w:r>
      <w:r w:rsidR="00D920F7">
        <w:t>;</w:t>
      </w:r>
    </w:p>
    <w:p w14:paraId="2B4F7B65" w14:textId="6A52338E" w:rsidR="00D920F7" w:rsidRPr="0017003B" w:rsidRDefault="0017003B" w:rsidP="005C174D">
      <w:pPr>
        <w:pStyle w:val="points"/>
        <w:numPr>
          <w:ilvl w:val="0"/>
          <w:numId w:val="42"/>
        </w:numPr>
        <w:rPr>
          <w:color w:val="000000" w:themeColor="text1"/>
        </w:rPr>
      </w:pPr>
      <w:r>
        <w:rPr>
          <w:color w:val="000000" w:themeColor="text1"/>
          <w:lang w:val="en-US"/>
        </w:rPr>
        <w:lastRenderedPageBreak/>
        <w:t xml:space="preserve">procured the Group </w:t>
      </w:r>
      <w:r w:rsidR="00D920F7" w:rsidRPr="0017003B">
        <w:rPr>
          <w:color w:val="000000" w:themeColor="text1"/>
          <w:lang w:val="en-US"/>
        </w:rPr>
        <w:t>to provide the regulator</w:t>
      </w:r>
      <w:r w:rsidR="00C9166F">
        <w:rPr>
          <w:color w:val="000000" w:themeColor="text1"/>
          <w:lang w:val="en-US"/>
        </w:rPr>
        <w:t>s</w:t>
      </w:r>
      <w:r w:rsidR="00D920F7" w:rsidRPr="0017003B">
        <w:rPr>
          <w:color w:val="000000" w:themeColor="text1"/>
          <w:lang w:val="en-US"/>
        </w:rPr>
        <w:t xml:space="preserve"> </w:t>
      </w:r>
      <w:r w:rsidR="00AE47FA">
        <w:rPr>
          <w:color w:val="000000" w:themeColor="text1"/>
          <w:lang w:val="en-US"/>
        </w:rPr>
        <w:t xml:space="preserve">(SFC and SEHK) </w:t>
      </w:r>
      <w:r w:rsidR="00D920F7" w:rsidRPr="0017003B">
        <w:rPr>
          <w:color w:val="000000" w:themeColor="text1"/>
          <w:lang w:val="en-US"/>
        </w:rPr>
        <w:t xml:space="preserve">and the investing public </w:t>
      </w:r>
      <w:r w:rsidR="00C9166F">
        <w:rPr>
          <w:color w:val="000000" w:themeColor="text1"/>
          <w:lang w:val="en-US"/>
        </w:rPr>
        <w:t xml:space="preserve">with </w:t>
      </w:r>
      <w:r w:rsidR="00D920F7" w:rsidRPr="0017003B">
        <w:rPr>
          <w:color w:val="000000" w:themeColor="text1"/>
          <w:lang w:val="en-US"/>
        </w:rPr>
        <w:t xml:space="preserve">all material information </w:t>
      </w:r>
      <w:r w:rsidR="00953614">
        <w:rPr>
          <w:color w:val="000000" w:themeColor="text1"/>
          <w:lang w:val="en-US"/>
        </w:rPr>
        <w:t xml:space="preserve">and documents, </w:t>
      </w:r>
      <w:r w:rsidR="00D920F7" w:rsidRPr="0017003B">
        <w:rPr>
          <w:color w:val="000000" w:themeColor="text1"/>
          <w:lang w:val="en-US"/>
        </w:rPr>
        <w:t>a</w:t>
      </w:r>
      <w:r w:rsidR="00B736CE">
        <w:rPr>
          <w:color w:val="000000" w:themeColor="text1"/>
          <w:lang w:val="en-US"/>
        </w:rPr>
        <w:t xml:space="preserve">nd to </w:t>
      </w:r>
      <w:r w:rsidR="00D920F7" w:rsidRPr="0017003B">
        <w:rPr>
          <w:color w:val="000000" w:themeColor="text1"/>
          <w:lang w:val="en-US"/>
        </w:rPr>
        <w:t xml:space="preserve">ensure that </w:t>
      </w:r>
      <w:r w:rsidR="00634F54">
        <w:rPr>
          <w:color w:val="000000" w:themeColor="text1"/>
          <w:lang w:val="en-US"/>
        </w:rPr>
        <w:t>such</w:t>
      </w:r>
      <w:r w:rsidR="00D920F7" w:rsidRPr="0017003B">
        <w:rPr>
          <w:color w:val="000000" w:themeColor="text1"/>
          <w:lang w:val="en-US"/>
        </w:rPr>
        <w:t xml:space="preserve"> information </w:t>
      </w:r>
      <w:r w:rsidR="00634F54">
        <w:rPr>
          <w:color w:val="000000" w:themeColor="text1"/>
          <w:lang w:val="en-US"/>
        </w:rPr>
        <w:t>and documents were complete</w:t>
      </w:r>
      <w:r w:rsidR="00FB329B">
        <w:rPr>
          <w:color w:val="000000" w:themeColor="text1"/>
          <w:lang w:val="en-US"/>
        </w:rPr>
        <w:t xml:space="preserve"> and</w:t>
      </w:r>
      <w:r w:rsidR="00634F54">
        <w:rPr>
          <w:color w:val="000000" w:themeColor="text1"/>
          <w:lang w:val="en-US"/>
        </w:rPr>
        <w:t xml:space="preserve"> true</w:t>
      </w:r>
      <w:r w:rsidR="00D920F7" w:rsidRPr="0017003B">
        <w:rPr>
          <w:color w:val="000000" w:themeColor="text1"/>
          <w:lang w:val="en-US"/>
        </w:rPr>
        <w:t>.</w:t>
      </w:r>
    </w:p>
    <w:p w14:paraId="7B080339" w14:textId="1DDA564D" w:rsidR="003567A4" w:rsidRDefault="00B16AC2" w:rsidP="008144B8">
      <w:pPr>
        <w:pStyle w:val="Final"/>
        <w:numPr>
          <w:ilvl w:val="0"/>
          <w:numId w:val="2"/>
        </w:numPr>
        <w:tabs>
          <w:tab w:val="clear" w:pos="720"/>
          <w:tab w:val="num" w:pos="0"/>
        </w:tabs>
        <w:ind w:left="0" w:firstLine="0"/>
        <w:rPr>
          <w:color w:val="000000" w:themeColor="text1"/>
        </w:rPr>
      </w:pPr>
      <w:r>
        <w:rPr>
          <w:color w:val="000000" w:themeColor="text1"/>
        </w:rPr>
        <w:t>I</w:t>
      </w:r>
      <w:r w:rsidR="001E01A7">
        <w:rPr>
          <w:color w:val="000000" w:themeColor="text1"/>
        </w:rPr>
        <w:t xml:space="preserve">f, contrary to my findings in </w:t>
      </w:r>
      <w:r w:rsidR="001E01A7" w:rsidRPr="000452B9">
        <w:rPr>
          <w:color w:val="000000" w:themeColor="text1"/>
          <w:u w:val="single"/>
        </w:rPr>
        <w:t>section D2</w:t>
      </w:r>
      <w:r w:rsidR="001E01A7">
        <w:rPr>
          <w:color w:val="000000" w:themeColor="text1"/>
        </w:rPr>
        <w:t xml:space="preserve"> above, </w:t>
      </w:r>
      <w:r w:rsidR="002760B6">
        <w:rPr>
          <w:color w:val="000000" w:themeColor="text1"/>
        </w:rPr>
        <w:t xml:space="preserve">Mr Wen did not knowingly </w:t>
      </w:r>
      <w:proofErr w:type="gramStart"/>
      <w:r w:rsidR="002760B6">
        <w:rPr>
          <w:color w:val="000000" w:themeColor="text1"/>
        </w:rPr>
        <w:t>caused</w:t>
      </w:r>
      <w:proofErr w:type="gramEnd"/>
      <w:r w:rsidR="002760B6">
        <w:rPr>
          <w:color w:val="000000" w:themeColor="text1"/>
        </w:rPr>
        <w:t>, directed and orchestrated the Schemes,</w:t>
      </w:r>
      <w:r w:rsidR="00122208">
        <w:rPr>
          <w:color w:val="000000" w:themeColor="text1"/>
        </w:rPr>
        <w:t xml:space="preserve"> on Mr Wen’s own evidence, he failed to do any of the </w:t>
      </w:r>
      <w:r w:rsidR="00106C1B">
        <w:rPr>
          <w:color w:val="000000" w:themeColor="text1"/>
        </w:rPr>
        <w:t>above acts</w:t>
      </w:r>
      <w:r w:rsidR="00AE6CFF">
        <w:rPr>
          <w:color w:val="000000" w:themeColor="text1"/>
        </w:rPr>
        <w:t xml:space="preserve">. </w:t>
      </w:r>
      <w:r w:rsidR="00C13352">
        <w:rPr>
          <w:color w:val="000000" w:themeColor="text1"/>
        </w:rPr>
        <w:t xml:space="preserve">This was despite the allegations raised in the Emerson Reports in February 2015, </w:t>
      </w:r>
      <w:r w:rsidR="003F73B1">
        <w:rPr>
          <w:color w:val="000000" w:themeColor="text1"/>
        </w:rPr>
        <w:t xml:space="preserve">followed by the concerns raised by Deloitte </w:t>
      </w:r>
      <w:r w:rsidR="00DC23E4">
        <w:rPr>
          <w:color w:val="000000" w:themeColor="text1"/>
        </w:rPr>
        <w:t xml:space="preserve">on 12 March 2015 </w:t>
      </w:r>
      <w:r w:rsidR="003F73B1">
        <w:rPr>
          <w:color w:val="000000" w:themeColor="text1"/>
        </w:rPr>
        <w:t xml:space="preserve">and the </w:t>
      </w:r>
      <w:r w:rsidR="00DC23E4">
        <w:rPr>
          <w:color w:val="000000" w:themeColor="text1"/>
        </w:rPr>
        <w:t>investigation undertaken by the SFC from 16 March 2015</w:t>
      </w:r>
      <w:r w:rsidR="00AE6CFF">
        <w:rPr>
          <w:color w:val="000000" w:themeColor="text1"/>
        </w:rPr>
        <w:t xml:space="preserve">.  </w:t>
      </w:r>
      <w:r w:rsidR="00DC23E4">
        <w:rPr>
          <w:color w:val="000000" w:themeColor="text1"/>
        </w:rPr>
        <w:t xml:space="preserve">A reasonable person standing in the position of Mr Wen would have </w:t>
      </w:r>
      <w:r w:rsidR="00132167" w:rsidRPr="008144B8">
        <w:rPr>
          <w:color w:val="000000" w:themeColor="text1"/>
        </w:rPr>
        <w:t>asked questions and ma</w:t>
      </w:r>
      <w:r w:rsidR="00F2160A">
        <w:rPr>
          <w:color w:val="000000" w:themeColor="text1"/>
        </w:rPr>
        <w:t>d</w:t>
      </w:r>
      <w:r w:rsidR="00132167" w:rsidRPr="008144B8">
        <w:rPr>
          <w:color w:val="000000" w:themeColor="text1"/>
        </w:rPr>
        <w:t>e all necessary enquiries to ensure that the amounts of bank balances stated in the 2012 AFS and 2013 AFS were accurate</w:t>
      </w:r>
      <w:r w:rsidR="00F81428" w:rsidRPr="008144B8">
        <w:rPr>
          <w:color w:val="000000" w:themeColor="text1"/>
        </w:rPr>
        <w:t xml:space="preserve">, </w:t>
      </w:r>
      <w:r w:rsidR="003567A4">
        <w:rPr>
          <w:color w:val="000000" w:themeColor="text1"/>
        </w:rPr>
        <w:t xml:space="preserve">and </w:t>
      </w:r>
      <w:r w:rsidR="003A68BF">
        <w:rPr>
          <w:color w:val="000000" w:themeColor="text1"/>
        </w:rPr>
        <w:t xml:space="preserve">would have </w:t>
      </w:r>
      <w:r w:rsidR="003567A4">
        <w:rPr>
          <w:color w:val="000000" w:themeColor="text1"/>
        </w:rPr>
        <w:t xml:space="preserve">caused the Company to carry on extensive and thorough investigations into all the concerns </w:t>
      </w:r>
      <w:r w:rsidR="003A68BF">
        <w:rPr>
          <w:color w:val="000000" w:themeColor="text1"/>
        </w:rPr>
        <w:t xml:space="preserve">raised so as </w:t>
      </w:r>
      <w:r w:rsidR="003567A4">
        <w:rPr>
          <w:color w:val="000000" w:themeColor="text1"/>
        </w:rPr>
        <w:t>to ensure that the financial position of the Group had not been overstated</w:t>
      </w:r>
      <w:r w:rsidR="00AE6CFF">
        <w:rPr>
          <w:color w:val="000000" w:themeColor="text1"/>
        </w:rPr>
        <w:t xml:space="preserve">.  </w:t>
      </w:r>
      <w:r w:rsidR="003567A4">
        <w:rPr>
          <w:color w:val="000000" w:themeColor="text1"/>
        </w:rPr>
        <w:t>None of these steps were undertaken by Mr Wen despite the fact that he remained Chairman and ED of the Company throughout</w:t>
      </w:r>
      <w:r w:rsidR="003A68BF">
        <w:rPr>
          <w:color w:val="000000" w:themeColor="text1"/>
        </w:rPr>
        <w:t xml:space="preserve"> the period</w:t>
      </w:r>
      <w:r w:rsidR="00AE6CFF">
        <w:rPr>
          <w:color w:val="000000" w:themeColor="text1"/>
        </w:rPr>
        <w:t xml:space="preserve">.  </w:t>
      </w:r>
    </w:p>
    <w:p w14:paraId="45F509C5" w14:textId="20303BCF" w:rsidR="00836ADA" w:rsidRPr="001E5654" w:rsidRDefault="00836ADA" w:rsidP="00486E85">
      <w:pPr>
        <w:pStyle w:val="H-1"/>
        <w:tabs>
          <w:tab w:val="clear" w:pos="1080"/>
          <w:tab w:val="clear" w:pos="3946"/>
          <w:tab w:val="clear" w:pos="4234"/>
          <w:tab w:val="center" w:pos="709"/>
        </w:tabs>
        <w:ind w:left="709" w:hanging="709"/>
      </w:pPr>
      <w:r w:rsidRPr="00772808">
        <w:t>D5.</w:t>
      </w:r>
      <w:r w:rsidRPr="00772808">
        <w:tab/>
      </w:r>
      <w:r w:rsidR="001F194E">
        <w:tab/>
      </w:r>
      <w:r w:rsidRPr="00772808">
        <w:t>5</w:t>
      </w:r>
      <w:r w:rsidRPr="00772808">
        <w:rPr>
          <w:vertAlign w:val="superscript"/>
        </w:rPr>
        <w:t>th</w:t>
      </w:r>
      <w:r w:rsidRPr="00772808">
        <w:t xml:space="preserve"> Issue</w:t>
      </w:r>
      <w:r w:rsidR="00A81E62">
        <w:t>:</w:t>
      </w:r>
      <w:r w:rsidRPr="00772808">
        <w:t xml:space="preserve"> </w:t>
      </w:r>
      <w:r w:rsidR="00A81E62" w:rsidRPr="001E5654">
        <w:t>whether Mr Wen gave false or misleading explanations regarding the 2015 Cash Discrepancy</w:t>
      </w:r>
    </w:p>
    <w:p w14:paraId="5079D7B2" w14:textId="4EFFF446" w:rsidR="00CB5810" w:rsidRDefault="002D561D" w:rsidP="00D057D7">
      <w:pPr>
        <w:pStyle w:val="Final"/>
        <w:numPr>
          <w:ilvl w:val="0"/>
          <w:numId w:val="2"/>
        </w:numPr>
        <w:tabs>
          <w:tab w:val="clear" w:pos="720"/>
          <w:tab w:val="num" w:pos="0"/>
        </w:tabs>
        <w:ind w:left="0" w:firstLine="0"/>
        <w:rPr>
          <w:color w:val="000000" w:themeColor="text1"/>
        </w:rPr>
      </w:pPr>
      <w:r>
        <w:rPr>
          <w:color w:val="000000" w:themeColor="text1"/>
        </w:rPr>
        <w:t xml:space="preserve">It is not in dispute that </w:t>
      </w:r>
      <w:r w:rsidR="008A798E">
        <w:rPr>
          <w:color w:val="000000" w:themeColor="text1"/>
        </w:rPr>
        <w:t>following Deloitte’s discovery of the 2015 Cash Discrepancy in March 2015, Mr Wen provided the 1</w:t>
      </w:r>
      <w:r w:rsidR="008A798E" w:rsidRPr="003F69C0">
        <w:rPr>
          <w:color w:val="000000" w:themeColor="text1"/>
          <w:vertAlign w:val="superscript"/>
        </w:rPr>
        <w:t>st</w:t>
      </w:r>
      <w:r w:rsidR="008A798E">
        <w:rPr>
          <w:color w:val="000000" w:themeColor="text1"/>
        </w:rPr>
        <w:t xml:space="preserve"> Explanation and 2</w:t>
      </w:r>
      <w:r w:rsidR="008A798E" w:rsidRPr="003F69C0">
        <w:rPr>
          <w:color w:val="000000" w:themeColor="text1"/>
          <w:vertAlign w:val="superscript"/>
        </w:rPr>
        <w:t>nd</w:t>
      </w:r>
      <w:r w:rsidR="008A798E">
        <w:rPr>
          <w:color w:val="000000" w:themeColor="text1"/>
        </w:rPr>
        <w:t xml:space="preserve"> Explanation</w:t>
      </w:r>
      <w:r w:rsidR="00CB5810">
        <w:rPr>
          <w:color w:val="000000" w:themeColor="text1"/>
        </w:rPr>
        <w:t xml:space="preserve"> </w:t>
      </w:r>
      <w:r w:rsidR="00AE61C3">
        <w:rPr>
          <w:color w:val="000000" w:themeColor="text1"/>
        </w:rPr>
        <w:t xml:space="preserve">to the board and the audit committee </w:t>
      </w:r>
      <w:r w:rsidR="00CB5810">
        <w:rPr>
          <w:color w:val="000000" w:themeColor="text1"/>
        </w:rPr>
        <w:t>in that:</w:t>
      </w:r>
    </w:p>
    <w:p w14:paraId="59ADD4D1" w14:textId="0426A047" w:rsidR="002F361B" w:rsidRPr="000E7722" w:rsidRDefault="002F361B" w:rsidP="005C174D">
      <w:pPr>
        <w:pStyle w:val="points"/>
        <w:numPr>
          <w:ilvl w:val="0"/>
          <w:numId w:val="13"/>
        </w:numPr>
        <w:tabs>
          <w:tab w:val="clear" w:pos="1400"/>
        </w:tabs>
        <w:ind w:left="1440" w:hanging="720"/>
      </w:pPr>
      <w:r w:rsidRPr="000E7722">
        <w:lastRenderedPageBreak/>
        <w:t>At the meetings of 11 and 12 March 2015, Mr Wen proffered the 1</w:t>
      </w:r>
      <w:r w:rsidRPr="000E7722">
        <w:rPr>
          <w:vertAlign w:val="superscript"/>
        </w:rPr>
        <w:t>st</w:t>
      </w:r>
      <w:r w:rsidRPr="000E7722">
        <w:t xml:space="preserve"> Explanation, admitting that he had used RMB 2 billion cash belonging to the Group for </w:t>
      </w:r>
      <w:r w:rsidRPr="00486E85">
        <w:rPr>
          <w:i/>
          <w:iCs/>
        </w:rPr>
        <w:t>his</w:t>
      </w:r>
      <w:r w:rsidRPr="000E7722">
        <w:t xml:space="preserve"> other business</w:t>
      </w:r>
      <w:r w:rsidR="00AE6CFF">
        <w:t xml:space="preserve">.  </w:t>
      </w:r>
    </w:p>
    <w:p w14:paraId="7CCA2C9D" w14:textId="451D7CE0" w:rsidR="002F361B" w:rsidRPr="000E7722" w:rsidRDefault="002F361B" w:rsidP="005C174D">
      <w:pPr>
        <w:pStyle w:val="points"/>
        <w:numPr>
          <w:ilvl w:val="0"/>
          <w:numId w:val="13"/>
        </w:numPr>
        <w:tabs>
          <w:tab w:val="clear" w:pos="1400"/>
        </w:tabs>
        <w:ind w:left="1440" w:hanging="720"/>
      </w:pPr>
      <w:r w:rsidRPr="000E7722">
        <w:t>However, at the board meeting on 19 March 2015, Mr Wen proffered the 2</w:t>
      </w:r>
      <w:r w:rsidRPr="000E7722">
        <w:rPr>
          <w:vertAlign w:val="superscript"/>
        </w:rPr>
        <w:t>nd</w:t>
      </w:r>
      <w:r w:rsidRPr="000E7722">
        <w:t xml:space="preserve"> Explanation which suggested that RMB 2 billion cash had been used for the Proposed Acquisitions for the Group.</w:t>
      </w:r>
    </w:p>
    <w:p w14:paraId="229F14E1" w14:textId="34F6DE66" w:rsidR="00DA4CCD" w:rsidRDefault="00B0020B" w:rsidP="00F121D9">
      <w:pPr>
        <w:pStyle w:val="Final"/>
        <w:numPr>
          <w:ilvl w:val="0"/>
          <w:numId w:val="2"/>
        </w:numPr>
        <w:tabs>
          <w:tab w:val="clear" w:pos="720"/>
          <w:tab w:val="num" w:pos="0"/>
        </w:tabs>
        <w:ind w:left="0" w:firstLine="0"/>
        <w:rPr>
          <w:color w:val="000000" w:themeColor="text1"/>
        </w:rPr>
      </w:pPr>
      <w:r>
        <w:rPr>
          <w:color w:val="000000" w:themeColor="text1"/>
        </w:rPr>
        <w:tab/>
      </w:r>
      <w:r w:rsidR="004371D8">
        <w:rPr>
          <w:color w:val="000000" w:themeColor="text1"/>
        </w:rPr>
        <w:t xml:space="preserve">As </w:t>
      </w:r>
      <w:r w:rsidR="00BF1579">
        <w:rPr>
          <w:color w:val="000000" w:themeColor="text1"/>
        </w:rPr>
        <w:t xml:space="preserve">it is </w:t>
      </w:r>
      <w:r w:rsidR="004371D8">
        <w:rPr>
          <w:color w:val="000000" w:themeColor="text1"/>
        </w:rPr>
        <w:t>Mr Wen</w:t>
      </w:r>
      <w:r w:rsidR="00BF1579">
        <w:rPr>
          <w:color w:val="000000" w:themeColor="text1"/>
        </w:rPr>
        <w:t xml:space="preserve">’s case that the </w:t>
      </w:r>
      <w:r w:rsidR="004371D8" w:rsidRPr="0089483B">
        <w:rPr>
          <w:color w:val="000000" w:themeColor="text1"/>
        </w:rPr>
        <w:t>2</w:t>
      </w:r>
      <w:r w:rsidR="004371D8" w:rsidRPr="0089483B">
        <w:rPr>
          <w:color w:val="000000" w:themeColor="text1"/>
          <w:vertAlign w:val="superscript"/>
        </w:rPr>
        <w:t>nd</w:t>
      </w:r>
      <w:r w:rsidR="004371D8" w:rsidRPr="0089483B">
        <w:rPr>
          <w:color w:val="000000" w:themeColor="text1"/>
        </w:rPr>
        <w:t xml:space="preserve"> Explanation </w:t>
      </w:r>
      <w:r w:rsidR="00BF1579">
        <w:rPr>
          <w:color w:val="000000" w:themeColor="text1"/>
        </w:rPr>
        <w:t>represent</w:t>
      </w:r>
      <w:r w:rsidR="003C5F7B">
        <w:rPr>
          <w:color w:val="000000" w:themeColor="text1"/>
        </w:rPr>
        <w:t>ed</w:t>
      </w:r>
      <w:r w:rsidR="00BF1579">
        <w:rPr>
          <w:color w:val="000000" w:themeColor="text1"/>
        </w:rPr>
        <w:t xml:space="preserve"> the true position, the 1</w:t>
      </w:r>
      <w:r w:rsidR="00BF1579" w:rsidRPr="00BF1579">
        <w:rPr>
          <w:color w:val="000000" w:themeColor="text1"/>
          <w:vertAlign w:val="superscript"/>
        </w:rPr>
        <w:t>st</w:t>
      </w:r>
      <w:r w:rsidR="00BF1579">
        <w:rPr>
          <w:color w:val="000000" w:themeColor="text1"/>
        </w:rPr>
        <w:t xml:space="preserve"> Explanation must be </w:t>
      </w:r>
      <w:r w:rsidR="003C5F7B">
        <w:rPr>
          <w:color w:val="000000" w:themeColor="text1"/>
        </w:rPr>
        <w:t>false</w:t>
      </w:r>
      <w:r w:rsidR="00AE6CFF">
        <w:rPr>
          <w:color w:val="000000" w:themeColor="text1"/>
        </w:rPr>
        <w:t xml:space="preserve">.  </w:t>
      </w:r>
      <w:r w:rsidR="00DA4CCD">
        <w:rPr>
          <w:color w:val="000000" w:themeColor="text1"/>
        </w:rPr>
        <w:t xml:space="preserve">Ms Liao has not advanced any explanation </w:t>
      </w:r>
      <w:r w:rsidR="003C5F7B">
        <w:rPr>
          <w:color w:val="000000" w:themeColor="text1"/>
        </w:rPr>
        <w:t xml:space="preserve">as to </w:t>
      </w:r>
      <w:r w:rsidR="00DA4CCD">
        <w:rPr>
          <w:color w:val="000000" w:themeColor="text1"/>
        </w:rPr>
        <w:t xml:space="preserve">why </w:t>
      </w:r>
      <w:r w:rsidR="00F715DF">
        <w:rPr>
          <w:color w:val="000000" w:themeColor="text1"/>
        </w:rPr>
        <w:t xml:space="preserve">Mr Wen </w:t>
      </w:r>
      <w:r w:rsidR="00DA4CCD">
        <w:rPr>
          <w:color w:val="000000" w:themeColor="text1"/>
        </w:rPr>
        <w:t>provide</w:t>
      </w:r>
      <w:r w:rsidR="003C5F7B">
        <w:rPr>
          <w:color w:val="000000" w:themeColor="text1"/>
        </w:rPr>
        <w:t>d such</w:t>
      </w:r>
      <w:r w:rsidR="00DA4CCD">
        <w:rPr>
          <w:color w:val="000000" w:themeColor="text1"/>
        </w:rPr>
        <w:t xml:space="preserve"> false information to the board and the audit committee</w:t>
      </w:r>
      <w:r w:rsidR="00AE6CFF">
        <w:rPr>
          <w:color w:val="000000" w:themeColor="text1"/>
        </w:rPr>
        <w:t xml:space="preserve">.  </w:t>
      </w:r>
    </w:p>
    <w:p w14:paraId="6D2BA22C" w14:textId="39CCA2A3" w:rsidR="008A798E" w:rsidRDefault="00561C82" w:rsidP="00E01412">
      <w:pPr>
        <w:pStyle w:val="Final"/>
        <w:numPr>
          <w:ilvl w:val="0"/>
          <w:numId w:val="2"/>
        </w:numPr>
        <w:tabs>
          <w:tab w:val="clear" w:pos="720"/>
          <w:tab w:val="num" w:pos="0"/>
        </w:tabs>
        <w:ind w:left="0" w:firstLine="0"/>
        <w:rPr>
          <w:color w:val="000000" w:themeColor="text1"/>
        </w:rPr>
      </w:pPr>
      <w:r>
        <w:rPr>
          <w:color w:val="000000" w:themeColor="text1"/>
        </w:rPr>
        <w:tab/>
        <w:t>As regards the 2</w:t>
      </w:r>
      <w:r w:rsidRPr="00561C82">
        <w:rPr>
          <w:color w:val="000000" w:themeColor="text1"/>
          <w:vertAlign w:val="superscript"/>
        </w:rPr>
        <w:t>nd</w:t>
      </w:r>
      <w:r>
        <w:rPr>
          <w:color w:val="000000" w:themeColor="text1"/>
        </w:rPr>
        <w:t xml:space="preserve"> Explanation, </w:t>
      </w:r>
      <w:bookmarkStart w:id="8" w:name="_Ref103678964"/>
      <w:r w:rsidR="00B05F67">
        <w:rPr>
          <w:color w:val="000000" w:themeColor="text1"/>
        </w:rPr>
        <w:t xml:space="preserve">the </w:t>
      </w:r>
      <w:r w:rsidR="00190CEF">
        <w:rPr>
          <w:color w:val="000000" w:themeColor="text1"/>
        </w:rPr>
        <w:t xml:space="preserve">evidence before the court </w:t>
      </w:r>
      <w:r w:rsidR="00B05F67">
        <w:rPr>
          <w:color w:val="000000" w:themeColor="text1"/>
        </w:rPr>
        <w:t>show</w:t>
      </w:r>
      <w:r w:rsidR="00190CEF">
        <w:rPr>
          <w:color w:val="000000" w:themeColor="text1"/>
        </w:rPr>
        <w:t>s</w:t>
      </w:r>
      <w:r w:rsidR="00B05F67">
        <w:rPr>
          <w:color w:val="000000" w:themeColor="text1"/>
        </w:rPr>
        <w:t xml:space="preserve"> that </w:t>
      </w:r>
      <w:r w:rsidR="00E0164D">
        <w:rPr>
          <w:color w:val="000000" w:themeColor="text1"/>
        </w:rPr>
        <w:t>the 2</w:t>
      </w:r>
      <w:r w:rsidR="00E0164D" w:rsidRPr="00E0164D">
        <w:rPr>
          <w:color w:val="000000" w:themeColor="text1"/>
          <w:vertAlign w:val="superscript"/>
        </w:rPr>
        <w:t>nd</w:t>
      </w:r>
      <w:r w:rsidR="00E0164D">
        <w:rPr>
          <w:color w:val="000000" w:themeColor="text1"/>
        </w:rPr>
        <w:t xml:space="preserve"> Explanation </w:t>
      </w:r>
      <w:r w:rsidR="00556D53">
        <w:rPr>
          <w:color w:val="000000" w:themeColor="text1"/>
        </w:rPr>
        <w:t xml:space="preserve">must be </w:t>
      </w:r>
      <w:r w:rsidR="008A798E" w:rsidRPr="00E01412">
        <w:rPr>
          <w:color w:val="000000" w:themeColor="text1"/>
        </w:rPr>
        <w:t>false</w:t>
      </w:r>
      <w:r w:rsidR="00E01412">
        <w:rPr>
          <w:color w:val="000000" w:themeColor="text1"/>
        </w:rPr>
        <w:t>.</w:t>
      </w:r>
      <w:r w:rsidR="008A798E">
        <w:rPr>
          <w:rStyle w:val="FootnoteReference"/>
          <w:color w:val="000000" w:themeColor="text1"/>
        </w:rPr>
        <w:footnoteReference w:id="48"/>
      </w:r>
      <w:bookmarkEnd w:id="8"/>
    </w:p>
    <w:p w14:paraId="526E7070" w14:textId="494F5636" w:rsidR="009C69C3" w:rsidRPr="009C69C3" w:rsidRDefault="00AD08B4" w:rsidP="00E01412">
      <w:pPr>
        <w:pStyle w:val="Final"/>
        <w:numPr>
          <w:ilvl w:val="0"/>
          <w:numId w:val="2"/>
        </w:numPr>
        <w:tabs>
          <w:tab w:val="clear" w:pos="720"/>
          <w:tab w:val="num" w:pos="0"/>
        </w:tabs>
        <w:ind w:left="0" w:firstLine="0"/>
        <w:rPr>
          <w:color w:val="000000" w:themeColor="text1"/>
        </w:rPr>
      </w:pPr>
      <w:r w:rsidRPr="00486E85">
        <w:rPr>
          <w:color w:val="000000" w:themeColor="text1"/>
          <w:u w:val="single"/>
        </w:rPr>
        <w:t>First</w:t>
      </w:r>
      <w:r>
        <w:rPr>
          <w:color w:val="000000" w:themeColor="text1"/>
        </w:rPr>
        <w:t xml:space="preserve">, </w:t>
      </w:r>
      <w:r w:rsidR="003E62BB">
        <w:rPr>
          <w:color w:val="000000" w:themeColor="text1"/>
        </w:rPr>
        <w:t xml:space="preserve">there </w:t>
      </w:r>
      <w:r w:rsidR="00701628">
        <w:rPr>
          <w:color w:val="000000" w:themeColor="text1"/>
        </w:rPr>
        <w:t>wa</w:t>
      </w:r>
      <w:r w:rsidR="003E62BB">
        <w:rPr>
          <w:color w:val="000000" w:themeColor="text1"/>
        </w:rPr>
        <w:t xml:space="preserve">s no dispute that the Group’s bank balances in the 2012 AFS and 2013 AFS </w:t>
      </w:r>
      <w:r w:rsidR="00701628">
        <w:rPr>
          <w:color w:val="000000" w:themeColor="text1"/>
        </w:rPr>
        <w:t xml:space="preserve">had been </w:t>
      </w:r>
      <w:r w:rsidRPr="003A493E">
        <w:t>overstate</w:t>
      </w:r>
      <w:r w:rsidR="00B81B08" w:rsidRPr="003A493E">
        <w:t xml:space="preserve">d by </w:t>
      </w:r>
      <w:r w:rsidRPr="003A493E">
        <w:t xml:space="preserve">RMB 2.18 billion </w:t>
      </w:r>
      <w:r>
        <w:t xml:space="preserve">and RMB 2.72 billion </w:t>
      </w:r>
      <w:r w:rsidR="00B81B08">
        <w:t>respectively</w:t>
      </w:r>
      <w:r w:rsidR="00AE6CFF">
        <w:t xml:space="preserve">.  </w:t>
      </w:r>
      <w:r w:rsidR="004C0CA4">
        <w:t xml:space="preserve">If one deducts the 2012 Discrepancy </w:t>
      </w:r>
      <w:r w:rsidR="00DC7AAC">
        <w:t xml:space="preserve">and the 2013 Discrepancy </w:t>
      </w:r>
      <w:r w:rsidR="004C0CA4">
        <w:t xml:space="preserve">from the </w:t>
      </w:r>
      <w:r w:rsidR="009504A8">
        <w:t xml:space="preserve">Group’s </w:t>
      </w:r>
      <w:r w:rsidR="004C0CA4">
        <w:t>“bank balances and cash”</w:t>
      </w:r>
      <w:r w:rsidR="00A228B8">
        <w:t xml:space="preserve"> in the 2012 AFS and 2013 AFS</w:t>
      </w:r>
      <w:r w:rsidR="00650904">
        <w:t xml:space="preserve">, </w:t>
      </w:r>
      <w:r w:rsidR="004C0CA4">
        <w:t xml:space="preserve">the Group </w:t>
      </w:r>
      <w:r w:rsidR="00650904">
        <w:t>only had “b</w:t>
      </w:r>
      <w:r w:rsidR="003A493E">
        <w:t>ank balances</w:t>
      </w:r>
      <w:r w:rsidR="00650904">
        <w:t xml:space="preserve"> and cash” of RMB 732 million</w:t>
      </w:r>
      <w:r w:rsidR="00CD7C30">
        <w:t xml:space="preserve"> and RMB 814 million</w:t>
      </w:r>
      <w:r w:rsidR="00B1759B" w:rsidRPr="00B1759B">
        <w:t xml:space="preserve"> </w:t>
      </w:r>
      <w:r w:rsidR="00B1759B">
        <w:t>as at 31 December 2012 and 2013 respectively</w:t>
      </w:r>
      <w:r w:rsidR="00AE6CFF">
        <w:t xml:space="preserve">.  </w:t>
      </w:r>
      <w:r w:rsidR="00152F54">
        <w:t xml:space="preserve">This means that the </w:t>
      </w:r>
      <w:r>
        <w:t xml:space="preserve">Group </w:t>
      </w:r>
      <w:r w:rsidR="009C69C3">
        <w:t xml:space="preserve">would </w:t>
      </w:r>
      <w:r w:rsidR="00152F54">
        <w:t xml:space="preserve">not have RMB 2 billion cash </w:t>
      </w:r>
      <w:r w:rsidR="009C69C3">
        <w:t xml:space="preserve">alleged to have </w:t>
      </w:r>
      <w:r>
        <w:t xml:space="preserve">been </w:t>
      </w:r>
      <w:r w:rsidR="009C69C3">
        <w:t xml:space="preserve">withdrawn from its </w:t>
      </w:r>
      <w:r>
        <w:t>bank accounts in November 2014</w:t>
      </w:r>
      <w:r w:rsidR="00AE6CFF">
        <w:t xml:space="preserve">.  </w:t>
      </w:r>
    </w:p>
    <w:p w14:paraId="567B0B71" w14:textId="41EAEC63" w:rsidR="00BA1109" w:rsidRPr="00BA1109" w:rsidRDefault="009C69C3" w:rsidP="009C69C3">
      <w:pPr>
        <w:pStyle w:val="Final"/>
        <w:numPr>
          <w:ilvl w:val="0"/>
          <w:numId w:val="2"/>
        </w:numPr>
        <w:tabs>
          <w:tab w:val="clear" w:pos="720"/>
          <w:tab w:val="num" w:pos="0"/>
        </w:tabs>
        <w:ind w:left="0" w:firstLine="0"/>
        <w:rPr>
          <w:color w:val="000000" w:themeColor="text1"/>
        </w:rPr>
      </w:pPr>
      <w:r w:rsidRPr="00486E85">
        <w:rPr>
          <w:u w:val="single"/>
        </w:rPr>
        <w:lastRenderedPageBreak/>
        <w:t>Second</w:t>
      </w:r>
      <w:r>
        <w:t xml:space="preserve">, the CSRC’s Records show that </w:t>
      </w:r>
      <w:r w:rsidR="005F5422">
        <w:t xml:space="preserve">none of </w:t>
      </w:r>
      <w:r>
        <w:t xml:space="preserve">the 3 </w:t>
      </w:r>
      <w:r w:rsidR="002C21AE">
        <w:rPr>
          <w:color w:val="000000" w:themeColor="text1"/>
        </w:rPr>
        <w:t>alleged payments of (1) RMB 600 million on 4 November 2014, (2) RMB 870 million on 24 November 2014, and (3) RMB 530 million on 24 November 2014</w:t>
      </w:r>
      <w:r w:rsidR="00AD08B4">
        <w:t xml:space="preserve">, </w:t>
      </w:r>
      <w:r w:rsidR="006118F6">
        <w:t>referred to by Mr Wen and formed part of his 2</w:t>
      </w:r>
      <w:r w:rsidR="006118F6" w:rsidRPr="006118F6">
        <w:rPr>
          <w:vertAlign w:val="superscript"/>
        </w:rPr>
        <w:t>nd</w:t>
      </w:r>
      <w:r w:rsidR="006118F6">
        <w:t xml:space="preserve"> Explanation</w:t>
      </w:r>
      <w:r w:rsidR="00701628">
        <w:t>,</w:t>
      </w:r>
      <w:r w:rsidR="006118F6">
        <w:t xml:space="preserve"> had in fact been paid</w:t>
      </w:r>
      <w:r w:rsidR="00AE118B">
        <w:t xml:space="preserve"> out of the 8 Bank Accounts</w:t>
      </w:r>
      <w:r w:rsidR="00AE6CFF">
        <w:t xml:space="preserve">.  </w:t>
      </w:r>
    </w:p>
    <w:p w14:paraId="2262926F" w14:textId="6D8BF202" w:rsidR="008A798E" w:rsidRDefault="00BA1109" w:rsidP="009C69C3">
      <w:pPr>
        <w:pStyle w:val="Final"/>
        <w:numPr>
          <w:ilvl w:val="0"/>
          <w:numId w:val="2"/>
        </w:numPr>
        <w:tabs>
          <w:tab w:val="clear" w:pos="720"/>
          <w:tab w:val="num" w:pos="0"/>
        </w:tabs>
        <w:ind w:left="0" w:firstLine="0"/>
        <w:rPr>
          <w:color w:val="000000" w:themeColor="text1"/>
        </w:rPr>
      </w:pPr>
      <w:r w:rsidRPr="00486E85">
        <w:rPr>
          <w:u w:val="single"/>
        </w:rPr>
        <w:t>Third</w:t>
      </w:r>
      <w:r>
        <w:t xml:space="preserve">, </w:t>
      </w:r>
      <w:r w:rsidR="00AE118B">
        <w:rPr>
          <w:color w:val="000000" w:themeColor="text1"/>
        </w:rPr>
        <w:t xml:space="preserve">although Mr Wen asserted that RMB 2 billion </w:t>
      </w:r>
      <w:r w:rsidR="00701628">
        <w:rPr>
          <w:color w:val="000000" w:themeColor="text1"/>
        </w:rPr>
        <w:t xml:space="preserve">had been </w:t>
      </w:r>
      <w:r w:rsidR="00AE118B">
        <w:rPr>
          <w:color w:val="000000" w:themeColor="text1"/>
        </w:rPr>
        <w:t xml:space="preserve">paid as earnest money for the Proposed Acquisitions, he </w:t>
      </w:r>
      <w:r w:rsidR="008959E3">
        <w:rPr>
          <w:color w:val="000000" w:themeColor="text1"/>
        </w:rPr>
        <w:t>has not produced any documents in respect of the Proposed Acqui</w:t>
      </w:r>
      <w:r w:rsidR="00E6323D">
        <w:rPr>
          <w:color w:val="000000" w:themeColor="text1"/>
        </w:rPr>
        <w:t>sitions</w:t>
      </w:r>
      <w:r w:rsidR="00AE6CFF">
        <w:rPr>
          <w:color w:val="000000" w:themeColor="text1"/>
        </w:rPr>
        <w:t xml:space="preserve">.  </w:t>
      </w:r>
    </w:p>
    <w:p w14:paraId="2848E73E" w14:textId="58C54830" w:rsidR="00F80820" w:rsidRPr="00190CEF" w:rsidRDefault="00801ECE" w:rsidP="009C69C3">
      <w:pPr>
        <w:pStyle w:val="Final"/>
        <w:numPr>
          <w:ilvl w:val="0"/>
          <w:numId w:val="2"/>
        </w:numPr>
        <w:tabs>
          <w:tab w:val="clear" w:pos="720"/>
          <w:tab w:val="num" w:pos="0"/>
        </w:tabs>
        <w:ind w:left="0" w:firstLine="0"/>
        <w:rPr>
          <w:color w:val="000000" w:themeColor="text1"/>
        </w:rPr>
      </w:pPr>
      <w:r>
        <w:t>The 2</w:t>
      </w:r>
      <w:r w:rsidRPr="00801ECE">
        <w:rPr>
          <w:vertAlign w:val="superscript"/>
        </w:rPr>
        <w:t>nd</w:t>
      </w:r>
      <w:r>
        <w:t xml:space="preserve"> Explanation was admittedly provided by Mr Wen to</w:t>
      </w:r>
      <w:r w:rsidR="00084EF2">
        <w:t>, and relied upon by</w:t>
      </w:r>
      <w:r>
        <w:t xml:space="preserve"> RSM and PKF</w:t>
      </w:r>
      <w:r w:rsidR="00084EF2">
        <w:t>,</w:t>
      </w:r>
      <w:r>
        <w:t xml:space="preserve"> which were engaged by the Company to investigate the 2015 Cash Discrepancy</w:t>
      </w:r>
      <w:r w:rsidR="00AE6CFF">
        <w:t xml:space="preserve">.  </w:t>
      </w:r>
      <w:r w:rsidR="00084EF2">
        <w:t xml:space="preserve">The conclusions of the reports </w:t>
      </w:r>
      <w:r w:rsidR="004C7785">
        <w:t>of</w:t>
      </w:r>
      <w:r w:rsidR="00084EF2">
        <w:t xml:space="preserve"> RSM and PKF were announced by the Company</w:t>
      </w:r>
      <w:r w:rsidR="00B849FB">
        <w:t xml:space="preserve"> </w:t>
      </w:r>
      <w:r w:rsidR="00084EF2">
        <w:t xml:space="preserve">to the </w:t>
      </w:r>
      <w:r w:rsidR="00160A3F">
        <w:t>member</w:t>
      </w:r>
      <w:r w:rsidR="00084EF2">
        <w:t>s and</w:t>
      </w:r>
      <w:r w:rsidR="00C04251">
        <w:t xml:space="preserve"> </w:t>
      </w:r>
      <w:r w:rsidR="00B849FB">
        <w:t>provided to SEHK and the SFC</w:t>
      </w:r>
      <w:r w:rsidR="00B849FB">
        <w:rPr>
          <w:rStyle w:val="FootnoteReference"/>
          <w:color w:val="000000" w:themeColor="text1"/>
        </w:rPr>
        <w:footnoteReference w:id="49"/>
      </w:r>
      <w:r w:rsidR="00AE6CFF">
        <w:t xml:space="preserve">.  </w:t>
      </w:r>
    </w:p>
    <w:p w14:paraId="4CF61250" w14:textId="324CF3F4" w:rsidR="00E818B6" w:rsidRPr="00E818B6" w:rsidRDefault="00E818B6" w:rsidP="009C69C3">
      <w:pPr>
        <w:pStyle w:val="Final"/>
        <w:numPr>
          <w:ilvl w:val="0"/>
          <w:numId w:val="2"/>
        </w:numPr>
        <w:tabs>
          <w:tab w:val="clear" w:pos="720"/>
          <w:tab w:val="num" w:pos="0"/>
        </w:tabs>
        <w:ind w:left="0" w:firstLine="0"/>
        <w:rPr>
          <w:color w:val="000000" w:themeColor="text1"/>
        </w:rPr>
      </w:pPr>
      <w:r>
        <w:rPr>
          <w:color w:val="000000" w:themeColor="text1"/>
        </w:rPr>
        <w:t>In her Closing, Ms Liao submit</w:t>
      </w:r>
      <w:r w:rsidR="00701628">
        <w:rPr>
          <w:color w:val="000000" w:themeColor="text1"/>
        </w:rPr>
        <w:t>ted</w:t>
      </w:r>
      <w:r>
        <w:rPr>
          <w:color w:val="000000" w:themeColor="text1"/>
        </w:rPr>
        <w:t xml:space="preserve"> that “there is no evidence to suggest that the Proposed Acquisitions are not genuine” </w:t>
      </w:r>
      <w:r w:rsidR="007615C9">
        <w:rPr>
          <w:color w:val="000000" w:themeColor="text1"/>
        </w:rPr>
        <w:t xml:space="preserve">and reliance </w:t>
      </w:r>
      <w:r w:rsidR="007903B3">
        <w:rPr>
          <w:color w:val="000000" w:themeColor="text1"/>
        </w:rPr>
        <w:t>wa</w:t>
      </w:r>
      <w:r w:rsidR="007615C9">
        <w:rPr>
          <w:color w:val="000000" w:themeColor="text1"/>
        </w:rPr>
        <w:t xml:space="preserve">s placed on RSM’s </w:t>
      </w:r>
      <w:r w:rsidR="00712608">
        <w:rPr>
          <w:color w:val="000000" w:themeColor="text1"/>
        </w:rPr>
        <w:t>conclusions which she sa</w:t>
      </w:r>
      <w:r w:rsidR="00794591">
        <w:rPr>
          <w:color w:val="000000" w:themeColor="text1"/>
        </w:rPr>
        <w:t>id</w:t>
      </w:r>
      <w:r w:rsidR="00712608">
        <w:rPr>
          <w:color w:val="000000" w:themeColor="text1"/>
        </w:rPr>
        <w:t xml:space="preserve"> </w:t>
      </w:r>
      <w:r w:rsidR="00794591">
        <w:rPr>
          <w:color w:val="000000" w:themeColor="text1"/>
        </w:rPr>
        <w:t xml:space="preserve">had been </w:t>
      </w:r>
      <w:r w:rsidR="00712608">
        <w:rPr>
          <w:color w:val="000000" w:themeColor="text1"/>
        </w:rPr>
        <w:t>reached by RSM after carrying out on-site inspections of the projects, conducting extensive interviews and forensic analysis of the Company’s staff and electronic documents relating to the Proposed Acquisitions</w:t>
      </w:r>
      <w:r w:rsidR="00AE6CFF">
        <w:rPr>
          <w:color w:val="000000" w:themeColor="text1"/>
        </w:rPr>
        <w:t xml:space="preserve">.  </w:t>
      </w:r>
      <w:r w:rsidR="00712608">
        <w:rPr>
          <w:color w:val="000000" w:themeColor="text1"/>
        </w:rPr>
        <w:t>The submission misses the point</w:t>
      </w:r>
      <w:r w:rsidR="00AE6CFF">
        <w:rPr>
          <w:color w:val="000000" w:themeColor="text1"/>
        </w:rPr>
        <w:t xml:space="preserve">.  </w:t>
      </w:r>
      <w:r w:rsidR="00712608">
        <w:rPr>
          <w:color w:val="000000" w:themeColor="text1"/>
        </w:rPr>
        <w:t>The burden is on Mr Wen to prove his assertions</w:t>
      </w:r>
      <w:r w:rsidR="00E52B4B">
        <w:rPr>
          <w:color w:val="000000" w:themeColor="text1"/>
        </w:rPr>
        <w:t xml:space="preserve"> (</w:t>
      </w:r>
      <w:r w:rsidR="00C3137A">
        <w:rPr>
          <w:color w:val="000000" w:themeColor="text1"/>
        </w:rPr>
        <w:t>i.e</w:t>
      </w:r>
      <w:r w:rsidR="002C060F">
        <w:rPr>
          <w:color w:val="000000" w:themeColor="text1"/>
        </w:rPr>
        <w:t>.</w:t>
      </w:r>
      <w:r w:rsidR="00AE6CFF">
        <w:rPr>
          <w:color w:val="000000" w:themeColor="text1"/>
        </w:rPr>
        <w:t xml:space="preserve"> </w:t>
      </w:r>
      <w:r w:rsidR="00E52B4B">
        <w:rPr>
          <w:color w:val="000000" w:themeColor="text1"/>
        </w:rPr>
        <w:t>that the Proposed Acquisitions were genuine and RMB 2 billion was paid by the Group for such Acquisitions)</w:t>
      </w:r>
      <w:r w:rsidR="00AE6CFF">
        <w:rPr>
          <w:color w:val="000000" w:themeColor="text1"/>
        </w:rPr>
        <w:t xml:space="preserve">.  </w:t>
      </w:r>
      <w:r w:rsidR="00C3137A">
        <w:rPr>
          <w:color w:val="000000" w:themeColor="text1"/>
        </w:rPr>
        <w:t>It is not for the SFC to prove a negative</w:t>
      </w:r>
      <w:r w:rsidR="00AE6CFF">
        <w:rPr>
          <w:color w:val="000000" w:themeColor="text1"/>
        </w:rPr>
        <w:t xml:space="preserve">.  </w:t>
      </w:r>
      <w:r w:rsidR="00C3137A">
        <w:rPr>
          <w:color w:val="000000" w:themeColor="text1"/>
        </w:rPr>
        <w:t xml:space="preserve">As for RSM’s conclusions, they were </w:t>
      </w:r>
      <w:r w:rsidR="00D51EC2">
        <w:rPr>
          <w:color w:val="000000" w:themeColor="text1"/>
        </w:rPr>
        <w:t xml:space="preserve">based on </w:t>
      </w:r>
      <w:r w:rsidR="00C3137A">
        <w:rPr>
          <w:color w:val="000000" w:themeColor="text1"/>
        </w:rPr>
        <w:t>the 2</w:t>
      </w:r>
      <w:r w:rsidR="00C3137A" w:rsidRPr="00C3137A">
        <w:rPr>
          <w:color w:val="000000" w:themeColor="text1"/>
          <w:vertAlign w:val="superscript"/>
        </w:rPr>
        <w:t>nd</w:t>
      </w:r>
      <w:r w:rsidR="00C3137A">
        <w:rPr>
          <w:color w:val="000000" w:themeColor="text1"/>
        </w:rPr>
        <w:t xml:space="preserve"> Explanation </w:t>
      </w:r>
      <w:r w:rsidR="008F0971">
        <w:rPr>
          <w:color w:val="000000" w:themeColor="text1"/>
        </w:rPr>
        <w:t xml:space="preserve">provided </w:t>
      </w:r>
      <w:r w:rsidR="008F0971">
        <w:rPr>
          <w:color w:val="000000" w:themeColor="text1"/>
        </w:rPr>
        <w:lastRenderedPageBreak/>
        <w:t>by Mr Wen</w:t>
      </w:r>
      <w:r w:rsidR="00AE6CFF">
        <w:rPr>
          <w:color w:val="000000" w:themeColor="text1"/>
        </w:rPr>
        <w:t xml:space="preserve">.  </w:t>
      </w:r>
      <w:r w:rsidR="004208E8">
        <w:rPr>
          <w:color w:val="000000" w:themeColor="text1"/>
        </w:rPr>
        <w:t xml:space="preserve">The conclusions cannot be right </w:t>
      </w:r>
      <w:r w:rsidR="00CF2265">
        <w:rPr>
          <w:color w:val="000000" w:themeColor="text1"/>
        </w:rPr>
        <w:t xml:space="preserve">in view of the facts and matters stated in </w:t>
      </w:r>
      <w:r w:rsidR="00B85F17" w:rsidRPr="00486E85">
        <w:rPr>
          <w:color w:val="000000" w:themeColor="text1"/>
        </w:rPr>
        <w:t xml:space="preserve">§§84 </w:t>
      </w:r>
      <w:r w:rsidR="00127C33" w:rsidRPr="00486E85">
        <w:rPr>
          <w:color w:val="000000" w:themeColor="text1"/>
        </w:rPr>
        <w:t>-</w:t>
      </w:r>
      <w:r w:rsidR="00B85F17" w:rsidRPr="00486E85">
        <w:rPr>
          <w:color w:val="000000" w:themeColor="text1"/>
        </w:rPr>
        <w:t xml:space="preserve"> 86</w:t>
      </w:r>
      <w:r w:rsidR="00B85F17">
        <w:rPr>
          <w:color w:val="000000" w:themeColor="text1"/>
        </w:rPr>
        <w:t xml:space="preserve"> above</w:t>
      </w:r>
      <w:r w:rsidR="00AE6CFF">
        <w:rPr>
          <w:color w:val="000000" w:themeColor="text1"/>
        </w:rPr>
        <w:t xml:space="preserve">.  </w:t>
      </w:r>
    </w:p>
    <w:p w14:paraId="4D907814" w14:textId="2FC05165" w:rsidR="00380352" w:rsidRPr="00380352" w:rsidRDefault="00380352" w:rsidP="009C69C3">
      <w:pPr>
        <w:pStyle w:val="Final"/>
        <w:numPr>
          <w:ilvl w:val="0"/>
          <w:numId w:val="2"/>
        </w:numPr>
        <w:tabs>
          <w:tab w:val="clear" w:pos="720"/>
          <w:tab w:val="num" w:pos="0"/>
        </w:tabs>
        <w:ind w:left="0" w:firstLine="0"/>
        <w:rPr>
          <w:color w:val="000000" w:themeColor="text1"/>
        </w:rPr>
      </w:pPr>
      <w:r w:rsidRPr="00486E85">
        <w:rPr>
          <w:color w:val="000000" w:themeColor="text1"/>
          <w:u w:val="single"/>
        </w:rPr>
        <w:t>Lastly</w:t>
      </w:r>
      <w:r>
        <w:rPr>
          <w:color w:val="000000" w:themeColor="text1"/>
        </w:rPr>
        <w:t>, Ms Liao argue</w:t>
      </w:r>
      <w:r w:rsidR="00A36711">
        <w:rPr>
          <w:color w:val="000000" w:themeColor="text1"/>
        </w:rPr>
        <w:t>d</w:t>
      </w:r>
      <w:r>
        <w:rPr>
          <w:color w:val="000000" w:themeColor="text1"/>
        </w:rPr>
        <w:t xml:space="preserve"> that it was reasonable for Mr Wen to form the view that the Company as a whole had sufficient funds to pay for the earnest money</w:t>
      </w:r>
      <w:r w:rsidR="00AE6CFF">
        <w:rPr>
          <w:color w:val="000000" w:themeColor="text1"/>
        </w:rPr>
        <w:t xml:space="preserve">.  </w:t>
      </w:r>
      <w:r>
        <w:rPr>
          <w:color w:val="000000" w:themeColor="text1"/>
        </w:rPr>
        <w:t xml:space="preserve">Reliance </w:t>
      </w:r>
      <w:r w:rsidR="002A045B">
        <w:rPr>
          <w:color w:val="000000" w:themeColor="text1"/>
        </w:rPr>
        <w:t>wa</w:t>
      </w:r>
      <w:r>
        <w:rPr>
          <w:color w:val="000000" w:themeColor="text1"/>
        </w:rPr>
        <w:t xml:space="preserve">s placed on the 2013 AFS which referred to the funds raised by the Company in 2013 and Mr Yu’s evidence </w:t>
      </w:r>
      <w:r w:rsidR="00487661">
        <w:rPr>
          <w:color w:val="000000" w:themeColor="text1"/>
        </w:rPr>
        <w:t xml:space="preserve">where he said </w:t>
      </w:r>
      <w:r>
        <w:rPr>
          <w:color w:val="000000" w:themeColor="text1"/>
        </w:rPr>
        <w:t>that his impression was that the Company had</w:t>
      </w:r>
      <w:r w:rsidR="00487661">
        <w:rPr>
          <w:color w:val="000000" w:themeColor="text1"/>
        </w:rPr>
        <w:t xml:space="preserve"> sufficient funds at its disposal in 2012-2013</w:t>
      </w:r>
      <w:r w:rsidR="00AE6CFF">
        <w:rPr>
          <w:color w:val="000000" w:themeColor="text1"/>
        </w:rPr>
        <w:t xml:space="preserve">.  </w:t>
      </w:r>
      <w:r w:rsidR="00487661">
        <w:rPr>
          <w:color w:val="000000" w:themeColor="text1"/>
        </w:rPr>
        <w:t>The argument is flawed</w:t>
      </w:r>
      <w:r w:rsidR="00AE6CFF">
        <w:rPr>
          <w:color w:val="000000" w:themeColor="text1"/>
        </w:rPr>
        <w:t xml:space="preserve">.  </w:t>
      </w:r>
      <w:r w:rsidR="00487661">
        <w:rPr>
          <w:color w:val="000000" w:themeColor="text1"/>
        </w:rPr>
        <w:t>The issue is whether the</w:t>
      </w:r>
      <w:r w:rsidR="00D901EE">
        <w:rPr>
          <w:color w:val="000000" w:themeColor="text1"/>
        </w:rPr>
        <w:t xml:space="preserve"> 1</w:t>
      </w:r>
      <w:r w:rsidR="00D901EE" w:rsidRPr="00D901EE">
        <w:rPr>
          <w:color w:val="000000" w:themeColor="text1"/>
          <w:vertAlign w:val="superscript"/>
        </w:rPr>
        <w:t>st</w:t>
      </w:r>
      <w:r w:rsidR="00D901EE">
        <w:rPr>
          <w:color w:val="000000" w:themeColor="text1"/>
        </w:rPr>
        <w:t xml:space="preserve"> and 2</w:t>
      </w:r>
      <w:r w:rsidR="00D901EE" w:rsidRPr="00D901EE">
        <w:rPr>
          <w:color w:val="000000" w:themeColor="text1"/>
          <w:vertAlign w:val="superscript"/>
        </w:rPr>
        <w:t>nd</w:t>
      </w:r>
      <w:r w:rsidR="00D901EE">
        <w:rPr>
          <w:color w:val="000000" w:themeColor="text1"/>
        </w:rPr>
        <w:t xml:space="preserve"> Explanations were false</w:t>
      </w:r>
      <w:r w:rsidR="00AE6CFF">
        <w:rPr>
          <w:color w:val="000000" w:themeColor="text1"/>
        </w:rPr>
        <w:t xml:space="preserve">. </w:t>
      </w:r>
      <w:r w:rsidR="00487661">
        <w:rPr>
          <w:color w:val="000000" w:themeColor="text1"/>
        </w:rPr>
        <w:t xml:space="preserve"> </w:t>
      </w:r>
      <w:r w:rsidR="00D901EE">
        <w:rPr>
          <w:color w:val="000000" w:themeColor="text1"/>
        </w:rPr>
        <w:t>For the reasons stated, the Group could not have the cash/bank balances to pay the earnest money and none of the 3 alleged payments were in fact paid out of the 8 Bank Accounts</w:t>
      </w:r>
      <w:r w:rsidR="00AE6CFF">
        <w:rPr>
          <w:color w:val="000000" w:themeColor="text1"/>
        </w:rPr>
        <w:t xml:space="preserve">.  </w:t>
      </w:r>
      <w:r w:rsidR="00D901EE">
        <w:rPr>
          <w:color w:val="000000" w:themeColor="text1"/>
        </w:rPr>
        <w:t>It is irrelevant whether Mr Wen tho</w:t>
      </w:r>
      <w:r w:rsidR="00BC0F43">
        <w:rPr>
          <w:color w:val="000000" w:themeColor="text1"/>
        </w:rPr>
        <w:t>ugh</w:t>
      </w:r>
      <w:r w:rsidR="00D901EE">
        <w:rPr>
          <w:color w:val="000000" w:themeColor="text1"/>
        </w:rPr>
        <w:t>t that the Company had sufficient funds to pay the earnest mo</w:t>
      </w:r>
      <w:r w:rsidR="005C69F0">
        <w:rPr>
          <w:color w:val="000000" w:themeColor="text1"/>
        </w:rPr>
        <w:t>ney</w:t>
      </w:r>
      <w:r w:rsidR="00AE6CFF">
        <w:rPr>
          <w:color w:val="000000" w:themeColor="text1"/>
        </w:rPr>
        <w:t xml:space="preserve">.  </w:t>
      </w:r>
    </w:p>
    <w:p w14:paraId="2F5019CD" w14:textId="543D55A9" w:rsidR="00190CEF" w:rsidRDefault="00922FBF" w:rsidP="009C69C3">
      <w:pPr>
        <w:pStyle w:val="Final"/>
        <w:numPr>
          <w:ilvl w:val="0"/>
          <w:numId w:val="2"/>
        </w:numPr>
        <w:tabs>
          <w:tab w:val="clear" w:pos="720"/>
          <w:tab w:val="num" w:pos="0"/>
        </w:tabs>
        <w:ind w:left="0" w:firstLine="0"/>
        <w:rPr>
          <w:color w:val="000000" w:themeColor="text1"/>
        </w:rPr>
      </w:pPr>
      <w:r>
        <w:t>For the above reasons,</w:t>
      </w:r>
      <w:r w:rsidR="00FF7701">
        <w:t xml:space="preserve"> </w:t>
      </w:r>
      <w:r w:rsidR="00EB108A">
        <w:t xml:space="preserve">there is cogent evidence in support of the SFC’s case that </w:t>
      </w:r>
      <w:r>
        <w:rPr>
          <w:color w:val="000000" w:themeColor="text1"/>
        </w:rPr>
        <w:t xml:space="preserve">Mr Wen gave false explanations regarding the 2015 Cash Discrepancy to </w:t>
      </w:r>
      <w:r w:rsidR="004D3799">
        <w:rPr>
          <w:color w:val="000000" w:themeColor="text1"/>
        </w:rPr>
        <w:t xml:space="preserve">the other members of the board, the audit committee, Deloitte, </w:t>
      </w:r>
      <w:r>
        <w:rPr>
          <w:color w:val="000000" w:themeColor="text1"/>
        </w:rPr>
        <w:t xml:space="preserve">RSM, </w:t>
      </w:r>
      <w:r w:rsidR="006F1E7D">
        <w:rPr>
          <w:color w:val="000000" w:themeColor="text1"/>
        </w:rPr>
        <w:t>P</w:t>
      </w:r>
      <w:r w:rsidR="00C07FA5">
        <w:rPr>
          <w:color w:val="000000" w:themeColor="text1"/>
        </w:rPr>
        <w:t>KF</w:t>
      </w:r>
      <w:r w:rsidR="006C3A11">
        <w:rPr>
          <w:color w:val="000000" w:themeColor="text1"/>
        </w:rPr>
        <w:t>,</w:t>
      </w:r>
      <w:r w:rsidR="006F1E7D">
        <w:rPr>
          <w:color w:val="000000" w:themeColor="text1"/>
        </w:rPr>
        <w:t xml:space="preserve"> </w:t>
      </w:r>
      <w:r>
        <w:rPr>
          <w:color w:val="000000" w:themeColor="text1"/>
        </w:rPr>
        <w:t>the members of the Company</w:t>
      </w:r>
      <w:r w:rsidR="00B203FE">
        <w:rPr>
          <w:color w:val="000000" w:themeColor="text1"/>
        </w:rPr>
        <w:t xml:space="preserve"> and the regulators (i.e</w:t>
      </w:r>
      <w:r w:rsidR="009E0629">
        <w:rPr>
          <w:color w:val="000000" w:themeColor="text1"/>
        </w:rPr>
        <w:t xml:space="preserve">. </w:t>
      </w:r>
      <w:r w:rsidR="00160A3F">
        <w:rPr>
          <w:color w:val="000000" w:themeColor="text1"/>
        </w:rPr>
        <w:t>SEHK and the SFC</w:t>
      </w:r>
      <w:r w:rsidR="00B203FE">
        <w:rPr>
          <w:color w:val="000000" w:themeColor="text1"/>
        </w:rPr>
        <w:t>)</w:t>
      </w:r>
      <w:r w:rsidR="00160A3F">
        <w:rPr>
          <w:color w:val="000000" w:themeColor="text1"/>
        </w:rPr>
        <w:t>.</w:t>
      </w:r>
    </w:p>
    <w:p w14:paraId="4B549F6F" w14:textId="752C1ACC" w:rsidR="00160A3F" w:rsidRPr="007E101A" w:rsidRDefault="002525B0" w:rsidP="00486E85">
      <w:pPr>
        <w:pStyle w:val="H-1"/>
        <w:tabs>
          <w:tab w:val="clear" w:pos="1080"/>
          <w:tab w:val="left" w:pos="851"/>
        </w:tabs>
        <w:ind w:left="709" w:hanging="709"/>
      </w:pPr>
      <w:r w:rsidRPr="004B54BF">
        <w:t>D6.</w:t>
      </w:r>
      <w:r w:rsidRPr="004B54BF">
        <w:tab/>
      </w:r>
      <w:r w:rsidR="002D4257" w:rsidRPr="004B54BF">
        <w:t>6</w:t>
      </w:r>
      <w:r w:rsidR="002D4257" w:rsidRPr="004B54BF">
        <w:rPr>
          <w:vertAlign w:val="superscript"/>
        </w:rPr>
        <w:t>th</w:t>
      </w:r>
      <w:r w:rsidR="002D4257" w:rsidRPr="004B54BF">
        <w:t xml:space="preserve"> Issue: </w:t>
      </w:r>
      <w:r w:rsidR="00900D95" w:rsidRPr="004B54BF">
        <w:t>whether the business and affairs of the Company</w:t>
      </w:r>
      <w:r w:rsidR="00900D95" w:rsidRPr="007E101A">
        <w:t xml:space="preserve"> were conducted in an unfairly prejudicial manner  </w:t>
      </w:r>
    </w:p>
    <w:p w14:paraId="562EA543" w14:textId="044A1DF5" w:rsidR="00DD1C70" w:rsidRDefault="00DD1C70" w:rsidP="00597CC5">
      <w:pPr>
        <w:pStyle w:val="Final"/>
        <w:numPr>
          <w:ilvl w:val="0"/>
          <w:numId w:val="2"/>
        </w:numPr>
        <w:tabs>
          <w:tab w:val="clear" w:pos="720"/>
          <w:tab w:val="num" w:pos="0"/>
        </w:tabs>
        <w:ind w:left="0" w:firstLine="0"/>
        <w:rPr>
          <w:color w:val="000000" w:themeColor="text1"/>
        </w:rPr>
      </w:pPr>
      <w:r>
        <w:rPr>
          <w:color w:val="000000" w:themeColor="text1"/>
        </w:rPr>
        <w:t xml:space="preserve">The </w:t>
      </w:r>
      <w:r w:rsidRPr="00597CC5">
        <w:t>principles</w:t>
      </w:r>
      <w:r>
        <w:rPr>
          <w:color w:val="000000" w:themeColor="text1"/>
        </w:rPr>
        <w:t xml:space="preserve"> are not in dispute</w:t>
      </w:r>
      <w:r w:rsidR="00AE6CFF">
        <w:rPr>
          <w:color w:val="000000" w:themeColor="text1"/>
        </w:rPr>
        <w:t xml:space="preserve">.  </w:t>
      </w:r>
    </w:p>
    <w:p w14:paraId="41810A50" w14:textId="63B210B9" w:rsidR="00EA55FC" w:rsidRPr="008906A5" w:rsidRDefault="00AB51A1" w:rsidP="00597CC5">
      <w:pPr>
        <w:pStyle w:val="Final"/>
        <w:numPr>
          <w:ilvl w:val="0"/>
          <w:numId w:val="2"/>
        </w:numPr>
        <w:tabs>
          <w:tab w:val="clear" w:pos="720"/>
          <w:tab w:val="num" w:pos="0"/>
        </w:tabs>
        <w:ind w:left="0" w:firstLine="0"/>
        <w:rPr>
          <w:color w:val="000000" w:themeColor="text1"/>
        </w:rPr>
      </w:pPr>
      <w:r>
        <w:rPr>
          <w:color w:val="000000" w:themeColor="text1"/>
        </w:rPr>
        <w:tab/>
        <w:t>The SFC has to satisfy the 3 conditions stipulated in s.214 of the SF</w:t>
      </w:r>
      <w:r w:rsidR="00CB4037">
        <w:rPr>
          <w:color w:val="000000" w:themeColor="text1"/>
        </w:rPr>
        <w:t>O</w:t>
      </w:r>
      <w:r w:rsidR="005434D4">
        <w:rPr>
          <w:color w:val="000000" w:themeColor="text1"/>
        </w:rPr>
        <w:t xml:space="preserve"> namely, </w:t>
      </w:r>
      <w:r w:rsidR="00110A13">
        <w:rPr>
          <w:color w:val="000000" w:themeColor="text1"/>
        </w:rPr>
        <w:t xml:space="preserve">(1) </w:t>
      </w:r>
      <w:r w:rsidR="00EA55FC" w:rsidRPr="00110A13">
        <w:rPr>
          <w:color w:val="000000" w:themeColor="text1"/>
        </w:rPr>
        <w:t>the corporation in question is or was a listed corporation;</w:t>
      </w:r>
      <w:r w:rsidR="00146C8A">
        <w:rPr>
          <w:color w:val="000000" w:themeColor="text1"/>
        </w:rPr>
        <w:t xml:space="preserve"> (2) </w:t>
      </w:r>
      <w:r w:rsidR="00EA55FC" w:rsidRPr="00146C8A">
        <w:rPr>
          <w:color w:val="000000" w:themeColor="text1"/>
        </w:rPr>
        <w:t xml:space="preserve">the business or affairs complained of is that of the </w:t>
      </w:r>
      <w:r w:rsidR="00EA55FC" w:rsidRPr="00146C8A">
        <w:rPr>
          <w:color w:val="000000" w:themeColor="text1"/>
        </w:rPr>
        <w:lastRenderedPageBreak/>
        <w:t xml:space="preserve">corporation; and </w:t>
      </w:r>
      <w:r w:rsidR="008906A5">
        <w:rPr>
          <w:color w:val="000000" w:themeColor="text1"/>
        </w:rPr>
        <w:t xml:space="preserve">(3) </w:t>
      </w:r>
      <w:r w:rsidR="00EA55FC" w:rsidRPr="008906A5">
        <w:rPr>
          <w:color w:val="000000" w:themeColor="text1"/>
        </w:rPr>
        <w:t>the conduct complained of falls within one or more heads of misconduct specified in s.214(1)(a)-(d)</w:t>
      </w:r>
      <w:r w:rsidR="00AE6CFF">
        <w:rPr>
          <w:color w:val="000000" w:themeColor="text1"/>
        </w:rPr>
        <w:t xml:space="preserve">.  </w:t>
      </w:r>
    </w:p>
    <w:p w14:paraId="1F40E596" w14:textId="4792C17D" w:rsidR="006C6133" w:rsidRDefault="003A06A0" w:rsidP="003C630B">
      <w:pPr>
        <w:pStyle w:val="Final"/>
        <w:numPr>
          <w:ilvl w:val="0"/>
          <w:numId w:val="2"/>
        </w:numPr>
        <w:tabs>
          <w:tab w:val="clear" w:pos="720"/>
          <w:tab w:val="num" w:pos="0"/>
        </w:tabs>
        <w:ind w:left="0" w:firstLine="0"/>
        <w:rPr>
          <w:color w:val="000000" w:themeColor="text1"/>
        </w:rPr>
      </w:pPr>
      <w:r>
        <w:rPr>
          <w:color w:val="000000" w:themeColor="text1"/>
        </w:rPr>
        <w:tab/>
      </w:r>
      <w:r w:rsidR="004B5354">
        <w:rPr>
          <w:color w:val="000000" w:themeColor="text1"/>
        </w:rPr>
        <w:t>As regards</w:t>
      </w:r>
      <w:r w:rsidR="005D2212">
        <w:rPr>
          <w:color w:val="000000" w:themeColor="text1"/>
        </w:rPr>
        <w:t xml:space="preserve"> </w:t>
      </w:r>
      <w:r>
        <w:rPr>
          <w:color w:val="000000" w:themeColor="text1"/>
        </w:rPr>
        <w:t xml:space="preserve">the second condition, the </w:t>
      </w:r>
      <w:r w:rsidR="00A2306A">
        <w:rPr>
          <w:color w:val="000000" w:themeColor="text1"/>
        </w:rPr>
        <w:t xml:space="preserve">conduct </w:t>
      </w:r>
      <w:r w:rsidR="00604173">
        <w:rPr>
          <w:color w:val="000000" w:themeColor="text1"/>
        </w:rPr>
        <w:t>complained of</w:t>
      </w:r>
      <w:r w:rsidR="00DA4E15">
        <w:rPr>
          <w:color w:val="000000" w:themeColor="text1"/>
        </w:rPr>
        <w:t xml:space="preserve"> can be that </w:t>
      </w:r>
      <w:r w:rsidR="00A2306A">
        <w:rPr>
          <w:color w:val="000000" w:themeColor="text1"/>
        </w:rPr>
        <w:t xml:space="preserve">of the </w:t>
      </w:r>
      <w:r w:rsidR="008830EA">
        <w:rPr>
          <w:color w:val="000000" w:themeColor="text1"/>
        </w:rPr>
        <w:t xml:space="preserve">listed company </w:t>
      </w:r>
      <w:r w:rsidR="00E315EF">
        <w:rPr>
          <w:color w:val="000000" w:themeColor="text1"/>
        </w:rPr>
        <w:t xml:space="preserve">and </w:t>
      </w:r>
      <w:r w:rsidR="008830EA">
        <w:rPr>
          <w:color w:val="000000" w:themeColor="text1"/>
        </w:rPr>
        <w:t xml:space="preserve">the </w:t>
      </w:r>
      <w:r w:rsidR="00A2306A">
        <w:rPr>
          <w:color w:val="000000" w:themeColor="text1"/>
        </w:rPr>
        <w:t xml:space="preserve">subsidiaries directed by or under the control of </w:t>
      </w:r>
      <w:r w:rsidR="006C28C4">
        <w:rPr>
          <w:color w:val="000000" w:themeColor="text1"/>
        </w:rPr>
        <w:t>such listed company</w:t>
      </w:r>
      <w:r w:rsidR="00321C67">
        <w:rPr>
          <w:color w:val="000000" w:themeColor="text1"/>
        </w:rPr>
        <w:t xml:space="preserve"> </w:t>
      </w:r>
      <w:r w:rsidR="00C77B16">
        <w:rPr>
          <w:color w:val="000000" w:themeColor="text1"/>
        </w:rPr>
        <w:t>(</w:t>
      </w:r>
      <w:r w:rsidR="00C77B16" w:rsidRPr="0029720C">
        <w:rPr>
          <w:i/>
          <w:iCs/>
          <w:color w:val="000000" w:themeColor="text1"/>
        </w:rPr>
        <w:t xml:space="preserve">Re Shandong </w:t>
      </w:r>
      <w:proofErr w:type="spellStart"/>
      <w:r w:rsidR="00C77B16" w:rsidRPr="0029720C">
        <w:rPr>
          <w:i/>
          <w:iCs/>
          <w:color w:val="000000" w:themeColor="text1"/>
        </w:rPr>
        <w:t>Molong</w:t>
      </w:r>
      <w:proofErr w:type="spellEnd"/>
      <w:r w:rsidR="00C77B16" w:rsidRPr="0029720C">
        <w:rPr>
          <w:i/>
          <w:iCs/>
          <w:color w:val="000000" w:themeColor="text1"/>
        </w:rPr>
        <w:t xml:space="preserve"> Petroleum Machinery Company Limited</w:t>
      </w:r>
      <w:r w:rsidR="00C77B16" w:rsidRPr="00FC0C7F">
        <w:rPr>
          <w:b/>
          <w:bCs/>
          <w:i/>
          <w:iCs/>
          <w:color w:val="000000" w:themeColor="text1"/>
        </w:rPr>
        <w:t xml:space="preserve"> </w:t>
      </w:r>
      <w:r w:rsidR="00C77B16" w:rsidRPr="00206063">
        <w:rPr>
          <w:color w:val="000000" w:themeColor="text1"/>
        </w:rPr>
        <w:t>[2021] HKCFI 497</w:t>
      </w:r>
      <w:r w:rsidR="00FC0C7F">
        <w:rPr>
          <w:color w:val="000000" w:themeColor="text1"/>
        </w:rPr>
        <w:t>,</w:t>
      </w:r>
      <w:r w:rsidR="00C77B16" w:rsidRPr="00206063">
        <w:rPr>
          <w:color w:val="000000" w:themeColor="text1"/>
        </w:rPr>
        <w:t xml:space="preserve"> §17</w:t>
      </w:r>
      <w:r w:rsidR="00C77B16" w:rsidRPr="001A7389">
        <w:rPr>
          <w:bCs/>
          <w:color w:val="000000" w:themeColor="text1"/>
        </w:rPr>
        <w:t>)</w:t>
      </w:r>
      <w:r w:rsidR="00AE6CFF" w:rsidRPr="001A7389">
        <w:rPr>
          <w:bCs/>
          <w:color w:val="000000" w:themeColor="text1"/>
        </w:rPr>
        <w:t>.</w:t>
      </w:r>
      <w:r w:rsidR="00AE6CFF">
        <w:rPr>
          <w:b/>
          <w:bCs/>
          <w:color w:val="000000" w:themeColor="text1"/>
        </w:rPr>
        <w:t xml:space="preserve">  </w:t>
      </w:r>
    </w:p>
    <w:p w14:paraId="648FC415" w14:textId="69D6A966" w:rsidR="004A607B" w:rsidRDefault="00EC5A0A" w:rsidP="003C630B">
      <w:pPr>
        <w:pStyle w:val="Final"/>
        <w:numPr>
          <w:ilvl w:val="0"/>
          <w:numId w:val="2"/>
        </w:numPr>
        <w:tabs>
          <w:tab w:val="clear" w:pos="720"/>
          <w:tab w:val="num" w:pos="0"/>
        </w:tabs>
        <w:ind w:left="0" w:firstLine="0"/>
        <w:rPr>
          <w:color w:val="000000" w:themeColor="text1"/>
        </w:rPr>
      </w:pPr>
      <w:r>
        <w:rPr>
          <w:color w:val="000000" w:themeColor="text1"/>
        </w:rPr>
        <w:tab/>
      </w:r>
      <w:r w:rsidR="00B77EDB">
        <w:rPr>
          <w:color w:val="000000" w:themeColor="text1"/>
        </w:rPr>
        <w:t xml:space="preserve">Section 214(b), (c) and (d) of the SFO prescribes the various heads of </w:t>
      </w:r>
      <w:r w:rsidR="007D0069">
        <w:rPr>
          <w:color w:val="000000" w:themeColor="text1"/>
        </w:rPr>
        <w:t>misconduct</w:t>
      </w:r>
      <w:r w:rsidR="004A607B">
        <w:rPr>
          <w:color w:val="000000" w:themeColor="text1"/>
        </w:rPr>
        <w:t xml:space="preserve"> and may be summarised as follows.</w:t>
      </w:r>
    </w:p>
    <w:p w14:paraId="2E755D61" w14:textId="160F263E" w:rsidR="006207F2" w:rsidRPr="00972F93" w:rsidRDefault="008F14AB" w:rsidP="003C630B">
      <w:pPr>
        <w:pStyle w:val="Final"/>
        <w:numPr>
          <w:ilvl w:val="0"/>
          <w:numId w:val="2"/>
        </w:numPr>
        <w:tabs>
          <w:tab w:val="clear" w:pos="720"/>
          <w:tab w:val="num" w:pos="0"/>
        </w:tabs>
        <w:ind w:left="0" w:firstLine="0"/>
        <w:rPr>
          <w:color w:val="000000" w:themeColor="text1"/>
        </w:rPr>
      </w:pPr>
      <w:r w:rsidRPr="00972F93">
        <w:rPr>
          <w:color w:val="000000" w:themeColor="text1"/>
        </w:rPr>
        <w:t xml:space="preserve">With respect of </w:t>
      </w:r>
      <w:r w:rsidRPr="00486E85">
        <w:rPr>
          <w:color w:val="000000" w:themeColor="text1"/>
          <w:u w:val="single"/>
        </w:rPr>
        <w:t>s.214(1)(b)</w:t>
      </w:r>
      <w:r w:rsidRPr="00972F93">
        <w:rPr>
          <w:color w:val="000000" w:themeColor="text1"/>
        </w:rPr>
        <w:t>:</w:t>
      </w:r>
    </w:p>
    <w:p w14:paraId="29029EE9" w14:textId="7A50FE2A" w:rsidR="00C83B2C" w:rsidRDefault="006207F2" w:rsidP="005C174D">
      <w:pPr>
        <w:pStyle w:val="points"/>
        <w:numPr>
          <w:ilvl w:val="0"/>
          <w:numId w:val="43"/>
        </w:numPr>
      </w:pPr>
      <w:r w:rsidRPr="006207F2">
        <w:t>“Misfeasance” is defined in Part 1 of Schedule 1 to the SFO as “the performance of an otherwise lawful act in a wrongful manner”</w:t>
      </w:r>
      <w:r w:rsidR="00AE6CFF">
        <w:t xml:space="preserve">.  </w:t>
      </w:r>
      <w:r w:rsidRPr="006207F2">
        <w:t>The notion of “misfeasance” overlaps with that of breach of fiduciary duty and seemingly covers a wide range of conduct</w:t>
      </w:r>
      <w:r w:rsidR="00ED5C5F">
        <w:t xml:space="preserve"> (</w:t>
      </w:r>
      <w:r w:rsidRPr="002459BF">
        <w:rPr>
          <w:i/>
          <w:iCs/>
        </w:rPr>
        <w:t>SFC v Yeung Chung Lung</w:t>
      </w:r>
      <w:r w:rsidR="00C6361C" w:rsidRPr="002459BF">
        <w:rPr>
          <w:i/>
          <w:iCs/>
        </w:rPr>
        <w:t>,</w:t>
      </w:r>
      <w:r w:rsidRPr="006207F2">
        <w:rPr>
          <w:b/>
          <w:bCs/>
        </w:rPr>
        <w:t xml:space="preserve"> </w:t>
      </w:r>
      <w:r w:rsidRPr="006207F2">
        <w:t>HCMP</w:t>
      </w:r>
      <w:r w:rsidR="008221A4">
        <w:rPr>
          <w:lang w:val="en-US"/>
        </w:rPr>
        <w:t> </w:t>
      </w:r>
      <w:r w:rsidRPr="006207F2">
        <w:t>205/2013, 17 February 2017</w:t>
      </w:r>
      <w:r w:rsidR="00ED5C5F">
        <w:t>,</w:t>
      </w:r>
      <w:r w:rsidRPr="006207F2">
        <w:t xml:space="preserve"> §81</w:t>
      </w:r>
      <w:r w:rsidR="00C6361C" w:rsidRPr="00486E85">
        <w:rPr>
          <w:bCs/>
        </w:rPr>
        <w:t>)</w:t>
      </w:r>
      <w:r w:rsidRPr="006207F2">
        <w:t>.</w:t>
      </w:r>
    </w:p>
    <w:p w14:paraId="75661603" w14:textId="3E9D176D" w:rsidR="00F153C6" w:rsidRDefault="006207F2" w:rsidP="005C174D">
      <w:pPr>
        <w:pStyle w:val="points"/>
        <w:numPr>
          <w:ilvl w:val="0"/>
          <w:numId w:val="43"/>
        </w:numPr>
        <w:rPr>
          <w:color w:val="000000" w:themeColor="text1"/>
        </w:rPr>
      </w:pPr>
      <w:r w:rsidRPr="00B25192">
        <w:rPr>
          <w:color w:val="000000" w:themeColor="text1"/>
        </w:rPr>
        <w:t xml:space="preserve">The </w:t>
      </w:r>
      <w:r w:rsidRPr="004F60D4">
        <w:t>words</w:t>
      </w:r>
      <w:r w:rsidRPr="00B25192">
        <w:rPr>
          <w:color w:val="000000" w:themeColor="text1"/>
        </w:rPr>
        <w:t xml:space="preserve"> “other misconduct” connote improper or wrong behaviour or mismanagement, or culpable neglect of duties</w:t>
      </w:r>
      <w:r w:rsidR="00AE6CFF">
        <w:rPr>
          <w:color w:val="000000" w:themeColor="text1"/>
        </w:rPr>
        <w:t xml:space="preserve">.  </w:t>
      </w:r>
      <w:r w:rsidRPr="00B25192">
        <w:rPr>
          <w:color w:val="000000" w:themeColor="text1"/>
        </w:rPr>
        <w:t>This term is something of a “belt and braces exercise”, and is intended to cover the “widest range of possible misconduct”</w:t>
      </w:r>
      <w:r w:rsidR="00B25192">
        <w:rPr>
          <w:color w:val="000000" w:themeColor="text1"/>
        </w:rPr>
        <w:t xml:space="preserve"> (</w:t>
      </w:r>
      <w:r w:rsidRPr="008215C0">
        <w:rPr>
          <w:i/>
          <w:iCs/>
          <w:color w:val="000000" w:themeColor="text1"/>
        </w:rPr>
        <w:t xml:space="preserve">Re DBA Telecommunication </w:t>
      </w:r>
      <w:r w:rsidR="008215C0" w:rsidRPr="008215C0">
        <w:rPr>
          <w:i/>
          <w:iCs/>
          <w:color w:val="000000" w:themeColor="text1"/>
        </w:rPr>
        <w:t>(Asia) Holdings Limited</w:t>
      </w:r>
      <w:r w:rsidR="008215C0">
        <w:rPr>
          <w:b/>
          <w:bCs/>
          <w:color w:val="000000" w:themeColor="text1"/>
        </w:rPr>
        <w:t xml:space="preserve"> </w:t>
      </w:r>
      <w:r w:rsidR="008215C0">
        <w:rPr>
          <w:color w:val="000000" w:themeColor="text1"/>
        </w:rPr>
        <w:t>[2022] HKCFI 653</w:t>
      </w:r>
      <w:r w:rsidR="00F153C6">
        <w:rPr>
          <w:color w:val="000000" w:themeColor="text1"/>
        </w:rPr>
        <w:t>,</w:t>
      </w:r>
      <w:r w:rsidR="008215C0">
        <w:rPr>
          <w:color w:val="000000" w:themeColor="text1"/>
        </w:rPr>
        <w:t xml:space="preserve"> </w:t>
      </w:r>
      <w:r w:rsidRPr="00B25192">
        <w:rPr>
          <w:color w:val="000000" w:themeColor="text1"/>
        </w:rPr>
        <w:t xml:space="preserve">§10; </w:t>
      </w:r>
      <w:r w:rsidRPr="00F153C6">
        <w:rPr>
          <w:i/>
          <w:iCs/>
          <w:color w:val="000000" w:themeColor="text1"/>
        </w:rPr>
        <w:t>Re Long Success</w:t>
      </w:r>
      <w:r w:rsidR="00F153C6">
        <w:rPr>
          <w:color w:val="000000" w:themeColor="text1"/>
        </w:rPr>
        <w:t>,</w:t>
      </w:r>
      <w:r w:rsidRPr="00B25192">
        <w:rPr>
          <w:color w:val="000000" w:themeColor="text1"/>
        </w:rPr>
        <w:t xml:space="preserve"> §37</w:t>
      </w:r>
      <w:r w:rsidR="00F153C6" w:rsidRPr="00F153C6">
        <w:rPr>
          <w:color w:val="000000" w:themeColor="text1"/>
        </w:rPr>
        <w:t>)</w:t>
      </w:r>
      <w:r w:rsidRPr="00F153C6">
        <w:rPr>
          <w:color w:val="000000" w:themeColor="text1"/>
        </w:rPr>
        <w:t>.</w:t>
      </w:r>
    </w:p>
    <w:p w14:paraId="3B11344B" w14:textId="28BC50BD" w:rsidR="006207F2" w:rsidRPr="00F153C6" w:rsidRDefault="00F153C6" w:rsidP="005C174D">
      <w:pPr>
        <w:pStyle w:val="points"/>
        <w:numPr>
          <w:ilvl w:val="0"/>
          <w:numId w:val="43"/>
        </w:numPr>
        <w:rPr>
          <w:color w:val="000000" w:themeColor="text1"/>
        </w:rPr>
      </w:pPr>
      <w:r>
        <w:rPr>
          <w:color w:val="000000" w:themeColor="text1"/>
        </w:rPr>
        <w:t>A</w:t>
      </w:r>
      <w:r w:rsidR="006207F2" w:rsidRPr="00F153C6">
        <w:rPr>
          <w:color w:val="000000" w:themeColor="text1"/>
        </w:rPr>
        <w:t xml:space="preserve"> </w:t>
      </w:r>
      <w:r w:rsidR="006207F2" w:rsidRPr="004F60D4">
        <w:t>breach</w:t>
      </w:r>
      <w:r w:rsidR="006207F2" w:rsidRPr="00F153C6">
        <w:rPr>
          <w:color w:val="000000" w:themeColor="text1"/>
        </w:rPr>
        <w:t xml:space="preserve"> of the duty to exercise reasonable care and diligence in the management of company may constitute both </w:t>
      </w:r>
      <w:r w:rsidR="006207F2" w:rsidRPr="00F153C6">
        <w:rPr>
          <w:color w:val="000000" w:themeColor="text1"/>
        </w:rPr>
        <w:lastRenderedPageBreak/>
        <w:t xml:space="preserve">“misfeasance” and “other misconduct” </w:t>
      </w:r>
      <w:r>
        <w:rPr>
          <w:color w:val="000000" w:themeColor="text1"/>
        </w:rPr>
        <w:t>(</w:t>
      </w:r>
      <w:r w:rsidR="006207F2" w:rsidRPr="000D264A">
        <w:rPr>
          <w:i/>
          <w:iCs/>
          <w:color w:val="000000" w:themeColor="text1"/>
        </w:rPr>
        <w:t>Re DBA Telecommunication</w:t>
      </w:r>
      <w:r w:rsidR="000D264A">
        <w:rPr>
          <w:b/>
          <w:bCs/>
          <w:color w:val="000000" w:themeColor="text1"/>
        </w:rPr>
        <w:t>,</w:t>
      </w:r>
      <w:r w:rsidR="006207F2" w:rsidRPr="00F153C6">
        <w:rPr>
          <w:b/>
          <w:bCs/>
          <w:color w:val="000000" w:themeColor="text1"/>
        </w:rPr>
        <w:t xml:space="preserve"> </w:t>
      </w:r>
      <w:r w:rsidR="006207F2" w:rsidRPr="00F153C6">
        <w:rPr>
          <w:color w:val="000000" w:themeColor="text1"/>
        </w:rPr>
        <w:t xml:space="preserve">§10; </w:t>
      </w:r>
      <w:r w:rsidR="006207F2" w:rsidRPr="000D264A">
        <w:rPr>
          <w:i/>
          <w:iCs/>
          <w:color w:val="000000" w:themeColor="text1"/>
        </w:rPr>
        <w:t>Re Long Success</w:t>
      </w:r>
      <w:r w:rsidR="000D264A">
        <w:rPr>
          <w:color w:val="000000" w:themeColor="text1"/>
        </w:rPr>
        <w:t>,</w:t>
      </w:r>
      <w:r w:rsidR="006207F2" w:rsidRPr="000D264A">
        <w:rPr>
          <w:color w:val="000000" w:themeColor="text1"/>
        </w:rPr>
        <w:t xml:space="preserve"> </w:t>
      </w:r>
      <w:r w:rsidR="006207F2" w:rsidRPr="00F153C6">
        <w:rPr>
          <w:color w:val="000000" w:themeColor="text1"/>
        </w:rPr>
        <w:t>§37</w:t>
      </w:r>
      <w:r w:rsidR="000D264A">
        <w:rPr>
          <w:b/>
          <w:bCs/>
          <w:color w:val="000000" w:themeColor="text1"/>
        </w:rPr>
        <w:t>)</w:t>
      </w:r>
      <w:r w:rsidR="00AE6CFF">
        <w:rPr>
          <w:color w:val="000000" w:themeColor="text1"/>
        </w:rPr>
        <w:t xml:space="preserve">. </w:t>
      </w:r>
    </w:p>
    <w:p w14:paraId="24CEB480" w14:textId="051E9864" w:rsidR="00070485" w:rsidRPr="00964E41" w:rsidRDefault="006E2DB1" w:rsidP="004F60D4">
      <w:pPr>
        <w:pStyle w:val="Final"/>
        <w:numPr>
          <w:ilvl w:val="0"/>
          <w:numId w:val="2"/>
        </w:numPr>
        <w:tabs>
          <w:tab w:val="clear" w:pos="720"/>
          <w:tab w:val="num" w:pos="0"/>
        </w:tabs>
        <w:ind w:left="0" w:firstLine="0"/>
        <w:rPr>
          <w:color w:val="000000" w:themeColor="text1"/>
        </w:rPr>
      </w:pPr>
      <w:r>
        <w:rPr>
          <w:color w:val="000000" w:themeColor="text1"/>
        </w:rPr>
        <w:tab/>
      </w:r>
      <w:r w:rsidR="00070485">
        <w:rPr>
          <w:color w:val="000000" w:themeColor="text1"/>
        </w:rPr>
        <w:t xml:space="preserve">As for </w:t>
      </w:r>
      <w:r w:rsidR="00070485" w:rsidRPr="00486E85">
        <w:rPr>
          <w:color w:val="000000" w:themeColor="text1"/>
          <w:u w:val="single"/>
        </w:rPr>
        <w:t>s.214(1)(c)</w:t>
      </w:r>
      <w:r w:rsidR="00070485">
        <w:rPr>
          <w:color w:val="000000" w:themeColor="text1"/>
        </w:rPr>
        <w:t xml:space="preserve"> </w:t>
      </w:r>
      <w:r w:rsidR="00070485" w:rsidRPr="00070485">
        <w:rPr>
          <w:color w:val="000000" w:themeColor="text1"/>
        </w:rPr>
        <w:t>(i.e</w:t>
      </w:r>
      <w:r w:rsidR="00AE6CFF">
        <w:rPr>
          <w:color w:val="000000" w:themeColor="text1"/>
        </w:rPr>
        <w:t xml:space="preserve">. </w:t>
      </w:r>
      <w:r w:rsidR="00070485" w:rsidRPr="00070485">
        <w:rPr>
          <w:color w:val="000000" w:themeColor="text1"/>
        </w:rPr>
        <w:t xml:space="preserve">members not having been given all the information with respect to its business or affairs that they might reasonably expect), </w:t>
      </w:r>
      <w:r w:rsidR="0090636A">
        <w:rPr>
          <w:color w:val="000000" w:themeColor="text1"/>
        </w:rPr>
        <w:t>it</w:t>
      </w:r>
      <w:r w:rsidR="00070485" w:rsidRPr="00070485">
        <w:rPr>
          <w:color w:val="000000" w:themeColor="text1"/>
        </w:rPr>
        <w:t xml:space="preserve"> can be complementary to the other subsections (</w:t>
      </w:r>
      <w:r w:rsidR="00070485" w:rsidRPr="00CB471A">
        <w:rPr>
          <w:i/>
          <w:iCs/>
          <w:color w:val="000000" w:themeColor="text1"/>
        </w:rPr>
        <w:t>SFC v Yeung Chung Lung</w:t>
      </w:r>
      <w:r w:rsidR="00CB471A">
        <w:rPr>
          <w:i/>
          <w:iCs/>
          <w:color w:val="000000" w:themeColor="text1"/>
        </w:rPr>
        <w:t>,</w:t>
      </w:r>
      <w:r w:rsidR="00070485" w:rsidRPr="00070485">
        <w:rPr>
          <w:b/>
          <w:bCs/>
          <w:color w:val="000000" w:themeColor="text1"/>
        </w:rPr>
        <w:t xml:space="preserve"> </w:t>
      </w:r>
      <w:r w:rsidR="00CB471A">
        <w:rPr>
          <w:color w:val="000000" w:themeColor="text1"/>
        </w:rPr>
        <w:t>HCMP 205/2013, 17 February 2017</w:t>
      </w:r>
      <w:r w:rsidR="00FD6D56">
        <w:rPr>
          <w:color w:val="000000" w:themeColor="text1"/>
        </w:rPr>
        <w:t>,</w:t>
      </w:r>
      <w:r w:rsidR="00CB471A">
        <w:rPr>
          <w:color w:val="000000" w:themeColor="text1"/>
        </w:rPr>
        <w:t xml:space="preserve"> </w:t>
      </w:r>
      <w:r w:rsidR="00070485" w:rsidRPr="00070485">
        <w:rPr>
          <w:color w:val="000000" w:themeColor="text1"/>
        </w:rPr>
        <w:t xml:space="preserve">§84; </w:t>
      </w:r>
      <w:r w:rsidR="00070485" w:rsidRPr="00FF3BDD">
        <w:rPr>
          <w:i/>
          <w:iCs/>
          <w:color w:val="000000" w:themeColor="text1"/>
        </w:rPr>
        <w:t>Re Long Success</w:t>
      </w:r>
      <w:r w:rsidR="00070485" w:rsidRPr="00070485">
        <w:rPr>
          <w:b/>
          <w:bCs/>
          <w:color w:val="000000" w:themeColor="text1"/>
        </w:rPr>
        <w:t xml:space="preserve"> </w:t>
      </w:r>
      <w:r w:rsidR="00070485" w:rsidRPr="00070485">
        <w:rPr>
          <w:color w:val="000000" w:themeColor="text1"/>
        </w:rPr>
        <w:t>§38), and covers situations such as (</w:t>
      </w:r>
      <w:r w:rsidR="0090636A">
        <w:rPr>
          <w:color w:val="000000" w:themeColor="text1"/>
        </w:rPr>
        <w:t>1</w:t>
      </w:r>
      <w:r w:rsidR="00070485" w:rsidRPr="00070485">
        <w:rPr>
          <w:color w:val="000000" w:themeColor="text1"/>
        </w:rPr>
        <w:t>) the making of misleading or false announcements; and (</w:t>
      </w:r>
      <w:r w:rsidR="0090636A">
        <w:rPr>
          <w:color w:val="000000" w:themeColor="text1"/>
        </w:rPr>
        <w:t>2</w:t>
      </w:r>
      <w:r w:rsidR="00070485" w:rsidRPr="00070485">
        <w:rPr>
          <w:color w:val="000000" w:themeColor="text1"/>
        </w:rPr>
        <w:t xml:space="preserve">) situations requiring publication of periodic financial statements and announcements, as members are entitled to expect the listed company to provide </w:t>
      </w:r>
      <w:r w:rsidR="00070485" w:rsidRPr="00BC6AB3">
        <w:rPr>
          <w:color w:val="000000" w:themeColor="text1"/>
        </w:rPr>
        <w:t>complete and accurate information in respect of such matters</w:t>
      </w:r>
      <w:r w:rsidR="00BC6AB3">
        <w:rPr>
          <w:color w:val="000000" w:themeColor="text1"/>
        </w:rPr>
        <w:t xml:space="preserve"> (</w:t>
      </w:r>
      <w:r w:rsidR="00BC6AB3" w:rsidRPr="00B4484F">
        <w:rPr>
          <w:i/>
          <w:iCs/>
          <w:color w:val="000000" w:themeColor="text1"/>
        </w:rPr>
        <w:t>SFC v Li Wo Hing</w:t>
      </w:r>
      <w:r w:rsidR="00B4484F">
        <w:rPr>
          <w:i/>
          <w:iCs/>
          <w:color w:val="000000" w:themeColor="text1"/>
        </w:rPr>
        <w:t>,</w:t>
      </w:r>
      <w:r w:rsidR="00BC6AB3" w:rsidRPr="00B4484F">
        <w:rPr>
          <w:i/>
          <w:iCs/>
          <w:color w:val="000000" w:themeColor="text1"/>
        </w:rPr>
        <w:t xml:space="preserve"> </w:t>
      </w:r>
      <w:r w:rsidR="00877C08">
        <w:rPr>
          <w:color w:val="000000" w:themeColor="text1"/>
        </w:rPr>
        <w:t>HCMP </w:t>
      </w:r>
      <w:r w:rsidR="00BC6AB3" w:rsidRPr="00B803E7">
        <w:rPr>
          <w:color w:val="000000" w:themeColor="text1"/>
        </w:rPr>
        <w:t>1023/2011, 26 September 2012</w:t>
      </w:r>
      <w:r w:rsidR="00B4484F">
        <w:rPr>
          <w:color w:val="000000" w:themeColor="text1"/>
        </w:rPr>
        <w:t>,</w:t>
      </w:r>
      <w:r w:rsidR="00BC6AB3" w:rsidRPr="00B803E7">
        <w:rPr>
          <w:color w:val="000000" w:themeColor="text1"/>
        </w:rPr>
        <w:t xml:space="preserve"> §§10(1)(b), 10(2)(a)</w:t>
      </w:r>
      <w:r w:rsidR="00B70BFD" w:rsidRPr="00B90903">
        <w:rPr>
          <w:color w:val="000000" w:themeColor="text1"/>
        </w:rPr>
        <w:t xml:space="preserve">; </w:t>
      </w:r>
      <w:r w:rsidR="00B70BFD" w:rsidRPr="00B90903">
        <w:rPr>
          <w:i/>
          <w:iCs/>
          <w:color w:val="000000" w:themeColor="text1"/>
        </w:rPr>
        <w:t xml:space="preserve">Re Shandong </w:t>
      </w:r>
      <w:proofErr w:type="spellStart"/>
      <w:r w:rsidR="00B70BFD" w:rsidRPr="00B90903">
        <w:rPr>
          <w:i/>
          <w:iCs/>
          <w:color w:val="000000" w:themeColor="text1"/>
        </w:rPr>
        <w:t>Molong</w:t>
      </w:r>
      <w:proofErr w:type="spellEnd"/>
      <w:r w:rsidR="00B90903">
        <w:rPr>
          <w:i/>
          <w:iCs/>
          <w:color w:val="000000" w:themeColor="text1"/>
        </w:rPr>
        <w:t>,</w:t>
      </w:r>
      <w:r w:rsidR="00B70BFD" w:rsidRPr="00B803E7">
        <w:rPr>
          <w:color w:val="000000" w:themeColor="text1"/>
        </w:rPr>
        <w:t xml:space="preserve"> §19(2)</w:t>
      </w:r>
      <w:r w:rsidR="00964E41" w:rsidRPr="00964E41">
        <w:rPr>
          <w:color w:val="000000" w:themeColor="text1"/>
        </w:rPr>
        <w:t>).</w:t>
      </w:r>
    </w:p>
    <w:p w14:paraId="054B3922" w14:textId="53D5CEF0" w:rsidR="004A14A2" w:rsidRDefault="00B238D8" w:rsidP="00FD7FD9">
      <w:pPr>
        <w:pStyle w:val="Final"/>
        <w:numPr>
          <w:ilvl w:val="0"/>
          <w:numId w:val="2"/>
        </w:numPr>
        <w:tabs>
          <w:tab w:val="clear" w:pos="720"/>
          <w:tab w:val="num" w:pos="0"/>
        </w:tabs>
        <w:ind w:left="0" w:firstLine="0"/>
        <w:rPr>
          <w:color w:val="000000" w:themeColor="text1"/>
        </w:rPr>
      </w:pPr>
      <w:r>
        <w:rPr>
          <w:color w:val="000000" w:themeColor="text1"/>
        </w:rPr>
        <w:t xml:space="preserve">With respect to </w:t>
      </w:r>
      <w:r w:rsidR="007D0069" w:rsidRPr="00486E85">
        <w:rPr>
          <w:color w:val="000000" w:themeColor="text1"/>
          <w:u w:val="single"/>
        </w:rPr>
        <w:t>s.214(1)(</w:t>
      </w:r>
      <w:r w:rsidRPr="00486E85">
        <w:rPr>
          <w:color w:val="000000" w:themeColor="text1"/>
          <w:u w:val="single"/>
        </w:rPr>
        <w:t>d</w:t>
      </w:r>
      <w:r w:rsidR="007D0069" w:rsidRPr="00486E85">
        <w:rPr>
          <w:color w:val="000000" w:themeColor="text1"/>
          <w:u w:val="single"/>
        </w:rPr>
        <w:t>)</w:t>
      </w:r>
      <w:r w:rsidR="00B77EDB">
        <w:rPr>
          <w:color w:val="000000" w:themeColor="text1"/>
        </w:rPr>
        <w:t>:</w:t>
      </w:r>
    </w:p>
    <w:p w14:paraId="0C8D99DF" w14:textId="39106B82" w:rsidR="00FB2B47" w:rsidRDefault="004A14A2" w:rsidP="005C174D">
      <w:pPr>
        <w:pStyle w:val="points"/>
        <w:numPr>
          <w:ilvl w:val="0"/>
          <w:numId w:val="44"/>
        </w:numPr>
        <w:tabs>
          <w:tab w:val="clear" w:pos="1400"/>
        </w:tabs>
      </w:pPr>
      <w:r w:rsidRPr="004A14A2">
        <w:t xml:space="preserve">The conduct in question does not have to be wrongful </w:t>
      </w:r>
      <w:r w:rsidRPr="004A14A2">
        <w:rPr>
          <w:i/>
          <w:iCs/>
        </w:rPr>
        <w:t>per se</w:t>
      </w:r>
      <w:r w:rsidRPr="004A14A2">
        <w:t xml:space="preserve"> (</w:t>
      </w:r>
      <w:r w:rsidRPr="00152C0B">
        <w:rPr>
          <w:i/>
          <w:iCs/>
        </w:rPr>
        <w:t xml:space="preserve">Re Shandong </w:t>
      </w:r>
      <w:proofErr w:type="spellStart"/>
      <w:r w:rsidRPr="00152C0B">
        <w:rPr>
          <w:i/>
          <w:iCs/>
        </w:rPr>
        <w:t>Molong</w:t>
      </w:r>
      <w:proofErr w:type="spellEnd"/>
      <w:r w:rsidR="00FB2B47">
        <w:rPr>
          <w:i/>
          <w:iCs/>
        </w:rPr>
        <w:t>,</w:t>
      </w:r>
      <w:r w:rsidRPr="004A14A2">
        <w:rPr>
          <w:b/>
          <w:bCs/>
        </w:rPr>
        <w:t xml:space="preserve"> </w:t>
      </w:r>
      <w:r w:rsidRPr="004A14A2">
        <w:t>§19(3)).</w:t>
      </w:r>
    </w:p>
    <w:p w14:paraId="1093FAA1" w14:textId="4E1EE41E" w:rsidR="004A14A2" w:rsidRPr="00FB2B47" w:rsidRDefault="004A14A2" w:rsidP="005C174D">
      <w:pPr>
        <w:pStyle w:val="points"/>
        <w:numPr>
          <w:ilvl w:val="0"/>
          <w:numId w:val="44"/>
        </w:numPr>
        <w:tabs>
          <w:tab w:val="clear" w:pos="1400"/>
        </w:tabs>
        <w:rPr>
          <w:color w:val="000000" w:themeColor="text1"/>
        </w:rPr>
      </w:pPr>
      <w:r w:rsidRPr="00FB2B47">
        <w:rPr>
          <w:color w:val="000000" w:themeColor="text1"/>
        </w:rPr>
        <w:t xml:space="preserve">“Unfairly prejudicial” </w:t>
      </w:r>
      <w:r w:rsidRPr="00FD7FD9">
        <w:t>conduct</w:t>
      </w:r>
      <w:r w:rsidRPr="00FB2B47">
        <w:rPr>
          <w:color w:val="000000" w:themeColor="text1"/>
        </w:rPr>
        <w:t xml:space="preserve"> covers a range of conduct, from fraud at the one end to neglect or inaction on the part of those to whom the affairs of a company are entrusted on the other end</w:t>
      </w:r>
      <w:r w:rsidR="00AE6CFF">
        <w:rPr>
          <w:color w:val="000000" w:themeColor="text1"/>
        </w:rPr>
        <w:t xml:space="preserve">.  </w:t>
      </w:r>
      <w:r w:rsidRPr="00FB2B47">
        <w:rPr>
          <w:color w:val="000000" w:themeColor="text1"/>
        </w:rPr>
        <w:t>The question to be asked in such circumstances is whether the conduct concerned is that which can be expected from the managers of the company to whom those affairs have been entrusted (</w:t>
      </w:r>
      <w:r w:rsidRPr="00FB2B47">
        <w:rPr>
          <w:i/>
          <w:iCs/>
          <w:color w:val="000000" w:themeColor="text1"/>
        </w:rPr>
        <w:t>SFC v Fung Chiu</w:t>
      </w:r>
      <w:r w:rsidRPr="00FB2B47">
        <w:rPr>
          <w:b/>
          <w:bCs/>
          <w:color w:val="000000" w:themeColor="text1"/>
        </w:rPr>
        <w:t xml:space="preserve"> </w:t>
      </w:r>
      <w:r w:rsidRPr="00FB2B47">
        <w:rPr>
          <w:color w:val="000000" w:themeColor="text1"/>
        </w:rPr>
        <w:t xml:space="preserve">§22; </w:t>
      </w:r>
      <w:r w:rsidRPr="00FB2B47">
        <w:rPr>
          <w:i/>
          <w:iCs/>
          <w:color w:val="000000" w:themeColor="text1"/>
        </w:rPr>
        <w:t>Re Long Success</w:t>
      </w:r>
      <w:r w:rsidRPr="00FB2B47">
        <w:rPr>
          <w:b/>
          <w:bCs/>
          <w:color w:val="000000" w:themeColor="text1"/>
        </w:rPr>
        <w:t xml:space="preserve"> </w:t>
      </w:r>
      <w:r w:rsidRPr="00FB2B47">
        <w:rPr>
          <w:color w:val="000000" w:themeColor="text1"/>
        </w:rPr>
        <w:t>§39).</w:t>
      </w:r>
    </w:p>
    <w:p w14:paraId="54144343" w14:textId="12223728" w:rsidR="00A47B22" w:rsidRDefault="00CB4037" w:rsidP="00FD7FD9">
      <w:pPr>
        <w:pStyle w:val="Final"/>
        <w:numPr>
          <w:ilvl w:val="0"/>
          <w:numId w:val="2"/>
        </w:numPr>
        <w:tabs>
          <w:tab w:val="clear" w:pos="720"/>
          <w:tab w:val="num" w:pos="0"/>
        </w:tabs>
        <w:ind w:left="0" w:firstLine="0"/>
        <w:rPr>
          <w:color w:val="000000" w:themeColor="text1"/>
        </w:rPr>
      </w:pPr>
      <w:r>
        <w:rPr>
          <w:color w:val="000000" w:themeColor="text1"/>
        </w:rPr>
        <w:tab/>
        <w:t xml:space="preserve">In the present case, </w:t>
      </w:r>
      <w:r w:rsidR="00895BF6">
        <w:rPr>
          <w:color w:val="000000" w:themeColor="text1"/>
        </w:rPr>
        <w:t xml:space="preserve">all </w:t>
      </w:r>
      <w:r w:rsidR="00A47B22">
        <w:rPr>
          <w:color w:val="000000" w:themeColor="text1"/>
        </w:rPr>
        <w:t xml:space="preserve">3 </w:t>
      </w:r>
      <w:r w:rsidR="00895BF6">
        <w:rPr>
          <w:color w:val="000000" w:themeColor="text1"/>
        </w:rPr>
        <w:t>conditions stipulated in s.214 of the SFO are satisfied.</w:t>
      </w:r>
    </w:p>
    <w:p w14:paraId="7898B3F7" w14:textId="3B9D5EAB" w:rsidR="00794363" w:rsidRDefault="00A47B22" w:rsidP="00FD7FD9">
      <w:pPr>
        <w:pStyle w:val="Final"/>
        <w:numPr>
          <w:ilvl w:val="0"/>
          <w:numId w:val="2"/>
        </w:numPr>
        <w:tabs>
          <w:tab w:val="clear" w:pos="720"/>
          <w:tab w:val="num" w:pos="0"/>
        </w:tabs>
        <w:ind w:left="0" w:firstLine="0"/>
        <w:rPr>
          <w:color w:val="000000" w:themeColor="text1"/>
        </w:rPr>
      </w:pPr>
      <w:r>
        <w:rPr>
          <w:color w:val="000000" w:themeColor="text1"/>
        </w:rPr>
        <w:lastRenderedPageBreak/>
        <w:tab/>
      </w:r>
      <w:r w:rsidR="00247E9D">
        <w:rPr>
          <w:color w:val="000000" w:themeColor="text1"/>
        </w:rPr>
        <w:t>It is not in dispute that t</w:t>
      </w:r>
      <w:r w:rsidR="00794363">
        <w:rPr>
          <w:color w:val="000000" w:themeColor="text1"/>
        </w:rPr>
        <w:t>he fi</w:t>
      </w:r>
      <w:r w:rsidR="00336B27">
        <w:rPr>
          <w:color w:val="000000" w:themeColor="text1"/>
        </w:rPr>
        <w:t>r</w:t>
      </w:r>
      <w:r w:rsidR="00794363">
        <w:rPr>
          <w:color w:val="000000" w:themeColor="text1"/>
        </w:rPr>
        <w:t xml:space="preserve">st and second conditions are </w:t>
      </w:r>
      <w:r w:rsidR="000654EC">
        <w:rPr>
          <w:color w:val="000000" w:themeColor="text1"/>
        </w:rPr>
        <w:t>satisfied</w:t>
      </w:r>
      <w:r w:rsidR="00AE6CFF">
        <w:rPr>
          <w:color w:val="000000" w:themeColor="text1"/>
        </w:rPr>
        <w:t xml:space="preserve">.  </w:t>
      </w:r>
    </w:p>
    <w:p w14:paraId="647E2410" w14:textId="3EEB4BBE" w:rsidR="00006E0B" w:rsidRDefault="00F55732" w:rsidP="00FD7FD9">
      <w:pPr>
        <w:pStyle w:val="Final"/>
        <w:numPr>
          <w:ilvl w:val="0"/>
          <w:numId w:val="2"/>
        </w:numPr>
        <w:tabs>
          <w:tab w:val="clear" w:pos="720"/>
          <w:tab w:val="num" w:pos="0"/>
        </w:tabs>
        <w:ind w:left="0" w:firstLine="0"/>
        <w:rPr>
          <w:color w:val="000000" w:themeColor="text1"/>
        </w:rPr>
      </w:pPr>
      <w:r>
        <w:rPr>
          <w:color w:val="000000" w:themeColor="text1"/>
        </w:rPr>
        <w:tab/>
      </w:r>
      <w:r w:rsidR="00D819DC">
        <w:rPr>
          <w:color w:val="000000" w:themeColor="text1"/>
        </w:rPr>
        <w:t xml:space="preserve">In view of the findings on the </w:t>
      </w:r>
      <w:r w:rsidR="00C233F0">
        <w:rPr>
          <w:color w:val="000000" w:themeColor="text1"/>
        </w:rPr>
        <w:t>1</w:t>
      </w:r>
      <w:r w:rsidR="00C233F0" w:rsidRPr="00C233F0">
        <w:rPr>
          <w:color w:val="000000" w:themeColor="text1"/>
          <w:vertAlign w:val="superscript"/>
        </w:rPr>
        <w:t>st</w:t>
      </w:r>
      <w:r w:rsidR="00C233F0">
        <w:rPr>
          <w:color w:val="000000" w:themeColor="text1"/>
        </w:rPr>
        <w:t xml:space="preserve"> Issue, the 2</w:t>
      </w:r>
      <w:r w:rsidR="00C233F0" w:rsidRPr="00C233F0">
        <w:rPr>
          <w:color w:val="000000" w:themeColor="text1"/>
          <w:vertAlign w:val="superscript"/>
        </w:rPr>
        <w:t>nd</w:t>
      </w:r>
      <w:r w:rsidR="00C233F0">
        <w:rPr>
          <w:color w:val="000000" w:themeColor="text1"/>
        </w:rPr>
        <w:t xml:space="preserve"> Issue and the 5</w:t>
      </w:r>
      <w:r w:rsidR="00C233F0" w:rsidRPr="00C233F0">
        <w:rPr>
          <w:color w:val="000000" w:themeColor="text1"/>
          <w:vertAlign w:val="superscript"/>
        </w:rPr>
        <w:t>th</w:t>
      </w:r>
      <w:r w:rsidR="00C233F0">
        <w:rPr>
          <w:color w:val="000000" w:themeColor="text1"/>
        </w:rPr>
        <w:t xml:space="preserve"> Issue, </w:t>
      </w:r>
      <w:r w:rsidR="008814A6">
        <w:rPr>
          <w:color w:val="000000" w:themeColor="text1"/>
        </w:rPr>
        <w:t>there is more than sufficient bas</w:t>
      </w:r>
      <w:r w:rsidR="00686352">
        <w:rPr>
          <w:color w:val="000000" w:themeColor="text1"/>
        </w:rPr>
        <w:t>e</w:t>
      </w:r>
      <w:r w:rsidR="008814A6">
        <w:rPr>
          <w:color w:val="000000" w:themeColor="text1"/>
        </w:rPr>
        <w:t xml:space="preserve">s for the court to </w:t>
      </w:r>
      <w:r w:rsidR="00A60FCC">
        <w:rPr>
          <w:color w:val="000000" w:themeColor="text1"/>
        </w:rPr>
        <w:t xml:space="preserve">conclude </w:t>
      </w:r>
      <w:r w:rsidR="008814A6">
        <w:rPr>
          <w:color w:val="000000" w:themeColor="text1"/>
        </w:rPr>
        <w:t xml:space="preserve">that </w:t>
      </w:r>
      <w:r w:rsidR="00C233F0">
        <w:rPr>
          <w:color w:val="000000" w:themeColor="text1"/>
        </w:rPr>
        <w:t xml:space="preserve">the business and affairs of the Company </w:t>
      </w:r>
      <w:r w:rsidR="003D6FF0">
        <w:rPr>
          <w:color w:val="000000" w:themeColor="text1"/>
        </w:rPr>
        <w:t>were conducted by Mr Wen in a manner</w:t>
      </w:r>
      <w:r w:rsidR="00952FA8" w:rsidRPr="00952FA8">
        <w:rPr>
          <w:color w:val="000000" w:themeColor="text1"/>
        </w:rPr>
        <w:t xml:space="preserve"> </w:t>
      </w:r>
      <w:r w:rsidR="00952FA8">
        <w:rPr>
          <w:color w:val="000000" w:themeColor="text1"/>
        </w:rPr>
        <w:t>within the meaning of s.214</w:t>
      </w:r>
      <w:r w:rsidR="001B69F9">
        <w:rPr>
          <w:color w:val="000000" w:themeColor="text1"/>
        </w:rPr>
        <w:t>(1)</w:t>
      </w:r>
      <w:r w:rsidR="00952FA8">
        <w:rPr>
          <w:color w:val="000000" w:themeColor="text1"/>
        </w:rPr>
        <w:t>(b), (c) and (d) of the SFO in that</w:t>
      </w:r>
      <w:r w:rsidR="00006E0B">
        <w:rPr>
          <w:color w:val="000000" w:themeColor="text1"/>
        </w:rPr>
        <w:t>:</w:t>
      </w:r>
    </w:p>
    <w:p w14:paraId="2DC5A8A6" w14:textId="48C35C15" w:rsidR="0097017D" w:rsidRDefault="00C3364B" w:rsidP="005C174D">
      <w:pPr>
        <w:pStyle w:val="points"/>
        <w:numPr>
          <w:ilvl w:val="0"/>
          <w:numId w:val="45"/>
        </w:numPr>
        <w:tabs>
          <w:tab w:val="clear" w:pos="1400"/>
        </w:tabs>
      </w:pPr>
      <w:r>
        <w:t>T</w:t>
      </w:r>
      <w:r w:rsidR="0097017D">
        <w:t xml:space="preserve">he Schemes were fraud perpetrated on the Company </w:t>
      </w:r>
      <w:r w:rsidR="00BD210A">
        <w:t xml:space="preserve">and </w:t>
      </w:r>
      <w:r w:rsidR="000B3C34">
        <w:t>the Subsidiaries</w:t>
      </w:r>
      <w:r w:rsidR="001B69F9">
        <w:t xml:space="preserve">, which </w:t>
      </w:r>
      <w:r w:rsidR="0097017D">
        <w:t xml:space="preserve">constituted </w:t>
      </w:r>
      <w:r w:rsidR="000B5E2E" w:rsidRPr="00785A63">
        <w:t>misfeasance</w:t>
      </w:r>
      <w:r w:rsidR="0097017D">
        <w:t xml:space="preserve"> </w:t>
      </w:r>
      <w:r w:rsidR="000B5E2E" w:rsidRPr="00785A63">
        <w:t xml:space="preserve">or misconduct </w:t>
      </w:r>
      <w:r w:rsidR="000B3C34">
        <w:t xml:space="preserve">within the meaning </w:t>
      </w:r>
      <w:r w:rsidR="001B69F9">
        <w:t>of s.214(1)(b) of the SFO</w:t>
      </w:r>
      <w:r w:rsidR="0097017D">
        <w:t xml:space="preserve">; </w:t>
      </w:r>
    </w:p>
    <w:p w14:paraId="304658EB" w14:textId="2D83078A" w:rsidR="00A03964" w:rsidRDefault="000B3C34" w:rsidP="005C174D">
      <w:pPr>
        <w:pStyle w:val="points"/>
        <w:numPr>
          <w:ilvl w:val="0"/>
          <w:numId w:val="45"/>
        </w:numPr>
        <w:tabs>
          <w:tab w:val="clear" w:pos="1400"/>
        </w:tabs>
        <w:rPr>
          <w:color w:val="000000" w:themeColor="text1"/>
        </w:rPr>
      </w:pPr>
      <w:r>
        <w:rPr>
          <w:color w:val="000000" w:themeColor="text1"/>
        </w:rPr>
        <w:t>The</w:t>
      </w:r>
      <w:r w:rsidR="002E51D2">
        <w:rPr>
          <w:color w:val="000000" w:themeColor="text1"/>
        </w:rPr>
        <w:t xml:space="preserve"> </w:t>
      </w:r>
      <w:r w:rsidR="001C3952" w:rsidRPr="00FD7FD9">
        <w:t>provision</w:t>
      </w:r>
      <w:r w:rsidR="001C3952">
        <w:rPr>
          <w:color w:val="000000" w:themeColor="text1"/>
        </w:rPr>
        <w:t xml:space="preserve"> of false explanations (i.e</w:t>
      </w:r>
      <w:r w:rsidR="00AE6CFF">
        <w:rPr>
          <w:color w:val="000000" w:themeColor="text1"/>
        </w:rPr>
        <w:t xml:space="preserve">. </w:t>
      </w:r>
      <w:r w:rsidR="001C3952">
        <w:rPr>
          <w:color w:val="000000" w:themeColor="text1"/>
        </w:rPr>
        <w:t xml:space="preserve">the </w:t>
      </w:r>
      <w:r w:rsidR="002E51D2">
        <w:rPr>
          <w:color w:val="000000" w:themeColor="text1"/>
        </w:rPr>
        <w:t>1</w:t>
      </w:r>
      <w:r w:rsidR="002E51D2" w:rsidRPr="002E51D2">
        <w:rPr>
          <w:color w:val="000000" w:themeColor="text1"/>
          <w:vertAlign w:val="superscript"/>
        </w:rPr>
        <w:t>st</w:t>
      </w:r>
      <w:r w:rsidR="002E51D2">
        <w:rPr>
          <w:color w:val="000000" w:themeColor="text1"/>
        </w:rPr>
        <w:t xml:space="preserve"> </w:t>
      </w:r>
      <w:r>
        <w:rPr>
          <w:color w:val="000000" w:themeColor="text1"/>
        </w:rPr>
        <w:t>and 2</w:t>
      </w:r>
      <w:r w:rsidRPr="000B3C34">
        <w:rPr>
          <w:color w:val="000000" w:themeColor="text1"/>
          <w:vertAlign w:val="superscript"/>
        </w:rPr>
        <w:t>nd</w:t>
      </w:r>
      <w:r>
        <w:rPr>
          <w:color w:val="000000" w:themeColor="text1"/>
        </w:rPr>
        <w:t xml:space="preserve"> Explanations</w:t>
      </w:r>
      <w:r w:rsidR="001C3952">
        <w:rPr>
          <w:color w:val="000000" w:themeColor="text1"/>
        </w:rPr>
        <w:t xml:space="preserve">) on the 2015 Cash Discrepancy </w:t>
      </w:r>
      <w:proofErr w:type="gramStart"/>
      <w:r w:rsidR="001C3952">
        <w:rPr>
          <w:color w:val="000000" w:themeColor="text1"/>
        </w:rPr>
        <w:t xml:space="preserve">constituted </w:t>
      </w:r>
      <w:r>
        <w:rPr>
          <w:color w:val="000000" w:themeColor="text1"/>
        </w:rPr>
        <w:t xml:space="preserve"> </w:t>
      </w:r>
      <w:r w:rsidR="00BC6DE2" w:rsidRPr="00785A63">
        <w:rPr>
          <w:color w:val="000000" w:themeColor="text1"/>
        </w:rPr>
        <w:t>misfeasance</w:t>
      </w:r>
      <w:proofErr w:type="gramEnd"/>
      <w:r w:rsidR="00BC6DE2">
        <w:rPr>
          <w:color w:val="000000" w:themeColor="text1"/>
        </w:rPr>
        <w:t xml:space="preserve"> </w:t>
      </w:r>
      <w:r w:rsidR="00BC6DE2" w:rsidRPr="00785A63">
        <w:rPr>
          <w:color w:val="000000" w:themeColor="text1"/>
        </w:rPr>
        <w:t xml:space="preserve">or misconduct </w:t>
      </w:r>
      <w:r w:rsidR="00417B2D">
        <w:rPr>
          <w:color w:val="000000" w:themeColor="text1"/>
        </w:rPr>
        <w:t xml:space="preserve">under </w:t>
      </w:r>
      <w:r w:rsidR="00BC6DE2">
        <w:rPr>
          <w:color w:val="000000" w:themeColor="text1"/>
        </w:rPr>
        <w:t>s.214(1)(b)</w:t>
      </w:r>
      <w:r w:rsidR="00A03964">
        <w:rPr>
          <w:color w:val="000000" w:themeColor="text1"/>
        </w:rPr>
        <w:t>;</w:t>
      </w:r>
    </w:p>
    <w:p w14:paraId="35D485AE" w14:textId="3427766B" w:rsidR="002D4417" w:rsidRDefault="00A03964" w:rsidP="005C174D">
      <w:pPr>
        <w:pStyle w:val="points"/>
        <w:numPr>
          <w:ilvl w:val="0"/>
          <w:numId w:val="45"/>
        </w:numPr>
        <w:tabs>
          <w:tab w:val="clear" w:pos="1400"/>
        </w:tabs>
        <w:rPr>
          <w:color w:val="000000" w:themeColor="text1"/>
        </w:rPr>
      </w:pPr>
      <w:r>
        <w:rPr>
          <w:color w:val="000000" w:themeColor="text1"/>
        </w:rPr>
        <w:t xml:space="preserve">The </w:t>
      </w:r>
      <w:r w:rsidRPr="00FD7FD9">
        <w:t>Schemes</w:t>
      </w:r>
      <w:r>
        <w:rPr>
          <w:color w:val="000000" w:themeColor="text1"/>
        </w:rPr>
        <w:t xml:space="preserve"> and the provision of false explanations resulted in </w:t>
      </w:r>
      <w:r w:rsidR="00F71934">
        <w:rPr>
          <w:color w:val="000000" w:themeColor="text1"/>
        </w:rPr>
        <w:t xml:space="preserve">the </w:t>
      </w:r>
      <w:r w:rsidR="006B312C">
        <w:rPr>
          <w:color w:val="000000" w:themeColor="text1"/>
        </w:rPr>
        <w:t xml:space="preserve">Company’s </w:t>
      </w:r>
      <w:r w:rsidR="000B5E2E" w:rsidRPr="00785A63">
        <w:rPr>
          <w:color w:val="000000" w:themeColor="text1"/>
        </w:rPr>
        <w:t xml:space="preserve">members not having been given all the information with respect to </w:t>
      </w:r>
      <w:r>
        <w:rPr>
          <w:color w:val="000000" w:themeColor="text1"/>
        </w:rPr>
        <w:t>the Company and the Subsidiaries</w:t>
      </w:r>
      <w:r w:rsidR="002F719E">
        <w:rPr>
          <w:color w:val="000000" w:themeColor="text1"/>
        </w:rPr>
        <w:t>’</w:t>
      </w:r>
      <w:r>
        <w:rPr>
          <w:color w:val="000000" w:themeColor="text1"/>
        </w:rPr>
        <w:t xml:space="preserve"> </w:t>
      </w:r>
      <w:r w:rsidR="000B5E2E" w:rsidRPr="00785A63">
        <w:rPr>
          <w:color w:val="000000" w:themeColor="text1"/>
        </w:rPr>
        <w:t xml:space="preserve">business </w:t>
      </w:r>
      <w:r w:rsidR="008D4C30">
        <w:rPr>
          <w:color w:val="000000" w:themeColor="text1"/>
        </w:rPr>
        <w:t xml:space="preserve">and </w:t>
      </w:r>
      <w:r w:rsidR="000B5E2E" w:rsidRPr="00785A63">
        <w:rPr>
          <w:color w:val="000000" w:themeColor="text1"/>
        </w:rPr>
        <w:t>affairs that they might reasonably expect</w:t>
      </w:r>
      <w:r w:rsidR="00AB59D0">
        <w:rPr>
          <w:color w:val="000000" w:themeColor="text1"/>
        </w:rPr>
        <w:t xml:space="preserve"> </w:t>
      </w:r>
      <w:proofErr w:type="gramStart"/>
      <w:r w:rsidR="00AB59D0">
        <w:rPr>
          <w:color w:val="000000" w:themeColor="text1"/>
        </w:rPr>
        <w:t xml:space="preserve">under </w:t>
      </w:r>
      <w:r w:rsidR="00DF1EAF">
        <w:rPr>
          <w:color w:val="000000" w:themeColor="text1"/>
        </w:rPr>
        <w:t xml:space="preserve"> s.214</w:t>
      </w:r>
      <w:proofErr w:type="gramEnd"/>
      <w:r w:rsidR="00DF1EAF">
        <w:rPr>
          <w:color w:val="000000" w:themeColor="text1"/>
        </w:rPr>
        <w:t xml:space="preserve">(1)(c) of the SFO; </w:t>
      </w:r>
    </w:p>
    <w:p w14:paraId="79AB3960" w14:textId="068F689D" w:rsidR="00F45DAA" w:rsidRDefault="007F11B9" w:rsidP="005C174D">
      <w:pPr>
        <w:pStyle w:val="points"/>
        <w:numPr>
          <w:ilvl w:val="0"/>
          <w:numId w:val="45"/>
        </w:numPr>
        <w:tabs>
          <w:tab w:val="clear" w:pos="1400"/>
        </w:tabs>
        <w:rPr>
          <w:color w:val="000000" w:themeColor="text1"/>
        </w:rPr>
      </w:pPr>
      <w:r>
        <w:rPr>
          <w:color w:val="000000" w:themeColor="text1"/>
        </w:rPr>
        <w:t xml:space="preserve">The </w:t>
      </w:r>
      <w:r w:rsidRPr="00FD7FD9">
        <w:t>Schemes</w:t>
      </w:r>
      <w:r>
        <w:rPr>
          <w:color w:val="000000" w:themeColor="text1"/>
        </w:rPr>
        <w:t xml:space="preserve"> and the provision of false explanations were </w:t>
      </w:r>
      <w:r w:rsidR="000B5E2E" w:rsidRPr="00785A63">
        <w:rPr>
          <w:color w:val="000000" w:themeColor="text1"/>
        </w:rPr>
        <w:t xml:space="preserve">unfairly prejudicial to </w:t>
      </w:r>
      <w:r w:rsidR="00190C40">
        <w:rPr>
          <w:color w:val="000000" w:themeColor="text1"/>
        </w:rPr>
        <w:t xml:space="preserve">the Company and </w:t>
      </w:r>
      <w:r w:rsidR="000B5E2E" w:rsidRPr="00785A63">
        <w:rPr>
          <w:color w:val="000000" w:themeColor="text1"/>
        </w:rPr>
        <w:t>its members</w:t>
      </w:r>
      <w:r w:rsidR="0054666B">
        <w:rPr>
          <w:color w:val="000000" w:themeColor="text1"/>
        </w:rPr>
        <w:t xml:space="preserve"> </w:t>
      </w:r>
      <w:r w:rsidR="001F5BAE">
        <w:rPr>
          <w:color w:val="000000" w:themeColor="text1"/>
        </w:rPr>
        <w:t xml:space="preserve">under </w:t>
      </w:r>
      <w:r w:rsidR="0048371C">
        <w:rPr>
          <w:color w:val="000000" w:themeColor="text1"/>
        </w:rPr>
        <w:t xml:space="preserve">s.214(1)(d) </w:t>
      </w:r>
      <w:r w:rsidR="0006741B">
        <w:rPr>
          <w:color w:val="000000" w:themeColor="text1"/>
        </w:rPr>
        <w:t xml:space="preserve">in that the financial position of the Group had </w:t>
      </w:r>
      <w:r w:rsidR="00772C52">
        <w:rPr>
          <w:color w:val="000000" w:themeColor="text1"/>
        </w:rPr>
        <w:t>been grossly overstated and the true position remains unknown</w:t>
      </w:r>
      <w:r w:rsidR="00AE6CFF">
        <w:rPr>
          <w:color w:val="000000" w:themeColor="text1"/>
        </w:rPr>
        <w:t xml:space="preserve">.  </w:t>
      </w:r>
      <w:r w:rsidR="00A30F02">
        <w:rPr>
          <w:color w:val="000000" w:themeColor="text1"/>
        </w:rPr>
        <w:t xml:space="preserve">The Company and its members (other than Mr Wen and his companies) were prejudiced as </w:t>
      </w:r>
      <w:r w:rsidR="00AA36F6">
        <w:rPr>
          <w:color w:val="000000" w:themeColor="text1"/>
        </w:rPr>
        <w:t xml:space="preserve">trading of the </w:t>
      </w:r>
      <w:r w:rsidR="00A30F02">
        <w:rPr>
          <w:color w:val="000000" w:themeColor="text1"/>
        </w:rPr>
        <w:t>Company</w:t>
      </w:r>
      <w:r w:rsidR="00AA36F6">
        <w:rPr>
          <w:color w:val="000000" w:themeColor="text1"/>
        </w:rPr>
        <w:t>’s shares had since April 2016 been suspended</w:t>
      </w:r>
      <w:r w:rsidR="004275A4">
        <w:rPr>
          <w:color w:val="000000" w:themeColor="text1"/>
        </w:rPr>
        <w:t>, and there was no indica</w:t>
      </w:r>
      <w:r w:rsidR="00A15B96">
        <w:rPr>
          <w:color w:val="000000" w:themeColor="text1"/>
        </w:rPr>
        <w:t>tion</w:t>
      </w:r>
      <w:r w:rsidR="007A1446">
        <w:rPr>
          <w:color w:val="000000" w:themeColor="text1"/>
        </w:rPr>
        <w:t xml:space="preserve"> as to whether </w:t>
      </w:r>
      <w:r w:rsidR="00A15B96">
        <w:rPr>
          <w:color w:val="000000" w:themeColor="text1"/>
        </w:rPr>
        <w:t>trading w</w:t>
      </w:r>
      <w:r w:rsidR="004275A4">
        <w:rPr>
          <w:color w:val="000000" w:themeColor="text1"/>
        </w:rPr>
        <w:t xml:space="preserve">ould </w:t>
      </w:r>
      <w:r w:rsidR="00A15B96">
        <w:rPr>
          <w:color w:val="000000" w:themeColor="text1"/>
        </w:rPr>
        <w:t>resume</w:t>
      </w:r>
      <w:r w:rsidR="007A1446">
        <w:rPr>
          <w:color w:val="000000" w:themeColor="text1"/>
        </w:rPr>
        <w:t>, if at all</w:t>
      </w:r>
      <w:r w:rsidR="00AE6CFF">
        <w:rPr>
          <w:color w:val="000000" w:themeColor="text1"/>
        </w:rPr>
        <w:t xml:space="preserve">.  </w:t>
      </w:r>
    </w:p>
    <w:p w14:paraId="14800E44" w14:textId="14409DF2" w:rsidR="008C0680" w:rsidRPr="005E588E" w:rsidRDefault="008C0680" w:rsidP="005F5430">
      <w:pPr>
        <w:pStyle w:val="H-1"/>
        <w:tabs>
          <w:tab w:val="left" w:pos="720"/>
        </w:tabs>
      </w:pPr>
      <w:r w:rsidRPr="005E588E">
        <w:lastRenderedPageBreak/>
        <w:t>D7.</w:t>
      </w:r>
      <w:r w:rsidRPr="005E588E">
        <w:tab/>
        <w:t>7</w:t>
      </w:r>
      <w:r w:rsidRPr="005E588E">
        <w:rPr>
          <w:vertAlign w:val="superscript"/>
        </w:rPr>
        <w:t>th</w:t>
      </w:r>
      <w:r w:rsidRPr="005E588E">
        <w:t xml:space="preserve"> Issue: Remedies</w:t>
      </w:r>
    </w:p>
    <w:p w14:paraId="283C1F23" w14:textId="3D73EA57" w:rsidR="00ED6725" w:rsidRDefault="0077016E" w:rsidP="00B50620">
      <w:pPr>
        <w:pStyle w:val="Final"/>
        <w:numPr>
          <w:ilvl w:val="0"/>
          <w:numId w:val="2"/>
        </w:numPr>
        <w:tabs>
          <w:tab w:val="clear" w:pos="720"/>
          <w:tab w:val="num" w:pos="0"/>
        </w:tabs>
        <w:ind w:left="0" w:firstLine="0"/>
        <w:rPr>
          <w:color w:val="000000" w:themeColor="text1"/>
        </w:rPr>
      </w:pPr>
      <w:r>
        <w:rPr>
          <w:color w:val="000000" w:themeColor="text1"/>
        </w:rPr>
        <w:tab/>
      </w:r>
      <w:r w:rsidR="007F6C4E">
        <w:rPr>
          <w:color w:val="000000" w:themeColor="text1"/>
        </w:rPr>
        <w:t xml:space="preserve">It is not in dispute that </w:t>
      </w:r>
      <w:r w:rsidR="005D7EE8">
        <w:rPr>
          <w:color w:val="000000" w:themeColor="text1"/>
        </w:rPr>
        <w:t>if the court is of the opinion that the business or affairs of the Company have been conducted in the manner described in s</w:t>
      </w:r>
      <w:r w:rsidR="00BC670C">
        <w:rPr>
          <w:color w:val="000000" w:themeColor="text1"/>
        </w:rPr>
        <w:t xml:space="preserve">.214(1), the </w:t>
      </w:r>
      <w:r w:rsidR="00833E3D">
        <w:rPr>
          <w:color w:val="000000" w:themeColor="text1"/>
        </w:rPr>
        <w:t>c</w:t>
      </w:r>
      <w:r w:rsidR="00BC670C">
        <w:rPr>
          <w:color w:val="000000" w:themeColor="text1"/>
        </w:rPr>
        <w:t xml:space="preserve">ourt </w:t>
      </w:r>
      <w:r w:rsidR="00C46770">
        <w:rPr>
          <w:color w:val="000000" w:themeColor="text1"/>
        </w:rPr>
        <w:t xml:space="preserve">may </w:t>
      </w:r>
      <w:r w:rsidR="00BC670C">
        <w:rPr>
          <w:color w:val="000000" w:themeColor="text1"/>
        </w:rPr>
        <w:t xml:space="preserve">make </w:t>
      </w:r>
      <w:r w:rsidR="00057B7C">
        <w:rPr>
          <w:color w:val="000000" w:themeColor="text1"/>
        </w:rPr>
        <w:t xml:space="preserve">any </w:t>
      </w:r>
      <w:r w:rsidR="00BC670C">
        <w:rPr>
          <w:color w:val="000000" w:themeColor="text1"/>
        </w:rPr>
        <w:t>order</w:t>
      </w:r>
      <w:r w:rsidR="00057B7C">
        <w:rPr>
          <w:color w:val="000000" w:themeColor="text1"/>
        </w:rPr>
        <w:t xml:space="preserve"> stipulated in s.214(2) </w:t>
      </w:r>
      <w:r w:rsidR="00BC670C">
        <w:rPr>
          <w:color w:val="000000" w:themeColor="text1"/>
        </w:rPr>
        <w:t xml:space="preserve">including a disqualification order </w:t>
      </w:r>
      <w:r w:rsidR="00E27626">
        <w:rPr>
          <w:color w:val="000000" w:themeColor="text1"/>
        </w:rPr>
        <w:t xml:space="preserve">against the </w:t>
      </w:r>
      <w:r w:rsidR="0051791E">
        <w:rPr>
          <w:color w:val="000000" w:themeColor="text1"/>
        </w:rPr>
        <w:t xml:space="preserve">person responsible for the impugned conduct </w:t>
      </w:r>
      <w:r w:rsidR="00BC670C">
        <w:rPr>
          <w:color w:val="000000" w:themeColor="text1"/>
        </w:rPr>
        <w:t>if it considers it justified</w:t>
      </w:r>
      <w:r w:rsidR="00DB6271">
        <w:rPr>
          <w:color w:val="000000" w:themeColor="text1"/>
        </w:rPr>
        <w:t xml:space="preserve"> (</w:t>
      </w:r>
      <w:r w:rsidR="00BC670C" w:rsidRPr="004D1F20">
        <w:rPr>
          <w:i/>
          <w:iCs/>
          <w:color w:val="000000" w:themeColor="text1"/>
        </w:rPr>
        <w:t>Re Long Success</w:t>
      </w:r>
      <w:r w:rsidR="00BC670C">
        <w:rPr>
          <w:b/>
          <w:bCs/>
          <w:color w:val="000000" w:themeColor="text1"/>
        </w:rPr>
        <w:t xml:space="preserve"> </w:t>
      </w:r>
      <w:r w:rsidR="00BC670C">
        <w:rPr>
          <w:color w:val="000000" w:themeColor="text1"/>
        </w:rPr>
        <w:t>§40</w:t>
      </w:r>
      <w:r w:rsidR="004D1F20" w:rsidRPr="00877051">
        <w:rPr>
          <w:color w:val="000000" w:themeColor="text1"/>
        </w:rPr>
        <w:t>)</w:t>
      </w:r>
      <w:r w:rsidR="00BC670C" w:rsidRPr="00877051">
        <w:rPr>
          <w:color w:val="000000" w:themeColor="text1"/>
        </w:rPr>
        <w:t>.</w:t>
      </w:r>
    </w:p>
    <w:p w14:paraId="09B6F7D6" w14:textId="230DCD99" w:rsidR="001224D4" w:rsidRPr="00F85253" w:rsidRDefault="0091409F" w:rsidP="00486E85">
      <w:pPr>
        <w:pStyle w:val="H-1"/>
        <w:tabs>
          <w:tab w:val="clear" w:pos="1080"/>
          <w:tab w:val="left" w:pos="709"/>
        </w:tabs>
      </w:pPr>
      <w:r>
        <w:t>D7.1</w:t>
      </w:r>
      <w:r>
        <w:tab/>
      </w:r>
      <w:r w:rsidR="00ED6725" w:rsidRPr="00F85253">
        <w:t>D</w:t>
      </w:r>
      <w:r w:rsidR="001224D4" w:rsidRPr="00F85253">
        <w:t xml:space="preserve">isqualification order </w:t>
      </w:r>
    </w:p>
    <w:p w14:paraId="3B980624" w14:textId="22E49355" w:rsidR="00FA370F" w:rsidRPr="00FA370F" w:rsidRDefault="00AD3FB7" w:rsidP="00B50620">
      <w:pPr>
        <w:pStyle w:val="Final"/>
        <w:numPr>
          <w:ilvl w:val="0"/>
          <w:numId w:val="2"/>
        </w:numPr>
        <w:tabs>
          <w:tab w:val="clear" w:pos="720"/>
          <w:tab w:val="num" w:pos="0"/>
        </w:tabs>
        <w:ind w:left="0" w:firstLine="0"/>
        <w:rPr>
          <w:color w:val="000000" w:themeColor="text1"/>
        </w:rPr>
      </w:pPr>
      <w:r>
        <w:rPr>
          <w:color w:val="000000" w:themeColor="text1"/>
        </w:rPr>
        <w:tab/>
      </w:r>
      <w:r w:rsidR="00FA370F">
        <w:rPr>
          <w:color w:val="000000" w:themeColor="text1"/>
        </w:rPr>
        <w:t>The principles governing the exercise of discretion in making a disqualification order may be summarised as follows:</w:t>
      </w:r>
    </w:p>
    <w:p w14:paraId="77370264" w14:textId="2B044C7D" w:rsidR="00BC670C" w:rsidRDefault="00BC670C" w:rsidP="005C174D">
      <w:pPr>
        <w:pStyle w:val="points"/>
        <w:numPr>
          <w:ilvl w:val="0"/>
          <w:numId w:val="46"/>
        </w:numPr>
        <w:tabs>
          <w:tab w:val="clear" w:pos="1400"/>
        </w:tabs>
      </w:pPr>
      <w:r>
        <w:t xml:space="preserve">The </w:t>
      </w:r>
      <w:r w:rsidR="000C5AD6">
        <w:t>c</w:t>
      </w:r>
      <w:r>
        <w:t>ourt takes into account the two-fold objectives of a disqualification order</w:t>
      </w:r>
      <w:r w:rsidR="000C5AD6">
        <w:t xml:space="preserve"> viz.,</w:t>
      </w:r>
      <w:r>
        <w:t xml:space="preserve"> to protect the public against the future conduct of the respondent </w:t>
      </w:r>
      <w:proofErr w:type="gramStart"/>
      <w:r>
        <w:t>and  as</w:t>
      </w:r>
      <w:proofErr w:type="gramEnd"/>
      <w:r>
        <w:t xml:space="preserve"> a general deterrence</w:t>
      </w:r>
      <w:r w:rsidR="002D5CEB">
        <w:t xml:space="preserve"> (</w:t>
      </w:r>
      <w:r w:rsidRPr="00E57F44">
        <w:rPr>
          <w:i/>
          <w:iCs/>
        </w:rPr>
        <w:t xml:space="preserve">Re Shandong </w:t>
      </w:r>
      <w:proofErr w:type="spellStart"/>
      <w:r w:rsidRPr="00E57F44">
        <w:rPr>
          <w:i/>
          <w:iCs/>
        </w:rPr>
        <w:t>Molong</w:t>
      </w:r>
      <w:proofErr w:type="spellEnd"/>
      <w:r>
        <w:rPr>
          <w:b/>
          <w:bCs/>
        </w:rPr>
        <w:t xml:space="preserve"> </w:t>
      </w:r>
      <w:r>
        <w:t>§20</w:t>
      </w:r>
      <w:r w:rsidR="00137927" w:rsidRPr="00E57F44">
        <w:t>)</w:t>
      </w:r>
      <w:r w:rsidRPr="00E57F44">
        <w:t>.</w:t>
      </w:r>
    </w:p>
    <w:p w14:paraId="46955BD4" w14:textId="1A11A280" w:rsidR="00B167F8" w:rsidRDefault="00BC670C" w:rsidP="005C174D">
      <w:pPr>
        <w:pStyle w:val="points"/>
        <w:numPr>
          <w:ilvl w:val="0"/>
          <w:numId w:val="46"/>
        </w:numPr>
        <w:tabs>
          <w:tab w:val="clear" w:pos="1400"/>
        </w:tabs>
        <w:rPr>
          <w:color w:val="000000" w:themeColor="text1"/>
        </w:rPr>
      </w:pPr>
      <w:r w:rsidRPr="00A63F73">
        <w:rPr>
          <w:color w:val="000000" w:themeColor="text1"/>
        </w:rPr>
        <w:t xml:space="preserve">The </w:t>
      </w:r>
      <w:r w:rsidR="00183F2C" w:rsidRPr="000744C9">
        <w:t>c</w:t>
      </w:r>
      <w:r w:rsidRPr="000744C9">
        <w:t>ourt</w:t>
      </w:r>
      <w:r w:rsidRPr="00A63F73">
        <w:rPr>
          <w:color w:val="000000" w:themeColor="text1"/>
        </w:rPr>
        <w:t xml:space="preserve"> will have regard to a wide spectrum of factors, including the respondent’s age and state of health, the length of time he has been in jeopardy, whether he has admitted the offence, his general conduct before and after the offence, and the periods of disqualification of his co-directors that may have been ordered </w:t>
      </w:r>
      <w:r w:rsidR="00B167F8">
        <w:rPr>
          <w:color w:val="000000" w:themeColor="text1"/>
        </w:rPr>
        <w:t>(</w:t>
      </w:r>
      <w:r w:rsidRPr="00B167F8">
        <w:rPr>
          <w:i/>
          <w:iCs/>
          <w:color w:val="000000" w:themeColor="text1"/>
        </w:rPr>
        <w:t>Re First China Financial Network Holdings Ltd</w:t>
      </w:r>
      <w:r w:rsidRPr="00A63F73">
        <w:rPr>
          <w:b/>
          <w:bCs/>
          <w:color w:val="000000" w:themeColor="text1"/>
        </w:rPr>
        <w:t xml:space="preserve"> </w:t>
      </w:r>
      <w:r w:rsidRPr="00A63F73">
        <w:rPr>
          <w:color w:val="000000" w:themeColor="text1"/>
        </w:rPr>
        <w:t>[2015] 5 HKLRD 530 §8</w:t>
      </w:r>
      <w:r w:rsidR="00B167F8" w:rsidRPr="00B167F8">
        <w:rPr>
          <w:color w:val="000000" w:themeColor="text1"/>
        </w:rPr>
        <w:t>)</w:t>
      </w:r>
      <w:r w:rsidRPr="00B167F8">
        <w:rPr>
          <w:color w:val="000000" w:themeColor="text1"/>
        </w:rPr>
        <w:t>.</w:t>
      </w:r>
    </w:p>
    <w:p w14:paraId="7709254E" w14:textId="16171291" w:rsidR="00BC670C" w:rsidRDefault="00DD5081" w:rsidP="005C174D">
      <w:pPr>
        <w:pStyle w:val="points"/>
        <w:numPr>
          <w:ilvl w:val="0"/>
          <w:numId w:val="46"/>
        </w:numPr>
        <w:tabs>
          <w:tab w:val="clear" w:pos="1400"/>
        </w:tabs>
        <w:rPr>
          <w:color w:val="000000" w:themeColor="text1"/>
        </w:rPr>
      </w:pPr>
      <w:r>
        <w:rPr>
          <w:color w:val="000000" w:themeColor="text1"/>
        </w:rPr>
        <w:t>T</w:t>
      </w:r>
      <w:r w:rsidR="00BC670C" w:rsidRPr="00B167F8">
        <w:rPr>
          <w:color w:val="000000" w:themeColor="text1"/>
        </w:rPr>
        <w:t xml:space="preserve">here are </w:t>
      </w:r>
      <w:r w:rsidR="00B167F8">
        <w:rPr>
          <w:color w:val="000000" w:themeColor="text1"/>
        </w:rPr>
        <w:t>8</w:t>
      </w:r>
      <w:r w:rsidR="00BC670C" w:rsidRPr="00B167F8">
        <w:rPr>
          <w:color w:val="000000" w:themeColor="text1"/>
        </w:rPr>
        <w:t xml:space="preserve"> criteria which govern the </w:t>
      </w:r>
      <w:r w:rsidR="00B167F8">
        <w:rPr>
          <w:color w:val="000000" w:themeColor="text1"/>
        </w:rPr>
        <w:t>c</w:t>
      </w:r>
      <w:r w:rsidR="00BC670C" w:rsidRPr="00B167F8">
        <w:rPr>
          <w:color w:val="000000" w:themeColor="text1"/>
        </w:rPr>
        <w:t>ourt’s exercise of discretion namely (</w:t>
      </w:r>
      <w:r w:rsidR="00CF710C">
        <w:rPr>
          <w:color w:val="000000" w:themeColor="text1"/>
        </w:rPr>
        <w:t>a</w:t>
      </w:r>
      <w:r w:rsidR="00BC670C" w:rsidRPr="00B167F8">
        <w:rPr>
          <w:color w:val="000000" w:themeColor="text1"/>
        </w:rPr>
        <w:t>) the character of the offenders, (</w:t>
      </w:r>
      <w:r w:rsidR="00CF710C">
        <w:rPr>
          <w:color w:val="000000" w:themeColor="text1"/>
        </w:rPr>
        <w:t>b</w:t>
      </w:r>
      <w:r w:rsidR="00BC670C" w:rsidRPr="00B167F8">
        <w:rPr>
          <w:color w:val="000000" w:themeColor="text1"/>
        </w:rPr>
        <w:t>) the nature of breaches, (</w:t>
      </w:r>
      <w:r w:rsidR="00CF710C">
        <w:rPr>
          <w:color w:val="000000" w:themeColor="text1"/>
        </w:rPr>
        <w:t>c</w:t>
      </w:r>
      <w:r w:rsidR="00BC670C" w:rsidRPr="00B167F8">
        <w:rPr>
          <w:color w:val="000000" w:themeColor="text1"/>
        </w:rPr>
        <w:t>) the structure of the companies and the nature of their business, (</w:t>
      </w:r>
      <w:r w:rsidR="00CF710C">
        <w:rPr>
          <w:color w:val="000000" w:themeColor="text1"/>
        </w:rPr>
        <w:t>d</w:t>
      </w:r>
      <w:r w:rsidR="00BC670C" w:rsidRPr="00B167F8">
        <w:rPr>
          <w:color w:val="000000" w:themeColor="text1"/>
        </w:rPr>
        <w:t>) the interests of the shareholders, creditors and employees, (</w:t>
      </w:r>
      <w:r w:rsidR="00CF710C">
        <w:rPr>
          <w:color w:val="000000" w:themeColor="text1"/>
        </w:rPr>
        <w:t>e</w:t>
      </w:r>
      <w:r w:rsidR="00BC670C" w:rsidRPr="00B167F8">
        <w:rPr>
          <w:color w:val="000000" w:themeColor="text1"/>
        </w:rPr>
        <w:t xml:space="preserve">) the risks to others from the </w:t>
      </w:r>
      <w:r w:rsidR="00BC670C" w:rsidRPr="00B167F8">
        <w:rPr>
          <w:color w:val="000000" w:themeColor="text1"/>
        </w:rPr>
        <w:lastRenderedPageBreak/>
        <w:t>continuation of the offenders as company directors, (</w:t>
      </w:r>
      <w:r w:rsidR="00CF710C">
        <w:rPr>
          <w:color w:val="000000" w:themeColor="text1"/>
        </w:rPr>
        <w:t>f</w:t>
      </w:r>
      <w:r w:rsidR="00BC670C" w:rsidRPr="00B167F8">
        <w:rPr>
          <w:color w:val="000000" w:themeColor="text1"/>
        </w:rPr>
        <w:t>) the honesty and competence of the offenders, (</w:t>
      </w:r>
      <w:r w:rsidR="00CF710C">
        <w:rPr>
          <w:color w:val="000000" w:themeColor="text1"/>
        </w:rPr>
        <w:t>g</w:t>
      </w:r>
      <w:r w:rsidR="00BC670C" w:rsidRPr="00B167F8">
        <w:rPr>
          <w:color w:val="000000" w:themeColor="text1"/>
        </w:rPr>
        <w:t>) the hardship to the offenders and their personal and commercial interests, and (</w:t>
      </w:r>
      <w:r w:rsidR="00CF710C">
        <w:rPr>
          <w:color w:val="000000" w:themeColor="text1"/>
        </w:rPr>
        <w:t>h</w:t>
      </w:r>
      <w:r w:rsidR="00BC670C" w:rsidRPr="00B167F8">
        <w:rPr>
          <w:color w:val="000000" w:themeColor="text1"/>
        </w:rPr>
        <w:t xml:space="preserve">) the offenders’ appreciation that future breaches should result in future proceedings </w:t>
      </w:r>
      <w:r w:rsidR="00CF710C">
        <w:rPr>
          <w:color w:val="000000" w:themeColor="text1"/>
        </w:rPr>
        <w:t>(</w:t>
      </w:r>
      <w:r w:rsidR="00BC670C" w:rsidRPr="00B167F8">
        <w:rPr>
          <w:i/>
          <w:iCs/>
          <w:color w:val="000000" w:themeColor="text1"/>
        </w:rPr>
        <w:t>Re First China Financial Network</w:t>
      </w:r>
      <w:r w:rsidR="00BC670C" w:rsidRPr="00B167F8">
        <w:rPr>
          <w:b/>
          <w:bCs/>
          <w:color w:val="000000" w:themeColor="text1"/>
        </w:rPr>
        <w:t xml:space="preserve"> </w:t>
      </w:r>
      <w:r w:rsidR="00BC670C" w:rsidRPr="00B167F8">
        <w:rPr>
          <w:color w:val="000000" w:themeColor="text1"/>
        </w:rPr>
        <w:t xml:space="preserve">§8; </w:t>
      </w:r>
      <w:r w:rsidR="00BC670C" w:rsidRPr="00B167F8">
        <w:rPr>
          <w:i/>
          <w:iCs/>
          <w:color w:val="000000" w:themeColor="text1"/>
        </w:rPr>
        <w:t>Re DBA Telecommunication</w:t>
      </w:r>
      <w:r w:rsidR="00BC670C" w:rsidRPr="00B167F8">
        <w:rPr>
          <w:color w:val="000000" w:themeColor="text1"/>
        </w:rPr>
        <w:t xml:space="preserve"> §31(4)</w:t>
      </w:r>
      <w:r w:rsidR="00CF710C">
        <w:rPr>
          <w:color w:val="000000" w:themeColor="text1"/>
        </w:rPr>
        <w:t>)</w:t>
      </w:r>
      <w:r w:rsidR="00BC670C" w:rsidRPr="00B167F8">
        <w:rPr>
          <w:color w:val="000000" w:themeColor="text1"/>
        </w:rPr>
        <w:t>.</w:t>
      </w:r>
    </w:p>
    <w:p w14:paraId="6BE6FD43" w14:textId="57964787" w:rsidR="00BC670C" w:rsidRPr="00CF710C" w:rsidRDefault="00BC670C" w:rsidP="005C174D">
      <w:pPr>
        <w:pStyle w:val="points"/>
        <w:numPr>
          <w:ilvl w:val="0"/>
          <w:numId w:val="46"/>
        </w:numPr>
        <w:tabs>
          <w:tab w:val="clear" w:pos="1400"/>
        </w:tabs>
        <w:rPr>
          <w:color w:val="000000" w:themeColor="text1"/>
        </w:rPr>
      </w:pPr>
      <w:r w:rsidRPr="00CF710C">
        <w:rPr>
          <w:color w:val="000000" w:themeColor="text1"/>
        </w:rPr>
        <w:t xml:space="preserve">The </w:t>
      </w:r>
      <w:r w:rsidR="00E86E50" w:rsidRPr="000744C9">
        <w:t>c</w:t>
      </w:r>
      <w:r w:rsidRPr="000744C9">
        <w:t>ourt</w:t>
      </w:r>
      <w:r w:rsidRPr="00CF710C">
        <w:rPr>
          <w:color w:val="000000" w:themeColor="text1"/>
        </w:rPr>
        <w:t xml:space="preserve"> adopts a reasonably broad-brush approach, and </w:t>
      </w:r>
      <w:r w:rsidR="001C7662">
        <w:rPr>
          <w:color w:val="000000" w:themeColor="text1"/>
        </w:rPr>
        <w:t xml:space="preserve">will have regard </w:t>
      </w:r>
      <w:r w:rsidRPr="00CF710C">
        <w:rPr>
          <w:color w:val="000000" w:themeColor="text1"/>
        </w:rPr>
        <w:t xml:space="preserve">to </w:t>
      </w:r>
      <w:r w:rsidR="001C7662">
        <w:rPr>
          <w:color w:val="000000" w:themeColor="text1"/>
        </w:rPr>
        <w:t>3</w:t>
      </w:r>
      <w:r w:rsidRPr="00CF710C">
        <w:rPr>
          <w:color w:val="000000" w:themeColor="text1"/>
        </w:rPr>
        <w:t xml:space="preserve"> brackets of disqualification periods:</w:t>
      </w:r>
    </w:p>
    <w:p w14:paraId="61DA108D" w14:textId="35DE89A4" w:rsidR="00BC670C" w:rsidRDefault="00BC670C" w:rsidP="005C174D">
      <w:pPr>
        <w:pStyle w:val="points"/>
        <w:numPr>
          <w:ilvl w:val="0"/>
          <w:numId w:val="47"/>
        </w:numPr>
        <w:tabs>
          <w:tab w:val="clear" w:pos="1400"/>
          <w:tab w:val="clear" w:pos="1960"/>
        </w:tabs>
        <w:ind w:left="2160" w:hanging="720"/>
      </w:pPr>
      <w:r>
        <w:t xml:space="preserve">the top bracket of disqualification for over 10 years for particularly serious cases; </w:t>
      </w:r>
    </w:p>
    <w:p w14:paraId="43E69407" w14:textId="5274938B" w:rsidR="00BC670C" w:rsidRDefault="00BC670C" w:rsidP="005C174D">
      <w:pPr>
        <w:pStyle w:val="points"/>
        <w:numPr>
          <w:ilvl w:val="0"/>
          <w:numId w:val="47"/>
        </w:numPr>
        <w:tabs>
          <w:tab w:val="clear" w:pos="1400"/>
          <w:tab w:val="clear" w:pos="1960"/>
        </w:tabs>
        <w:ind w:left="2160" w:hanging="720"/>
        <w:rPr>
          <w:color w:val="000000" w:themeColor="text1"/>
        </w:rPr>
      </w:pPr>
      <w:r>
        <w:rPr>
          <w:color w:val="000000" w:themeColor="text1"/>
        </w:rPr>
        <w:t xml:space="preserve">a </w:t>
      </w:r>
      <w:r w:rsidRPr="007E5C50">
        <w:t>minimum</w:t>
      </w:r>
      <w:r>
        <w:rPr>
          <w:color w:val="000000" w:themeColor="text1"/>
        </w:rPr>
        <w:t xml:space="preserve"> bracket of below 5 years’ disqualification for cases which are relatively less serious; and </w:t>
      </w:r>
    </w:p>
    <w:p w14:paraId="38D837FA" w14:textId="666678A8" w:rsidR="002C34D1" w:rsidRPr="005B43A4" w:rsidRDefault="00BC670C" w:rsidP="005C174D">
      <w:pPr>
        <w:pStyle w:val="points"/>
        <w:numPr>
          <w:ilvl w:val="0"/>
          <w:numId w:val="47"/>
        </w:numPr>
        <w:tabs>
          <w:tab w:val="clear" w:pos="1400"/>
          <w:tab w:val="clear" w:pos="1960"/>
        </w:tabs>
        <w:ind w:left="2160" w:hanging="720"/>
        <w:rPr>
          <w:color w:val="000000" w:themeColor="text1"/>
        </w:rPr>
      </w:pPr>
      <w:r>
        <w:rPr>
          <w:color w:val="000000" w:themeColor="text1"/>
        </w:rPr>
        <w:t xml:space="preserve">a </w:t>
      </w:r>
      <w:r w:rsidRPr="007E5C50">
        <w:t>middle</w:t>
      </w:r>
      <w:r>
        <w:rPr>
          <w:color w:val="000000" w:themeColor="text1"/>
        </w:rPr>
        <w:t xml:space="preserve"> bracket of 6 to 10 years’ disqualification for cases which although serious, are not so serious as to merit a period of disqualification in the top bracket</w:t>
      </w:r>
      <w:r w:rsidR="005B43A4">
        <w:rPr>
          <w:color w:val="000000" w:themeColor="text1"/>
        </w:rPr>
        <w:t xml:space="preserve"> (</w:t>
      </w:r>
      <w:r w:rsidRPr="00D36620">
        <w:rPr>
          <w:i/>
          <w:iCs/>
          <w:color w:val="000000" w:themeColor="text1"/>
        </w:rPr>
        <w:t>Re First China Financial Network</w:t>
      </w:r>
      <w:r w:rsidRPr="005B43A4">
        <w:rPr>
          <w:b/>
          <w:bCs/>
          <w:color w:val="000000" w:themeColor="text1"/>
        </w:rPr>
        <w:t xml:space="preserve"> </w:t>
      </w:r>
      <w:r w:rsidRPr="005B43A4">
        <w:rPr>
          <w:color w:val="000000" w:themeColor="text1"/>
        </w:rPr>
        <w:t xml:space="preserve">§§5-6, 9; </w:t>
      </w:r>
      <w:r w:rsidRPr="00D36620">
        <w:rPr>
          <w:i/>
          <w:iCs/>
          <w:color w:val="000000" w:themeColor="text1"/>
        </w:rPr>
        <w:t>Re DBA Telecommunication</w:t>
      </w:r>
      <w:r w:rsidRPr="005B43A4">
        <w:rPr>
          <w:b/>
          <w:bCs/>
          <w:color w:val="000000" w:themeColor="text1"/>
        </w:rPr>
        <w:t xml:space="preserve"> </w:t>
      </w:r>
      <w:r w:rsidRPr="005B43A4">
        <w:rPr>
          <w:color w:val="000000" w:themeColor="text1"/>
        </w:rPr>
        <w:t>§§31(</w:t>
      </w:r>
      <w:proofErr w:type="gramStart"/>
      <w:r w:rsidRPr="005B43A4">
        <w:rPr>
          <w:color w:val="000000" w:themeColor="text1"/>
        </w:rPr>
        <w:t>2)-(</w:t>
      </w:r>
      <w:proofErr w:type="gramEnd"/>
      <w:r w:rsidRPr="005B43A4">
        <w:rPr>
          <w:color w:val="000000" w:themeColor="text1"/>
        </w:rPr>
        <w:t>3)</w:t>
      </w:r>
      <w:r w:rsidR="00D36620">
        <w:rPr>
          <w:color w:val="000000" w:themeColor="text1"/>
        </w:rPr>
        <w:t>).</w:t>
      </w:r>
    </w:p>
    <w:p w14:paraId="2170E387" w14:textId="5633D6A6" w:rsidR="007A1446" w:rsidRDefault="007A1446" w:rsidP="007E5C50">
      <w:pPr>
        <w:pStyle w:val="Final"/>
        <w:numPr>
          <w:ilvl w:val="0"/>
          <w:numId w:val="2"/>
        </w:numPr>
        <w:tabs>
          <w:tab w:val="clear" w:pos="720"/>
          <w:tab w:val="num" w:pos="0"/>
        </w:tabs>
        <w:ind w:left="0" w:firstLine="0"/>
        <w:rPr>
          <w:color w:val="000000" w:themeColor="text1"/>
        </w:rPr>
      </w:pPr>
      <w:r>
        <w:rPr>
          <w:color w:val="000000" w:themeColor="text1"/>
        </w:rPr>
        <w:tab/>
        <w:t xml:space="preserve">Mr </w:t>
      </w:r>
      <w:proofErr w:type="spellStart"/>
      <w:r>
        <w:rPr>
          <w:color w:val="000000" w:themeColor="text1"/>
        </w:rPr>
        <w:t>Suen</w:t>
      </w:r>
      <w:proofErr w:type="spellEnd"/>
      <w:r w:rsidR="00790412">
        <w:rPr>
          <w:color w:val="000000" w:themeColor="text1"/>
        </w:rPr>
        <w:t xml:space="preserve"> submit</w:t>
      </w:r>
      <w:r w:rsidR="00C36B4F">
        <w:rPr>
          <w:color w:val="000000" w:themeColor="text1"/>
        </w:rPr>
        <w:t>ted</w:t>
      </w:r>
      <w:r w:rsidR="00790412">
        <w:rPr>
          <w:color w:val="000000" w:themeColor="text1"/>
        </w:rPr>
        <w:t xml:space="preserve"> that a disqualification period of 10 to 11 years is appropriate</w:t>
      </w:r>
      <w:r w:rsidR="00CD09F2">
        <w:rPr>
          <w:color w:val="000000" w:themeColor="text1"/>
        </w:rPr>
        <w:t xml:space="preserve"> to reflect the gravity of the misconduct, the deliberate and misleading explanations </w:t>
      </w:r>
      <w:r w:rsidR="00435448">
        <w:rPr>
          <w:color w:val="000000" w:themeColor="text1"/>
        </w:rPr>
        <w:t>proffered</w:t>
      </w:r>
      <w:r w:rsidR="00CD09F2">
        <w:rPr>
          <w:color w:val="000000" w:themeColor="text1"/>
        </w:rPr>
        <w:t>, and the need for deterrence and protection of the investing public against Mr Wen’s wrongdoing</w:t>
      </w:r>
      <w:r w:rsidR="00AE6CFF">
        <w:rPr>
          <w:color w:val="000000" w:themeColor="text1"/>
        </w:rPr>
        <w:t xml:space="preserve">.  </w:t>
      </w:r>
      <w:r w:rsidR="00DB5A7E">
        <w:rPr>
          <w:color w:val="000000" w:themeColor="text1"/>
        </w:rPr>
        <w:t xml:space="preserve">The court in </w:t>
      </w:r>
      <w:r w:rsidR="00DB5A7E" w:rsidRPr="00B11C20">
        <w:rPr>
          <w:i/>
          <w:iCs/>
          <w:color w:val="000000" w:themeColor="text1"/>
        </w:rPr>
        <w:t xml:space="preserve">Re Shandong </w:t>
      </w:r>
      <w:proofErr w:type="spellStart"/>
      <w:r w:rsidR="00DB5A7E" w:rsidRPr="00B11C20">
        <w:rPr>
          <w:i/>
          <w:iCs/>
          <w:color w:val="000000" w:themeColor="text1"/>
        </w:rPr>
        <w:t>Molong</w:t>
      </w:r>
      <w:proofErr w:type="spellEnd"/>
      <w:r w:rsidR="00DB5A7E">
        <w:rPr>
          <w:color w:val="000000" w:themeColor="text1"/>
        </w:rPr>
        <w:t xml:space="preserve"> adopted a starting point of 11 years for the 2</w:t>
      </w:r>
      <w:r w:rsidR="00DB5A7E" w:rsidRPr="00DB5A7E">
        <w:rPr>
          <w:color w:val="000000" w:themeColor="text1"/>
          <w:vertAlign w:val="superscript"/>
        </w:rPr>
        <w:t>nd</w:t>
      </w:r>
      <w:r w:rsidR="00DB5A7E">
        <w:rPr>
          <w:color w:val="000000" w:themeColor="text1"/>
        </w:rPr>
        <w:t xml:space="preserve"> respondent, who was Chairman and ED of the company, and the misconduct did not involve embezzlement of funds or loss suffered by the company (§§29-30)</w:t>
      </w:r>
      <w:r w:rsidR="00B11C20">
        <w:rPr>
          <w:color w:val="000000" w:themeColor="text1"/>
        </w:rPr>
        <w:t>.</w:t>
      </w:r>
    </w:p>
    <w:p w14:paraId="6F670E3C" w14:textId="168E2C25" w:rsidR="00B80285" w:rsidRDefault="00B11C20" w:rsidP="00A07253">
      <w:pPr>
        <w:pStyle w:val="Final"/>
        <w:numPr>
          <w:ilvl w:val="0"/>
          <w:numId w:val="2"/>
        </w:numPr>
        <w:tabs>
          <w:tab w:val="clear" w:pos="720"/>
          <w:tab w:val="num" w:pos="0"/>
        </w:tabs>
        <w:ind w:left="0" w:firstLine="0"/>
        <w:rPr>
          <w:color w:val="000000" w:themeColor="text1"/>
        </w:rPr>
      </w:pPr>
      <w:r>
        <w:rPr>
          <w:color w:val="000000" w:themeColor="text1"/>
        </w:rPr>
        <w:lastRenderedPageBreak/>
        <w:tab/>
        <w:t>Ms Liao on the other hand emp</w:t>
      </w:r>
      <w:r w:rsidR="001B6AFB">
        <w:rPr>
          <w:color w:val="000000" w:themeColor="text1"/>
        </w:rPr>
        <w:t>hasise</w:t>
      </w:r>
      <w:r w:rsidR="00C36B4F">
        <w:rPr>
          <w:color w:val="000000" w:themeColor="text1"/>
        </w:rPr>
        <w:t>d</w:t>
      </w:r>
      <w:r w:rsidR="001B6AFB">
        <w:rPr>
          <w:color w:val="000000" w:themeColor="text1"/>
        </w:rPr>
        <w:t xml:space="preserve"> that the </w:t>
      </w:r>
      <w:r w:rsidR="00850C83">
        <w:rPr>
          <w:color w:val="000000" w:themeColor="text1"/>
        </w:rPr>
        <w:t>Company ha</w:t>
      </w:r>
      <w:r w:rsidR="00A26239">
        <w:rPr>
          <w:color w:val="000000" w:themeColor="text1"/>
        </w:rPr>
        <w:t>d</w:t>
      </w:r>
      <w:r w:rsidR="00850C83">
        <w:rPr>
          <w:color w:val="000000" w:themeColor="text1"/>
        </w:rPr>
        <w:t xml:space="preserve"> not suffered any loss, and Mr Wen’s conduct </w:t>
      </w:r>
      <w:r w:rsidR="00CA50C8">
        <w:rPr>
          <w:color w:val="000000" w:themeColor="text1"/>
        </w:rPr>
        <w:t>wa</w:t>
      </w:r>
      <w:r w:rsidR="00850C83">
        <w:rPr>
          <w:color w:val="000000" w:themeColor="text1"/>
        </w:rPr>
        <w:t>s less serious than the conduct of the 1</w:t>
      </w:r>
      <w:r w:rsidR="00850C83" w:rsidRPr="00850C83">
        <w:rPr>
          <w:color w:val="000000" w:themeColor="text1"/>
          <w:vertAlign w:val="superscript"/>
        </w:rPr>
        <w:t>st</w:t>
      </w:r>
      <w:r w:rsidR="00850C83">
        <w:rPr>
          <w:color w:val="000000" w:themeColor="text1"/>
        </w:rPr>
        <w:t xml:space="preserve"> respondent in </w:t>
      </w:r>
      <w:r w:rsidR="00850C83" w:rsidRPr="004C3D8F">
        <w:rPr>
          <w:i/>
          <w:iCs/>
          <w:color w:val="000000" w:themeColor="text1"/>
        </w:rPr>
        <w:t xml:space="preserve">SFC v Li </w:t>
      </w:r>
      <w:proofErr w:type="spellStart"/>
      <w:r w:rsidR="00850C83" w:rsidRPr="004C3D8F">
        <w:rPr>
          <w:i/>
          <w:iCs/>
          <w:color w:val="000000" w:themeColor="text1"/>
        </w:rPr>
        <w:t>Hejun</w:t>
      </w:r>
      <w:proofErr w:type="spellEnd"/>
      <w:r w:rsidR="00850C83">
        <w:rPr>
          <w:color w:val="000000" w:themeColor="text1"/>
        </w:rPr>
        <w:t>, HCMP 166/2017, 4 September 2017</w:t>
      </w:r>
      <w:r w:rsidR="00AE6CFF">
        <w:rPr>
          <w:color w:val="000000" w:themeColor="text1"/>
        </w:rPr>
        <w:t xml:space="preserve">.  </w:t>
      </w:r>
      <w:r w:rsidR="004C3D8F">
        <w:rPr>
          <w:color w:val="000000" w:themeColor="text1"/>
        </w:rPr>
        <w:t>I disagree</w:t>
      </w:r>
      <w:r w:rsidR="00AE6CFF">
        <w:rPr>
          <w:color w:val="000000" w:themeColor="text1"/>
        </w:rPr>
        <w:t xml:space="preserve">.  </w:t>
      </w:r>
      <w:r w:rsidR="004C3D8F">
        <w:rPr>
          <w:color w:val="000000" w:themeColor="text1"/>
        </w:rPr>
        <w:t>The 1</w:t>
      </w:r>
      <w:r w:rsidR="004C3D8F" w:rsidRPr="004C3D8F">
        <w:rPr>
          <w:color w:val="000000" w:themeColor="text1"/>
          <w:vertAlign w:val="superscript"/>
        </w:rPr>
        <w:t>st</w:t>
      </w:r>
      <w:r w:rsidR="004C3D8F">
        <w:rPr>
          <w:color w:val="000000" w:themeColor="text1"/>
        </w:rPr>
        <w:t xml:space="preserve"> respondent in </w:t>
      </w:r>
      <w:r w:rsidR="004C3D8F" w:rsidRPr="00322DC7">
        <w:rPr>
          <w:i/>
          <w:iCs/>
          <w:color w:val="000000" w:themeColor="text1"/>
        </w:rPr>
        <w:t xml:space="preserve">SFC v Li </w:t>
      </w:r>
      <w:proofErr w:type="spellStart"/>
      <w:r w:rsidR="004C3D8F" w:rsidRPr="00322DC7">
        <w:rPr>
          <w:i/>
          <w:iCs/>
          <w:color w:val="000000" w:themeColor="text1"/>
        </w:rPr>
        <w:t>Hejun</w:t>
      </w:r>
      <w:proofErr w:type="spellEnd"/>
      <w:r w:rsidR="004C3D8F">
        <w:rPr>
          <w:color w:val="000000" w:themeColor="text1"/>
        </w:rPr>
        <w:t xml:space="preserve"> acted in</w:t>
      </w:r>
      <w:r w:rsidR="00E32A7B">
        <w:rPr>
          <w:color w:val="000000" w:themeColor="text1"/>
        </w:rPr>
        <w:t xml:space="preserve"> breach of his fiduciary dut</w:t>
      </w:r>
      <w:r w:rsidR="00760EC7">
        <w:rPr>
          <w:color w:val="000000" w:themeColor="text1"/>
        </w:rPr>
        <w:t xml:space="preserve">y </w:t>
      </w:r>
      <w:r w:rsidR="00322DC7">
        <w:rPr>
          <w:color w:val="000000" w:themeColor="text1"/>
        </w:rPr>
        <w:t>in fail</w:t>
      </w:r>
      <w:r w:rsidR="00CA50C8">
        <w:rPr>
          <w:color w:val="000000" w:themeColor="text1"/>
        </w:rPr>
        <w:t>ing</w:t>
      </w:r>
      <w:r w:rsidR="00322DC7">
        <w:rPr>
          <w:color w:val="000000" w:themeColor="text1"/>
        </w:rPr>
        <w:t xml:space="preserve"> to cause the company to collect a very substantial amount of receivables owed </w:t>
      </w:r>
      <w:r w:rsidR="00656EA6">
        <w:rPr>
          <w:color w:val="000000" w:themeColor="text1"/>
        </w:rPr>
        <w:t>by entities under his control</w:t>
      </w:r>
      <w:r w:rsidR="00AE6CFF">
        <w:rPr>
          <w:color w:val="000000" w:themeColor="text1"/>
        </w:rPr>
        <w:t xml:space="preserve">.  </w:t>
      </w:r>
      <w:r w:rsidR="00931293">
        <w:rPr>
          <w:color w:val="000000" w:themeColor="text1"/>
        </w:rPr>
        <w:t xml:space="preserve">His conduct fell within the top </w:t>
      </w:r>
      <w:r w:rsidR="00B80285">
        <w:rPr>
          <w:color w:val="000000" w:themeColor="text1"/>
        </w:rPr>
        <w:t>end of the middle bracket</w:t>
      </w:r>
      <w:r w:rsidR="00397811">
        <w:rPr>
          <w:color w:val="000000" w:themeColor="text1"/>
        </w:rPr>
        <w:t xml:space="preserve"> as it </w:t>
      </w:r>
      <w:r w:rsidR="00902D0E">
        <w:rPr>
          <w:color w:val="000000" w:themeColor="text1"/>
        </w:rPr>
        <w:t xml:space="preserve">did not involve any </w:t>
      </w:r>
      <w:r w:rsidR="00B80285">
        <w:rPr>
          <w:color w:val="000000" w:themeColor="text1"/>
        </w:rPr>
        <w:t>fraud</w:t>
      </w:r>
      <w:r w:rsidR="00902D0E">
        <w:rPr>
          <w:color w:val="000000" w:themeColor="text1"/>
        </w:rPr>
        <w:t xml:space="preserve"> </w:t>
      </w:r>
      <w:r w:rsidR="009D352C">
        <w:rPr>
          <w:color w:val="000000" w:themeColor="text1"/>
        </w:rPr>
        <w:t xml:space="preserve">or </w:t>
      </w:r>
      <w:r w:rsidR="001F3EB6">
        <w:rPr>
          <w:color w:val="000000" w:themeColor="text1"/>
        </w:rPr>
        <w:t>mis-statement of the financial position of the company.</w:t>
      </w:r>
    </w:p>
    <w:p w14:paraId="742C3FA7" w14:textId="7B149329" w:rsidR="001F3EB6" w:rsidRDefault="001F3EB6" w:rsidP="00A07253">
      <w:pPr>
        <w:pStyle w:val="Final"/>
        <w:numPr>
          <w:ilvl w:val="0"/>
          <w:numId w:val="2"/>
        </w:numPr>
        <w:tabs>
          <w:tab w:val="clear" w:pos="720"/>
          <w:tab w:val="num" w:pos="0"/>
        </w:tabs>
        <w:ind w:left="0" w:firstLine="0"/>
        <w:rPr>
          <w:color w:val="000000" w:themeColor="text1"/>
        </w:rPr>
      </w:pPr>
      <w:r>
        <w:rPr>
          <w:color w:val="000000" w:themeColor="text1"/>
        </w:rPr>
        <w:tab/>
      </w:r>
      <w:r w:rsidR="00783A15">
        <w:rPr>
          <w:color w:val="000000" w:themeColor="text1"/>
        </w:rPr>
        <w:t>I consider that a disqualification period of 1</w:t>
      </w:r>
      <w:r w:rsidR="004D7506">
        <w:rPr>
          <w:color w:val="000000" w:themeColor="text1"/>
        </w:rPr>
        <w:t>2</w:t>
      </w:r>
      <w:r w:rsidR="00783A15">
        <w:rPr>
          <w:color w:val="000000" w:themeColor="text1"/>
        </w:rPr>
        <w:t xml:space="preserve"> years is appropriate</w:t>
      </w:r>
      <w:r w:rsidR="001E3C6D">
        <w:rPr>
          <w:color w:val="000000" w:themeColor="text1"/>
        </w:rPr>
        <w:t xml:space="preserve"> </w:t>
      </w:r>
      <w:r w:rsidR="00C9549E">
        <w:rPr>
          <w:color w:val="000000" w:themeColor="text1"/>
        </w:rPr>
        <w:t xml:space="preserve">given </w:t>
      </w:r>
      <w:r w:rsidR="001E3C6D" w:rsidRPr="00C9549E">
        <w:rPr>
          <w:color w:val="000000" w:themeColor="text1"/>
        </w:rPr>
        <w:t>the very serious nature of the misconduct</w:t>
      </w:r>
      <w:r w:rsidR="005B13BB">
        <w:rPr>
          <w:color w:val="000000" w:themeColor="text1"/>
        </w:rPr>
        <w:t>, which involved fraud and dishonesty</w:t>
      </w:r>
      <w:r w:rsidR="00993730">
        <w:rPr>
          <w:color w:val="000000" w:themeColor="text1"/>
        </w:rPr>
        <w:t xml:space="preserve"> on the part of Mr Wen, who is </w:t>
      </w:r>
      <w:r w:rsidR="00625F57" w:rsidRPr="00C9549E">
        <w:rPr>
          <w:color w:val="000000" w:themeColor="text1"/>
        </w:rPr>
        <w:t>found to have caused, directed and perpetrated the Falsification Scheme and the Fabrication Scheme for over 2 years</w:t>
      </w:r>
      <w:r w:rsidR="00AE6CFF">
        <w:rPr>
          <w:color w:val="000000" w:themeColor="text1"/>
        </w:rPr>
        <w:t xml:space="preserve">.  </w:t>
      </w:r>
      <w:r w:rsidR="00625F57" w:rsidRPr="00C9549E">
        <w:rPr>
          <w:color w:val="000000" w:themeColor="text1"/>
        </w:rPr>
        <w:t xml:space="preserve">He also provided false explanations </w:t>
      </w:r>
      <w:r w:rsidR="005558F4" w:rsidRPr="00C9549E">
        <w:rPr>
          <w:color w:val="000000" w:themeColor="text1"/>
        </w:rPr>
        <w:t xml:space="preserve">on the 2015 Cash Discrepancy </w:t>
      </w:r>
      <w:r w:rsidR="00625F57" w:rsidRPr="00C9549E">
        <w:rPr>
          <w:color w:val="000000" w:themeColor="text1"/>
        </w:rPr>
        <w:t xml:space="preserve">to the </w:t>
      </w:r>
      <w:r w:rsidR="005558F4" w:rsidRPr="00C9549E">
        <w:rPr>
          <w:color w:val="000000" w:themeColor="text1"/>
        </w:rPr>
        <w:t xml:space="preserve">audit committee, auditors, </w:t>
      </w:r>
      <w:r w:rsidR="00625F57" w:rsidRPr="00C9549E">
        <w:rPr>
          <w:color w:val="000000" w:themeColor="text1"/>
        </w:rPr>
        <w:t>members and the regulators</w:t>
      </w:r>
      <w:r w:rsidR="00AE6CFF">
        <w:rPr>
          <w:color w:val="000000" w:themeColor="text1"/>
        </w:rPr>
        <w:t xml:space="preserve">.  </w:t>
      </w:r>
      <w:r w:rsidR="000B0EE1" w:rsidRPr="00C9549E">
        <w:rPr>
          <w:color w:val="000000" w:themeColor="text1"/>
        </w:rPr>
        <w:t xml:space="preserve">Such </w:t>
      </w:r>
      <w:r w:rsidR="009756A6" w:rsidRPr="00C9549E">
        <w:rPr>
          <w:color w:val="000000" w:themeColor="text1"/>
        </w:rPr>
        <w:t xml:space="preserve">conduct </w:t>
      </w:r>
      <w:r w:rsidR="000B0EE1" w:rsidRPr="00C9549E">
        <w:rPr>
          <w:color w:val="000000" w:themeColor="text1"/>
        </w:rPr>
        <w:t>was highly prejudicial to the Company and its members</w:t>
      </w:r>
      <w:r w:rsidR="00993730">
        <w:rPr>
          <w:color w:val="000000" w:themeColor="text1"/>
        </w:rPr>
        <w:t xml:space="preserve"> </w:t>
      </w:r>
      <w:r w:rsidR="00AD0EF8">
        <w:rPr>
          <w:color w:val="000000" w:themeColor="text1"/>
        </w:rPr>
        <w:t xml:space="preserve">and </w:t>
      </w:r>
      <w:r w:rsidR="00993730">
        <w:rPr>
          <w:color w:val="000000" w:themeColor="text1"/>
        </w:rPr>
        <w:t>resulted in suspension in trading for a prolonged period</w:t>
      </w:r>
      <w:r w:rsidR="00961F41">
        <w:rPr>
          <w:color w:val="000000" w:themeColor="text1"/>
        </w:rPr>
        <w:t xml:space="preserve"> substantial time and costs were incurred by the Company to engage various entities to investigate the impugned transactions as required by the audit committee and the regulators</w:t>
      </w:r>
      <w:r w:rsidR="00AE6CFF">
        <w:rPr>
          <w:color w:val="000000" w:themeColor="text1"/>
        </w:rPr>
        <w:t xml:space="preserve">.  </w:t>
      </w:r>
      <w:r w:rsidR="00D0701E" w:rsidRPr="00C9549E">
        <w:rPr>
          <w:color w:val="000000" w:themeColor="text1"/>
        </w:rPr>
        <w:t xml:space="preserve">Worse still, after the SFC had taken step to investigate the affairs of the Company, Mr Wen </w:t>
      </w:r>
      <w:r w:rsidR="00D0701E" w:rsidRPr="00486E85">
        <w:rPr>
          <w:color w:val="000000" w:themeColor="text1"/>
        </w:rPr>
        <w:t>caused or allowed</w:t>
      </w:r>
      <w:r w:rsidR="00D0701E" w:rsidRPr="00C9549E">
        <w:rPr>
          <w:color w:val="000000" w:themeColor="text1"/>
        </w:rPr>
        <w:t xml:space="preserve"> </w:t>
      </w:r>
      <w:r w:rsidR="002F3009" w:rsidRPr="00C9549E">
        <w:rPr>
          <w:color w:val="000000" w:themeColor="text1"/>
        </w:rPr>
        <w:t xml:space="preserve">all </w:t>
      </w:r>
      <w:r w:rsidR="00143D86" w:rsidRPr="00C9549E">
        <w:rPr>
          <w:color w:val="000000" w:themeColor="text1"/>
        </w:rPr>
        <w:t xml:space="preserve">relevant personnel and </w:t>
      </w:r>
      <w:r w:rsidR="0001425E" w:rsidRPr="00C9549E">
        <w:rPr>
          <w:color w:val="000000" w:themeColor="text1"/>
        </w:rPr>
        <w:t>documents</w:t>
      </w:r>
      <w:r w:rsidR="004D7506" w:rsidRPr="00C9549E">
        <w:rPr>
          <w:color w:val="000000" w:themeColor="text1"/>
        </w:rPr>
        <w:t xml:space="preserve"> to </w:t>
      </w:r>
      <w:r w:rsidR="009646CC" w:rsidRPr="00C9549E">
        <w:rPr>
          <w:color w:val="000000" w:themeColor="text1"/>
        </w:rPr>
        <w:t>become unavailable</w:t>
      </w:r>
      <w:r w:rsidR="00AE6CFF">
        <w:rPr>
          <w:color w:val="000000" w:themeColor="text1"/>
        </w:rPr>
        <w:t xml:space="preserve">.  </w:t>
      </w:r>
      <w:r w:rsidR="00803560" w:rsidRPr="00C9549E">
        <w:rPr>
          <w:color w:val="000000" w:themeColor="text1"/>
        </w:rPr>
        <w:t xml:space="preserve">This </w:t>
      </w:r>
      <w:r w:rsidR="004D7506" w:rsidRPr="00C9549E">
        <w:rPr>
          <w:color w:val="000000" w:themeColor="text1"/>
        </w:rPr>
        <w:t xml:space="preserve">made it impossible for the SFC and the Company to conduct a thorough investigation </w:t>
      </w:r>
      <w:r w:rsidR="00E22D88" w:rsidRPr="00C9549E">
        <w:rPr>
          <w:color w:val="000000" w:themeColor="text1"/>
        </w:rPr>
        <w:t>into the Schemes and the 2015 Cash Discrepancy</w:t>
      </w:r>
      <w:r w:rsidR="0056462D">
        <w:rPr>
          <w:color w:val="000000" w:themeColor="text1"/>
        </w:rPr>
        <w:t xml:space="preserve">, </w:t>
      </w:r>
      <w:r w:rsidR="003152EA">
        <w:rPr>
          <w:color w:val="000000" w:themeColor="text1"/>
        </w:rPr>
        <w:t xml:space="preserve">which is necessary to </w:t>
      </w:r>
      <w:r w:rsidR="00FC36E7">
        <w:rPr>
          <w:color w:val="000000" w:themeColor="text1"/>
        </w:rPr>
        <w:t xml:space="preserve">identify the </w:t>
      </w:r>
      <w:r w:rsidR="004B5258">
        <w:rPr>
          <w:color w:val="000000" w:themeColor="text1"/>
        </w:rPr>
        <w:t xml:space="preserve">full </w:t>
      </w:r>
      <w:r w:rsidR="00FC36E7">
        <w:rPr>
          <w:color w:val="000000" w:themeColor="text1"/>
        </w:rPr>
        <w:t xml:space="preserve">extent of the </w:t>
      </w:r>
      <w:r w:rsidR="004B5258">
        <w:rPr>
          <w:color w:val="000000" w:themeColor="text1"/>
        </w:rPr>
        <w:t xml:space="preserve">prejudice </w:t>
      </w:r>
      <w:r w:rsidR="007321F5">
        <w:rPr>
          <w:color w:val="000000" w:themeColor="text1"/>
        </w:rPr>
        <w:t xml:space="preserve">or damage </w:t>
      </w:r>
      <w:r w:rsidR="004B5258">
        <w:rPr>
          <w:color w:val="000000" w:themeColor="text1"/>
        </w:rPr>
        <w:t xml:space="preserve">suffered by the Company </w:t>
      </w:r>
      <w:r w:rsidR="007321F5">
        <w:rPr>
          <w:color w:val="000000" w:themeColor="text1"/>
        </w:rPr>
        <w:t xml:space="preserve">and to take steps to address and </w:t>
      </w:r>
      <w:r w:rsidR="000601B5">
        <w:rPr>
          <w:color w:val="000000" w:themeColor="text1"/>
        </w:rPr>
        <w:t xml:space="preserve">rectify the </w:t>
      </w:r>
      <w:r w:rsidR="007321F5">
        <w:rPr>
          <w:color w:val="000000" w:themeColor="text1"/>
        </w:rPr>
        <w:t>same</w:t>
      </w:r>
      <w:r w:rsidR="00AE6CFF">
        <w:rPr>
          <w:color w:val="000000" w:themeColor="text1"/>
        </w:rPr>
        <w:t xml:space="preserve">.  </w:t>
      </w:r>
    </w:p>
    <w:p w14:paraId="30C50C70" w14:textId="2684A7DA" w:rsidR="004B1764" w:rsidRPr="004B1764" w:rsidRDefault="000B14B8" w:rsidP="00486E85">
      <w:pPr>
        <w:pStyle w:val="H-1"/>
        <w:tabs>
          <w:tab w:val="clear" w:pos="1080"/>
          <w:tab w:val="left" w:pos="709"/>
        </w:tabs>
      </w:pPr>
      <w:r>
        <w:lastRenderedPageBreak/>
        <w:t>D7.2</w:t>
      </w:r>
      <w:r>
        <w:tab/>
      </w:r>
      <w:r w:rsidR="001A3E6E">
        <w:t>Share purchase</w:t>
      </w:r>
      <w:r w:rsidR="004B1764" w:rsidRPr="004B1764">
        <w:t xml:space="preserve"> order</w:t>
      </w:r>
    </w:p>
    <w:p w14:paraId="2E541ECB" w14:textId="7357B627" w:rsidR="00FB444A" w:rsidRDefault="00B46B10" w:rsidP="00A07253">
      <w:pPr>
        <w:pStyle w:val="Final"/>
        <w:numPr>
          <w:ilvl w:val="0"/>
          <w:numId w:val="2"/>
        </w:numPr>
        <w:tabs>
          <w:tab w:val="clear" w:pos="720"/>
          <w:tab w:val="num" w:pos="0"/>
        </w:tabs>
        <w:ind w:left="0" w:firstLine="0"/>
        <w:rPr>
          <w:color w:val="000000" w:themeColor="text1"/>
        </w:rPr>
      </w:pPr>
      <w:r>
        <w:rPr>
          <w:color w:val="000000" w:themeColor="text1"/>
        </w:rPr>
        <w:tab/>
        <w:t xml:space="preserve">The SFC seeks an order </w:t>
      </w:r>
      <w:r w:rsidR="00416F16">
        <w:rPr>
          <w:color w:val="000000" w:themeColor="text1"/>
        </w:rPr>
        <w:t xml:space="preserve">requiring </w:t>
      </w:r>
      <w:r>
        <w:rPr>
          <w:color w:val="000000" w:themeColor="text1"/>
        </w:rPr>
        <w:t xml:space="preserve">Mr Wen do make an offer to purchase the shares held by other </w:t>
      </w:r>
      <w:r w:rsidR="00F51A80">
        <w:rPr>
          <w:color w:val="000000" w:themeColor="text1"/>
        </w:rPr>
        <w:t xml:space="preserve">members </w:t>
      </w:r>
      <w:r>
        <w:rPr>
          <w:color w:val="000000" w:themeColor="text1"/>
        </w:rPr>
        <w:t>at a price to be determined by the court</w:t>
      </w:r>
      <w:r w:rsidR="00AE6CFF">
        <w:rPr>
          <w:color w:val="000000" w:themeColor="text1"/>
        </w:rPr>
        <w:t xml:space="preserve">.    </w:t>
      </w:r>
    </w:p>
    <w:p w14:paraId="0DDCD7BE" w14:textId="0CA10662" w:rsidR="000B7366" w:rsidRDefault="007029AC" w:rsidP="00DD24DB">
      <w:pPr>
        <w:pStyle w:val="Final"/>
        <w:numPr>
          <w:ilvl w:val="0"/>
          <w:numId w:val="2"/>
        </w:numPr>
        <w:tabs>
          <w:tab w:val="clear" w:pos="720"/>
          <w:tab w:val="num" w:pos="0"/>
        </w:tabs>
        <w:ind w:left="0" w:firstLine="0"/>
      </w:pPr>
      <w:r>
        <w:tab/>
      </w:r>
      <w:r w:rsidR="002375E5">
        <w:rPr>
          <w:u w:val="single"/>
        </w:rPr>
        <w:t>Section</w:t>
      </w:r>
      <w:r w:rsidR="002375E5">
        <w:t xml:space="preserve"> </w:t>
      </w:r>
      <w:r w:rsidR="004737B0">
        <w:t xml:space="preserve">214(2)(e) of the SFO </w:t>
      </w:r>
      <w:r w:rsidR="00E21F55" w:rsidRPr="00DD24DB">
        <w:rPr>
          <w:color w:val="000000" w:themeColor="text1"/>
        </w:rPr>
        <w:t>provides</w:t>
      </w:r>
      <w:r w:rsidR="00E21F55">
        <w:t xml:space="preserve"> that the </w:t>
      </w:r>
      <w:r w:rsidR="008626C2">
        <w:t>court</w:t>
      </w:r>
      <w:r w:rsidR="00E21F55">
        <w:t xml:space="preserve"> may</w:t>
      </w:r>
      <w:r w:rsidR="008626C2">
        <w:t xml:space="preserve"> </w:t>
      </w:r>
      <w:r w:rsidR="000B7366" w:rsidRPr="00D458DE">
        <w:t>“make any other order it considers appropriate, whether for regulating the conduct of the business or affairs of the corporation in future, or for the purchase of the shares of any members of the corporation by other members of the corporation or by the corporation</w:t>
      </w:r>
      <w:r w:rsidR="00525FDC">
        <w:t>…</w:t>
      </w:r>
      <w:r w:rsidR="001A1C89">
        <w:t xml:space="preserve">. </w:t>
      </w:r>
      <w:r w:rsidR="000B7366" w:rsidRPr="00D458DE">
        <w:t>or otherwise”</w:t>
      </w:r>
      <w:r w:rsidR="00AE6CFF">
        <w:t xml:space="preserve">.  </w:t>
      </w:r>
      <w:r w:rsidR="00AD5831">
        <w:t>The share purchase order sought by the SFC falls within the ambit of s.214(2)(e)</w:t>
      </w:r>
      <w:r w:rsidR="00AE6CFF">
        <w:t xml:space="preserve">.  </w:t>
      </w:r>
      <w:r w:rsidR="00405F92">
        <w:t>There is no dispute that Mr Wen is a member of the Company</w:t>
      </w:r>
      <w:r w:rsidR="00AE6CFF">
        <w:t xml:space="preserve">.  </w:t>
      </w:r>
    </w:p>
    <w:p w14:paraId="289E9AE5" w14:textId="24528A64" w:rsidR="00C4655F" w:rsidRDefault="000D1A9F" w:rsidP="00DD24DB">
      <w:pPr>
        <w:pStyle w:val="Final"/>
        <w:numPr>
          <w:ilvl w:val="0"/>
          <w:numId w:val="2"/>
        </w:numPr>
        <w:tabs>
          <w:tab w:val="clear" w:pos="720"/>
          <w:tab w:val="num" w:pos="0"/>
        </w:tabs>
        <w:ind w:left="0" w:firstLine="0"/>
      </w:pPr>
      <w:r>
        <w:tab/>
      </w:r>
      <w:r w:rsidR="00C228DC">
        <w:rPr>
          <w:u w:val="single"/>
        </w:rPr>
        <w:t>C</w:t>
      </w:r>
      <w:r w:rsidR="003C6097">
        <w:t>ontrary to Ms Liao’s contention</w:t>
      </w:r>
      <w:r w:rsidR="00B231A7">
        <w:rPr>
          <w:rStyle w:val="FootnoteReference"/>
        </w:rPr>
        <w:footnoteReference w:id="50"/>
      </w:r>
      <w:r w:rsidR="003C6097">
        <w:t xml:space="preserve">, </w:t>
      </w:r>
      <w:r w:rsidR="000B7366">
        <w:t xml:space="preserve">the grant of a </w:t>
      </w:r>
      <w:r w:rsidR="00952DD8">
        <w:t xml:space="preserve">purchase </w:t>
      </w:r>
      <w:r w:rsidR="000B7366">
        <w:t>order does not</w:t>
      </w:r>
      <w:r w:rsidR="00952DD8">
        <w:t xml:space="preserve"> </w:t>
      </w:r>
      <w:r w:rsidR="00D13879">
        <w:t xml:space="preserve">require </w:t>
      </w:r>
      <w:r w:rsidR="00612D0E">
        <w:t xml:space="preserve">the SFC to establish </w:t>
      </w:r>
      <w:r w:rsidR="00166286">
        <w:t xml:space="preserve">that there was any financial gain </w:t>
      </w:r>
      <w:r w:rsidR="0062405A">
        <w:t xml:space="preserve">received by the respondent or any </w:t>
      </w:r>
      <w:r w:rsidR="00166286">
        <w:t>loss suffered by the company/members</w:t>
      </w:r>
      <w:r w:rsidR="00AE6CFF">
        <w:t xml:space="preserve">.  </w:t>
      </w:r>
      <w:r w:rsidR="00166286">
        <w:t xml:space="preserve">Nor does it require </w:t>
      </w:r>
      <w:r w:rsidR="00B4507F">
        <w:t xml:space="preserve">the SFC to prove that such gain / loss </w:t>
      </w:r>
      <w:r w:rsidR="00166286">
        <w:t xml:space="preserve">was </w:t>
      </w:r>
      <w:r w:rsidR="00921EE2">
        <w:t xml:space="preserve">quantifiable and was </w:t>
      </w:r>
      <w:r w:rsidR="00166286">
        <w:t xml:space="preserve">caused by the </w:t>
      </w:r>
      <w:r w:rsidR="001B25CE">
        <w:t>mis</w:t>
      </w:r>
      <w:r w:rsidR="00166286">
        <w:t>conduct</w:t>
      </w:r>
      <w:r w:rsidR="00546632">
        <w:t>:</w:t>
      </w:r>
    </w:p>
    <w:p w14:paraId="058DF983" w14:textId="3FFB4848" w:rsidR="00FA345C" w:rsidRDefault="000B20D9" w:rsidP="005C174D">
      <w:pPr>
        <w:pStyle w:val="points"/>
        <w:numPr>
          <w:ilvl w:val="0"/>
          <w:numId w:val="48"/>
        </w:numPr>
        <w:tabs>
          <w:tab w:val="clear" w:pos="1400"/>
        </w:tabs>
      </w:pPr>
      <w:r>
        <w:t>T</w:t>
      </w:r>
      <w:r w:rsidR="00011773">
        <w:t>here is no such requirement in s.214(2)(e)</w:t>
      </w:r>
      <w:r w:rsidR="004B30DA">
        <w:t>.</w:t>
      </w:r>
    </w:p>
    <w:p w14:paraId="7B168ACB" w14:textId="1E59300D" w:rsidR="000B7366" w:rsidRDefault="00673579" w:rsidP="005C174D">
      <w:pPr>
        <w:pStyle w:val="points"/>
        <w:numPr>
          <w:ilvl w:val="0"/>
          <w:numId w:val="48"/>
        </w:numPr>
        <w:tabs>
          <w:tab w:val="clear" w:pos="1400"/>
        </w:tabs>
      </w:pPr>
      <w:r>
        <w:t xml:space="preserve">The authorities relied on by Ms Liao </w:t>
      </w:r>
      <w:r w:rsidR="000A6542">
        <w:t>(</w:t>
      </w:r>
      <w:r w:rsidR="000A6542" w:rsidRPr="00FA345C">
        <w:rPr>
          <w:i/>
          <w:iCs/>
        </w:rPr>
        <w:t xml:space="preserve">Re </w:t>
      </w:r>
      <w:proofErr w:type="spellStart"/>
      <w:r w:rsidR="000A6542" w:rsidRPr="00FA345C">
        <w:rPr>
          <w:i/>
          <w:iCs/>
        </w:rPr>
        <w:t>Styland</w:t>
      </w:r>
      <w:proofErr w:type="spellEnd"/>
      <w:r w:rsidR="000A6542" w:rsidRPr="00FA345C">
        <w:rPr>
          <w:i/>
          <w:iCs/>
        </w:rPr>
        <w:t xml:space="preserve"> Holdings Ltd (No</w:t>
      </w:r>
      <w:r w:rsidR="001A1C89">
        <w:rPr>
          <w:i/>
          <w:iCs/>
        </w:rPr>
        <w:t xml:space="preserve"> </w:t>
      </w:r>
      <w:r w:rsidR="000A6542" w:rsidRPr="00FA345C">
        <w:rPr>
          <w:i/>
          <w:iCs/>
        </w:rPr>
        <w:t>2)</w:t>
      </w:r>
      <w:r w:rsidR="000A6542">
        <w:t xml:space="preserve"> [2012] 2 HKLRD 325, §§</w:t>
      </w:r>
      <w:r w:rsidR="0041001D">
        <w:t xml:space="preserve">106, </w:t>
      </w:r>
      <w:r w:rsidR="000A6542">
        <w:t xml:space="preserve">139, 142; </w:t>
      </w:r>
      <w:r w:rsidR="000A6542" w:rsidRPr="00FA345C">
        <w:rPr>
          <w:i/>
          <w:iCs/>
        </w:rPr>
        <w:t xml:space="preserve">SFC v </w:t>
      </w:r>
      <w:r w:rsidR="00026F5A">
        <w:rPr>
          <w:i/>
          <w:iCs/>
        </w:rPr>
        <w:t xml:space="preserve">Wong </w:t>
      </w:r>
      <w:proofErr w:type="spellStart"/>
      <w:r w:rsidR="000A6542" w:rsidRPr="00FA345C">
        <w:rPr>
          <w:i/>
          <w:iCs/>
        </w:rPr>
        <w:t>Wai</w:t>
      </w:r>
      <w:proofErr w:type="spellEnd"/>
      <w:r w:rsidR="000A6542" w:rsidRPr="00FA345C">
        <w:rPr>
          <w:i/>
          <w:iCs/>
        </w:rPr>
        <w:t xml:space="preserve"> </w:t>
      </w:r>
      <w:proofErr w:type="spellStart"/>
      <w:r w:rsidR="000A6542" w:rsidRPr="00FA345C">
        <w:rPr>
          <w:i/>
          <w:iCs/>
        </w:rPr>
        <w:t>Kwong</w:t>
      </w:r>
      <w:proofErr w:type="spellEnd"/>
      <w:r w:rsidR="000A6542" w:rsidRPr="00FA345C">
        <w:rPr>
          <w:i/>
          <w:iCs/>
        </w:rPr>
        <w:t xml:space="preserve"> David</w:t>
      </w:r>
      <w:r w:rsidR="000A6542">
        <w:t xml:space="preserve"> [2021] HKCA 897, §§36-39; </w:t>
      </w:r>
      <w:r w:rsidR="0041001D" w:rsidRPr="00FA345C">
        <w:rPr>
          <w:i/>
          <w:iCs/>
        </w:rPr>
        <w:t>SFC v Yeung Chung Lung</w:t>
      </w:r>
      <w:r w:rsidR="0041001D">
        <w:t xml:space="preserve">, HCMP 205/2013, 17 February 2017, §§94, 109; </w:t>
      </w:r>
      <w:r w:rsidR="0041001D" w:rsidRPr="00FA345C">
        <w:rPr>
          <w:i/>
          <w:iCs/>
        </w:rPr>
        <w:t xml:space="preserve">SFC v Li </w:t>
      </w:r>
      <w:r w:rsidR="00026F5A">
        <w:rPr>
          <w:i/>
          <w:iCs/>
        </w:rPr>
        <w:t>W</w:t>
      </w:r>
      <w:r w:rsidR="0041001D" w:rsidRPr="00FA345C">
        <w:rPr>
          <w:i/>
          <w:iCs/>
        </w:rPr>
        <w:t xml:space="preserve">o </w:t>
      </w:r>
      <w:proofErr w:type="spellStart"/>
      <w:r w:rsidR="00026F5A">
        <w:rPr>
          <w:i/>
          <w:iCs/>
        </w:rPr>
        <w:t>H</w:t>
      </w:r>
      <w:r w:rsidR="0041001D" w:rsidRPr="00FA345C">
        <w:rPr>
          <w:i/>
          <w:iCs/>
        </w:rPr>
        <w:t>ing</w:t>
      </w:r>
      <w:proofErr w:type="spellEnd"/>
      <w:r w:rsidR="0041001D" w:rsidRPr="00FA345C">
        <w:rPr>
          <w:i/>
          <w:iCs/>
        </w:rPr>
        <w:t>,</w:t>
      </w:r>
      <w:r w:rsidR="0041001D">
        <w:t xml:space="preserve"> HCMP 1023/2011, 26 September 2012, §§8, 10, 18(3)) </w:t>
      </w:r>
      <w:r>
        <w:t xml:space="preserve">are </w:t>
      </w:r>
      <w:r w:rsidR="00741F9F">
        <w:t>distinguishable</w:t>
      </w:r>
      <w:r w:rsidR="00AE6CFF">
        <w:t xml:space="preserve">.  </w:t>
      </w:r>
      <w:r w:rsidR="003918D9">
        <w:t>In all these case</w:t>
      </w:r>
      <w:r w:rsidR="009658B0">
        <w:t>s,</w:t>
      </w:r>
      <w:r>
        <w:t xml:space="preserve"> </w:t>
      </w:r>
      <w:r w:rsidR="005440D0">
        <w:t xml:space="preserve">the court had to consider whether to make </w:t>
      </w:r>
      <w:r w:rsidR="007262D5">
        <w:t xml:space="preserve">an order requiring the </w:t>
      </w:r>
      <w:r w:rsidR="007262D5">
        <w:lastRenderedPageBreak/>
        <w:t xml:space="preserve">respondent to </w:t>
      </w:r>
      <w:r w:rsidR="005440D0" w:rsidRPr="00486E85">
        <w:rPr>
          <w:i/>
          <w:iCs/>
        </w:rPr>
        <w:t>compensat</w:t>
      </w:r>
      <w:r w:rsidR="007262D5" w:rsidRPr="00486E85">
        <w:rPr>
          <w:i/>
          <w:iCs/>
        </w:rPr>
        <w:t>e</w:t>
      </w:r>
      <w:r w:rsidR="007262D5">
        <w:t xml:space="preserve"> the company for the loss suffered</w:t>
      </w:r>
      <w:r w:rsidR="00AE6CFF">
        <w:t xml:space="preserve">.  </w:t>
      </w:r>
      <w:r w:rsidR="007262D5">
        <w:t xml:space="preserve">It was </w:t>
      </w:r>
      <w:r w:rsidR="00C21E28">
        <w:t xml:space="preserve">in that context that the court </w:t>
      </w:r>
      <w:r w:rsidR="000B622E">
        <w:t>had</w:t>
      </w:r>
      <w:r w:rsidR="007262D5">
        <w:t xml:space="preserve"> </w:t>
      </w:r>
      <w:r w:rsidR="00C21E28">
        <w:t>to consider whether the evidence established (a) some financial advantage was received by the respondent or financial loss was caused to the company; (b) the financial advantage / loss was readily quantifiable; and (c) the causal link between the conduct and the financial advantage / loss</w:t>
      </w:r>
      <w:r w:rsidR="00AE6CFF">
        <w:t xml:space="preserve">.  </w:t>
      </w:r>
    </w:p>
    <w:p w14:paraId="15C8F936" w14:textId="1ED114EE" w:rsidR="00DA5774" w:rsidRDefault="001315C5" w:rsidP="005C174D">
      <w:pPr>
        <w:pStyle w:val="points"/>
        <w:numPr>
          <w:ilvl w:val="0"/>
          <w:numId w:val="48"/>
        </w:numPr>
        <w:tabs>
          <w:tab w:val="clear" w:pos="1400"/>
        </w:tabs>
      </w:pPr>
      <w:r>
        <w:t xml:space="preserve">Where, as here, the order sought is a share purchase order, </w:t>
      </w:r>
      <w:r w:rsidR="00261FC3">
        <w:t>no such consideration arise</w:t>
      </w:r>
      <w:r w:rsidR="00F13F54">
        <w:t>s</w:t>
      </w:r>
      <w:r w:rsidR="00DA5774">
        <w:t xml:space="preserve"> as the court does not have to be concerned </w:t>
      </w:r>
      <w:r w:rsidR="00F13F54">
        <w:t xml:space="preserve">about </w:t>
      </w:r>
      <w:r w:rsidR="00DA5774">
        <w:t xml:space="preserve">whether </w:t>
      </w:r>
      <w:r w:rsidR="00B93EDF">
        <w:t xml:space="preserve">the </w:t>
      </w:r>
      <w:r w:rsidR="003B3BE0">
        <w:t xml:space="preserve">compensation </w:t>
      </w:r>
      <w:r w:rsidR="005F1C93">
        <w:t xml:space="preserve">ordered </w:t>
      </w:r>
      <w:r w:rsidR="00DE1ABE">
        <w:t xml:space="preserve">to be paid by </w:t>
      </w:r>
      <w:r w:rsidR="00B93EDF">
        <w:t xml:space="preserve">the respondent would result in a windfall </w:t>
      </w:r>
      <w:r w:rsidR="00FB2370">
        <w:t xml:space="preserve">or double recovery </w:t>
      </w:r>
      <w:r w:rsidR="00B93EDF">
        <w:t>to the company</w:t>
      </w:r>
      <w:r w:rsidR="000A6A3F">
        <w:t>.</w:t>
      </w:r>
    </w:p>
    <w:p w14:paraId="6D9883D3" w14:textId="17ADE091" w:rsidR="00881873" w:rsidRDefault="006B0381" w:rsidP="00DD24DB">
      <w:pPr>
        <w:pStyle w:val="Final"/>
        <w:numPr>
          <w:ilvl w:val="0"/>
          <w:numId w:val="2"/>
        </w:numPr>
        <w:tabs>
          <w:tab w:val="clear" w:pos="720"/>
          <w:tab w:val="num" w:pos="0"/>
        </w:tabs>
        <w:ind w:left="0" w:firstLine="0"/>
      </w:pPr>
      <w:r>
        <w:tab/>
        <w:t xml:space="preserve">In considering whether a share purchase order should be made against a respondent, the court </w:t>
      </w:r>
      <w:r w:rsidR="009D5AD4">
        <w:t xml:space="preserve">may </w:t>
      </w:r>
      <w:r w:rsidR="008101B2">
        <w:t xml:space="preserve">be guided by </w:t>
      </w:r>
      <w:r>
        <w:t xml:space="preserve">the principles applicable to </w:t>
      </w:r>
      <w:r w:rsidR="00BA288B">
        <w:t>an</w:t>
      </w:r>
      <w:r>
        <w:t xml:space="preserve"> “unfair prejudice” petition under s</w:t>
      </w:r>
      <w:r w:rsidR="004A3E62">
        <w:t>s</w:t>
      </w:r>
      <w:r>
        <w:t>.72</w:t>
      </w:r>
      <w:r w:rsidR="004A3E62">
        <w:t>4-725</w:t>
      </w:r>
      <w:r>
        <w:t xml:space="preserve"> of the Companies Ordinance (Cap</w:t>
      </w:r>
      <w:r w:rsidR="00AE6CFF">
        <w:t xml:space="preserve">. </w:t>
      </w:r>
      <w:r>
        <w:t xml:space="preserve">622) </w:t>
      </w:r>
      <w:r w:rsidR="00921B01">
        <w:t>(“</w:t>
      </w:r>
      <w:r w:rsidR="00921B01" w:rsidRPr="00A87221">
        <w:rPr>
          <w:b/>
          <w:bCs/>
        </w:rPr>
        <w:t>CO</w:t>
      </w:r>
      <w:r w:rsidR="00921B01">
        <w:t xml:space="preserve">”) </w:t>
      </w:r>
      <w:r>
        <w:t>(</w:t>
      </w:r>
      <w:r w:rsidR="00DA30AC">
        <w:t xml:space="preserve">which replaced </w:t>
      </w:r>
      <w:r>
        <w:t>s.168A of the former Companies Ordinance (Cap</w:t>
      </w:r>
      <w:r w:rsidR="00AE6CFF">
        <w:t xml:space="preserve">. </w:t>
      </w:r>
      <w:r>
        <w:t>32)</w:t>
      </w:r>
      <w:r w:rsidR="00C856A4">
        <w:t>)</w:t>
      </w:r>
      <w:r w:rsidR="00A87221">
        <w:t>, given the similarity in wordings and width</w:t>
      </w:r>
      <w:r w:rsidR="00CA41F8">
        <w:t xml:space="preserve"> of both provisions</w:t>
      </w:r>
      <w:r w:rsidR="00AE6CFF">
        <w:t xml:space="preserve">.  </w:t>
      </w:r>
      <w:r w:rsidR="00A87221">
        <w:t>As noted</w:t>
      </w:r>
      <w:r w:rsidR="00232232">
        <w:t xml:space="preserve"> by </w:t>
      </w:r>
      <w:proofErr w:type="spellStart"/>
      <w:r w:rsidR="00232232">
        <w:t>Barma</w:t>
      </w:r>
      <w:proofErr w:type="spellEnd"/>
      <w:r w:rsidR="00232232">
        <w:t xml:space="preserve"> J (as he then was) in </w:t>
      </w:r>
      <w:r w:rsidR="00232232" w:rsidRPr="00975A17">
        <w:rPr>
          <w:i/>
          <w:iCs/>
        </w:rPr>
        <w:t xml:space="preserve">Re </w:t>
      </w:r>
      <w:proofErr w:type="spellStart"/>
      <w:r w:rsidR="00232232" w:rsidRPr="00975A17">
        <w:rPr>
          <w:i/>
          <w:iCs/>
        </w:rPr>
        <w:t>Styland</w:t>
      </w:r>
      <w:proofErr w:type="spellEnd"/>
      <w:r w:rsidR="00232232" w:rsidRPr="00975A17">
        <w:rPr>
          <w:i/>
          <w:iCs/>
        </w:rPr>
        <w:t xml:space="preserve"> Holdings (No</w:t>
      </w:r>
      <w:r w:rsidR="0023786F">
        <w:rPr>
          <w:i/>
          <w:iCs/>
        </w:rPr>
        <w:t xml:space="preserve"> </w:t>
      </w:r>
      <w:r w:rsidR="00232232" w:rsidRPr="00975A17">
        <w:rPr>
          <w:i/>
          <w:iCs/>
        </w:rPr>
        <w:t>2)</w:t>
      </w:r>
      <w:r w:rsidR="00232232">
        <w:t xml:space="preserve">, §138, </w:t>
      </w:r>
      <w:r w:rsidR="00A87221">
        <w:t xml:space="preserve">both provisions are </w:t>
      </w:r>
      <w:r w:rsidR="00232232">
        <w:t xml:space="preserve">designed to provide the court with a </w:t>
      </w:r>
      <w:r w:rsidR="005530F9">
        <w:t>high degree of flexibility in terms of the remedies it might provide</w:t>
      </w:r>
      <w:r w:rsidR="00AE6CFF">
        <w:t xml:space="preserve">.  </w:t>
      </w:r>
    </w:p>
    <w:p w14:paraId="03143B4B" w14:textId="45C80A97" w:rsidR="007006FE" w:rsidRDefault="00F66154" w:rsidP="00DD24DB">
      <w:pPr>
        <w:pStyle w:val="Final"/>
        <w:numPr>
          <w:ilvl w:val="0"/>
          <w:numId w:val="2"/>
        </w:numPr>
        <w:tabs>
          <w:tab w:val="clear" w:pos="720"/>
          <w:tab w:val="num" w:pos="0"/>
        </w:tabs>
        <w:ind w:left="0" w:firstLine="0"/>
      </w:pPr>
      <w:r>
        <w:t xml:space="preserve">In my view, </w:t>
      </w:r>
      <w:r w:rsidR="006559CD">
        <w:t xml:space="preserve">the court should take into account the </w:t>
      </w:r>
      <w:r w:rsidR="00881873">
        <w:t xml:space="preserve">following </w:t>
      </w:r>
      <w:r w:rsidR="00CB3737">
        <w:t xml:space="preserve">differences </w:t>
      </w:r>
      <w:r w:rsidR="009E2011">
        <w:t xml:space="preserve">between the 2 statutory remedies </w:t>
      </w:r>
      <w:r w:rsidR="00EC77DB">
        <w:t xml:space="preserve">in that </w:t>
      </w:r>
      <w:r w:rsidR="009E2011">
        <w:t>under s.214(2)(e)</w:t>
      </w:r>
      <w:r w:rsidR="007006FE">
        <w:t>:</w:t>
      </w:r>
    </w:p>
    <w:p w14:paraId="19C4E007" w14:textId="78A44EA4" w:rsidR="00983109" w:rsidRDefault="007006FE" w:rsidP="005C174D">
      <w:pPr>
        <w:pStyle w:val="points"/>
        <w:numPr>
          <w:ilvl w:val="0"/>
          <w:numId w:val="49"/>
        </w:numPr>
        <w:tabs>
          <w:tab w:val="clear" w:pos="1400"/>
        </w:tabs>
      </w:pPr>
      <w:r>
        <w:t xml:space="preserve">The </w:t>
      </w:r>
      <w:r w:rsidR="00C064B7">
        <w:t xml:space="preserve">petitioner is </w:t>
      </w:r>
      <w:r w:rsidR="00362049">
        <w:t xml:space="preserve">the SFC, </w:t>
      </w:r>
      <w:r w:rsidR="00D64C2B">
        <w:t xml:space="preserve">which </w:t>
      </w:r>
      <w:r w:rsidR="00CB3737">
        <w:t xml:space="preserve">pursues the proceedings in the interests </w:t>
      </w:r>
      <w:r w:rsidR="002E68E8">
        <w:t xml:space="preserve">and for the benefit </w:t>
      </w:r>
      <w:r w:rsidR="00CB3737">
        <w:t xml:space="preserve">of the company </w:t>
      </w:r>
      <w:r w:rsidR="00292A29">
        <w:t>and</w:t>
      </w:r>
      <w:r w:rsidR="00203477">
        <w:t xml:space="preserve"> its</w:t>
      </w:r>
      <w:r w:rsidR="00733C5F">
        <w:t xml:space="preserve"> members</w:t>
      </w:r>
      <w:r w:rsidR="002E68E8">
        <w:t>,</w:t>
      </w:r>
      <w:r w:rsidR="00733C5F">
        <w:t xml:space="preserve"> </w:t>
      </w:r>
      <w:r w:rsidR="00203477">
        <w:t xml:space="preserve">and </w:t>
      </w:r>
      <w:r w:rsidR="00C2215F">
        <w:t>to</w:t>
      </w:r>
      <w:r w:rsidR="0098500F">
        <w:t xml:space="preserve"> </w:t>
      </w:r>
      <w:r w:rsidR="000663A2">
        <w:t xml:space="preserve">redress wrongful conduct </w:t>
      </w:r>
      <w:r w:rsidR="000374D2">
        <w:t xml:space="preserve">of those concerned </w:t>
      </w:r>
      <w:r w:rsidR="000374D2">
        <w:lastRenderedPageBreak/>
        <w:t xml:space="preserve">in the management of listed company for the </w:t>
      </w:r>
      <w:r w:rsidR="00B5438D">
        <w:t>protect</w:t>
      </w:r>
      <w:r w:rsidR="000374D2">
        <w:t>ion of</w:t>
      </w:r>
      <w:r w:rsidR="00B5438D">
        <w:t xml:space="preserve"> the </w:t>
      </w:r>
      <w:r w:rsidR="00203477">
        <w:t>public</w:t>
      </w:r>
      <w:r w:rsidR="00AE6CFF">
        <w:t xml:space="preserve">.  </w:t>
      </w:r>
      <w:r w:rsidR="000374D2">
        <w:t xml:space="preserve">By contrast, the petitioner under ss.724-725 of the CO </w:t>
      </w:r>
      <w:r w:rsidR="002B6381">
        <w:t xml:space="preserve">pursues the proceedings to </w:t>
      </w:r>
      <w:r w:rsidR="000374D2">
        <w:t xml:space="preserve">advance </w:t>
      </w:r>
      <w:r w:rsidR="002B6381">
        <w:t xml:space="preserve">his private </w:t>
      </w:r>
      <w:r w:rsidR="00203477">
        <w:t>interest</w:t>
      </w:r>
      <w:r w:rsidR="00983109">
        <w:t xml:space="preserve"> and </w:t>
      </w:r>
      <w:r w:rsidR="002E68E8">
        <w:t>generally,</w:t>
      </w:r>
      <w:r w:rsidR="00983109">
        <w:t xml:space="preserve"> public interest does not come into play.</w:t>
      </w:r>
    </w:p>
    <w:p w14:paraId="30D91D7E" w14:textId="5331D750" w:rsidR="0000558F" w:rsidRDefault="0057774B" w:rsidP="005C174D">
      <w:pPr>
        <w:pStyle w:val="points"/>
        <w:numPr>
          <w:ilvl w:val="0"/>
          <w:numId w:val="49"/>
        </w:numPr>
        <w:tabs>
          <w:tab w:val="clear" w:pos="1400"/>
        </w:tabs>
      </w:pPr>
      <w:r>
        <w:t xml:space="preserve">The </w:t>
      </w:r>
      <w:r w:rsidR="002B6381">
        <w:t xml:space="preserve">company </w:t>
      </w:r>
      <w:r>
        <w:t xml:space="preserve">in question is a </w:t>
      </w:r>
      <w:r w:rsidR="0081029A">
        <w:t>listed company</w:t>
      </w:r>
      <w:r w:rsidR="00AE6CFF">
        <w:t xml:space="preserve">.  </w:t>
      </w:r>
      <w:r w:rsidR="006E1C3E">
        <w:t xml:space="preserve">Its constitution </w:t>
      </w:r>
      <w:r w:rsidR="00BD0309">
        <w:t xml:space="preserve">contains no </w:t>
      </w:r>
      <w:r w:rsidR="0081029A">
        <w:t>restriction on transfer of shares</w:t>
      </w:r>
      <w:r w:rsidR="00D350EA">
        <w:t>,</w:t>
      </w:r>
      <w:r>
        <w:t xml:space="preserve"> and </w:t>
      </w:r>
      <w:r w:rsidR="006C10E5">
        <w:t xml:space="preserve">the </w:t>
      </w:r>
      <w:r>
        <w:t>members</w:t>
      </w:r>
      <w:r w:rsidR="00D350EA">
        <w:t xml:space="preserve"> </w:t>
      </w:r>
      <w:r w:rsidR="0000558F">
        <w:t xml:space="preserve">are at free to buy and </w:t>
      </w:r>
      <w:r w:rsidR="00026F5A">
        <w:t xml:space="preserve">sell </w:t>
      </w:r>
      <w:r w:rsidR="00B77189">
        <w:t xml:space="preserve">their </w:t>
      </w:r>
      <w:r w:rsidR="0000558F">
        <w:t xml:space="preserve">shares </w:t>
      </w:r>
      <w:r w:rsidR="00696AB3">
        <w:t xml:space="preserve">through </w:t>
      </w:r>
      <w:r w:rsidR="002E68E8">
        <w:t xml:space="preserve">the </w:t>
      </w:r>
      <w:r w:rsidR="00696AB3">
        <w:t>SEHK or by private agreement</w:t>
      </w:r>
      <w:r w:rsidR="00AE6CFF">
        <w:t xml:space="preserve">.  </w:t>
      </w:r>
      <w:r w:rsidR="002C0E4F">
        <w:t xml:space="preserve">This means that </w:t>
      </w:r>
      <w:r w:rsidR="002E68E8">
        <w:t>if</w:t>
      </w:r>
      <w:r w:rsidR="002C0E4F">
        <w:t xml:space="preserve"> members are </w:t>
      </w:r>
      <w:r w:rsidR="008C6DDD">
        <w:t xml:space="preserve">dissatisfied </w:t>
      </w:r>
      <w:r w:rsidR="00EF0ADD">
        <w:t>with</w:t>
      </w:r>
      <w:r w:rsidR="002C0E4F">
        <w:t xml:space="preserve"> the manner in which the affairs of the company has been conducted</w:t>
      </w:r>
      <w:r w:rsidR="0020268B">
        <w:t xml:space="preserve">, </w:t>
      </w:r>
      <w:r w:rsidR="00571C35">
        <w:t>they</w:t>
      </w:r>
      <w:r w:rsidR="002C0E4F">
        <w:t xml:space="preserve"> can extricate the investment by selling their shares</w:t>
      </w:r>
      <w:r w:rsidR="001C1086">
        <w:t xml:space="preserve"> </w:t>
      </w:r>
      <w:r w:rsidR="008C6DDD">
        <w:t>through the market without any impediment</w:t>
      </w:r>
      <w:r w:rsidR="00AE6CFF">
        <w:t xml:space="preserve">.  </w:t>
      </w:r>
    </w:p>
    <w:p w14:paraId="6F0397E2" w14:textId="2E7A5B07" w:rsidR="0036475E" w:rsidRDefault="000A5B3D" w:rsidP="005C174D">
      <w:pPr>
        <w:pStyle w:val="points"/>
        <w:numPr>
          <w:ilvl w:val="0"/>
          <w:numId w:val="49"/>
        </w:numPr>
        <w:tabs>
          <w:tab w:val="clear" w:pos="1400"/>
        </w:tabs>
      </w:pPr>
      <w:r>
        <w:t>Generally, t</w:t>
      </w:r>
      <w:r w:rsidR="008C6DDD">
        <w:t xml:space="preserve">here is greater transparency </w:t>
      </w:r>
      <w:r w:rsidR="00EF0ADD">
        <w:t>i</w:t>
      </w:r>
      <w:r w:rsidR="00531E6C">
        <w:t xml:space="preserve">n the </w:t>
      </w:r>
      <w:r w:rsidR="00C216EE">
        <w:t xml:space="preserve">manner in which the </w:t>
      </w:r>
      <w:r w:rsidR="00531E6C">
        <w:t xml:space="preserve">business and affairs of the </w:t>
      </w:r>
      <w:r w:rsidR="00EF0ADD">
        <w:t xml:space="preserve">listed </w:t>
      </w:r>
      <w:r w:rsidR="00531E6C">
        <w:t xml:space="preserve">company </w:t>
      </w:r>
      <w:r w:rsidR="006158A5">
        <w:t xml:space="preserve">have been conducted as the board has to </w:t>
      </w:r>
      <w:r w:rsidR="000C6041">
        <w:t xml:space="preserve">make </w:t>
      </w:r>
      <w:r w:rsidR="006158A5">
        <w:t>disclos</w:t>
      </w:r>
      <w:r w:rsidR="000C6041">
        <w:t xml:space="preserve">ure </w:t>
      </w:r>
      <w:proofErr w:type="gramStart"/>
      <w:r w:rsidR="000C6041">
        <w:t xml:space="preserve">and </w:t>
      </w:r>
      <w:r w:rsidR="006158A5">
        <w:t xml:space="preserve"> announcement</w:t>
      </w:r>
      <w:proofErr w:type="gramEnd"/>
      <w:r w:rsidR="006158A5">
        <w:t xml:space="preserve"> to the members </w:t>
      </w:r>
      <w:r w:rsidR="00876685">
        <w:t xml:space="preserve">in accordance with the requirements of </w:t>
      </w:r>
      <w:r w:rsidR="006158A5">
        <w:t>the Listing Rules</w:t>
      </w:r>
      <w:r w:rsidR="00AE6CFF">
        <w:t xml:space="preserve">.  </w:t>
      </w:r>
      <w:r w:rsidR="00CD1F70">
        <w:t>In this sense, it may be said that</w:t>
      </w:r>
      <w:r w:rsidR="00641E52">
        <w:t xml:space="preserve"> </w:t>
      </w:r>
      <w:r w:rsidR="00F71B5B">
        <w:t xml:space="preserve">if the company had made announcements on matters relating to the </w:t>
      </w:r>
      <w:r w:rsidR="00EF0ADD">
        <w:t>mis</w:t>
      </w:r>
      <w:r w:rsidR="00F71B5B">
        <w:t xml:space="preserve">conduct, </w:t>
      </w:r>
      <w:r w:rsidR="005A0BD5">
        <w:t>the</w:t>
      </w:r>
      <w:r w:rsidR="00AA0BC1">
        <w:t>ir impact would have been reflected</w:t>
      </w:r>
      <w:r w:rsidR="005A0BD5">
        <w:t xml:space="preserve"> </w:t>
      </w:r>
      <w:r w:rsidR="00EA204F">
        <w:t xml:space="preserve">(at least in part) </w:t>
      </w:r>
      <w:r w:rsidR="000F18C2">
        <w:t xml:space="preserve">in the </w:t>
      </w:r>
      <w:r w:rsidR="005A0BD5">
        <w:t>price</w:t>
      </w:r>
      <w:r w:rsidR="00FE2671">
        <w:t>s</w:t>
      </w:r>
      <w:r w:rsidR="005A0BD5">
        <w:t xml:space="preserve"> of the shares </w:t>
      </w:r>
      <w:r w:rsidR="000F18C2">
        <w:t>of the company</w:t>
      </w:r>
      <w:r w:rsidR="00AE6CFF">
        <w:t xml:space="preserve">.  </w:t>
      </w:r>
      <w:r w:rsidR="00A45FAB">
        <w:t>F</w:t>
      </w:r>
      <w:r w:rsidR="00641E52">
        <w:t>or th</w:t>
      </w:r>
      <w:r w:rsidR="0036475E">
        <w:t>os</w:t>
      </w:r>
      <w:r w:rsidR="00641E52">
        <w:t xml:space="preserve">e </w:t>
      </w:r>
      <w:r w:rsidR="00A45FAB">
        <w:t xml:space="preserve">investors </w:t>
      </w:r>
      <w:r w:rsidR="00641E52">
        <w:t xml:space="preserve">who decided to acquire shares in the company with the knowledge of the matters disclosed or announced by the board, they </w:t>
      </w:r>
      <w:r w:rsidR="0036475E">
        <w:t>voluntarily assumed the risk that they may not be able to sell their shares if the regulators decide to suspend trading of the shares</w:t>
      </w:r>
      <w:r w:rsidR="00AE6CFF">
        <w:t xml:space="preserve">.  </w:t>
      </w:r>
    </w:p>
    <w:p w14:paraId="5B37A769" w14:textId="14FAF612" w:rsidR="00591CB6" w:rsidRDefault="0036475E" w:rsidP="00A95716">
      <w:pPr>
        <w:pStyle w:val="Final"/>
        <w:numPr>
          <w:ilvl w:val="0"/>
          <w:numId w:val="2"/>
        </w:numPr>
        <w:tabs>
          <w:tab w:val="clear" w:pos="720"/>
          <w:tab w:val="num" w:pos="0"/>
        </w:tabs>
        <w:ind w:left="0" w:firstLine="0"/>
      </w:pPr>
      <w:r>
        <w:lastRenderedPageBreak/>
        <w:tab/>
      </w:r>
      <w:r w:rsidR="00EF0ADD">
        <w:t xml:space="preserve">In view of </w:t>
      </w:r>
      <w:r>
        <w:t xml:space="preserve">the </w:t>
      </w:r>
      <w:r w:rsidR="00480D40">
        <w:t xml:space="preserve">aforesaid </w:t>
      </w:r>
      <w:r w:rsidR="001A7150">
        <w:t xml:space="preserve">differences, </w:t>
      </w:r>
      <w:r w:rsidR="009644E4">
        <w:t>in deciding whether to make a share purchase order</w:t>
      </w:r>
      <w:r w:rsidR="008B531F">
        <w:t xml:space="preserve"> in the context of a listed company</w:t>
      </w:r>
      <w:r w:rsidR="009644E4">
        <w:t xml:space="preserve">, the </w:t>
      </w:r>
      <w:r w:rsidR="00BA288B">
        <w:t xml:space="preserve">court may take into account </w:t>
      </w:r>
      <w:r w:rsidR="009644E4">
        <w:t>the following factors:</w:t>
      </w:r>
    </w:p>
    <w:p w14:paraId="1D083C6F" w14:textId="1D1F931F" w:rsidR="00127D7A" w:rsidRDefault="002909C3" w:rsidP="005C174D">
      <w:pPr>
        <w:pStyle w:val="points"/>
        <w:numPr>
          <w:ilvl w:val="0"/>
          <w:numId w:val="50"/>
        </w:numPr>
        <w:tabs>
          <w:tab w:val="clear" w:pos="1400"/>
        </w:tabs>
      </w:pPr>
      <w:r>
        <w:t>whether there is a lesser remedy sufficient to deal with the unfairly prejudicial conduct and there is no likelihood of the conduct repeating;</w:t>
      </w:r>
    </w:p>
    <w:p w14:paraId="18321B56" w14:textId="174D9C7F" w:rsidR="00127D7A" w:rsidRDefault="002909C3" w:rsidP="005C174D">
      <w:pPr>
        <w:pStyle w:val="points"/>
        <w:numPr>
          <w:ilvl w:val="0"/>
          <w:numId w:val="50"/>
        </w:numPr>
        <w:tabs>
          <w:tab w:val="clear" w:pos="1400"/>
        </w:tabs>
      </w:pPr>
      <w:r>
        <w:t xml:space="preserve">where there are difficulties or </w:t>
      </w:r>
      <w:r w:rsidRPr="00AC57D7">
        <w:t xml:space="preserve">impracticalities </w:t>
      </w:r>
      <w:r w:rsidRPr="00B803E7">
        <w:t xml:space="preserve">in </w:t>
      </w:r>
      <w:r w:rsidRPr="00AC57D7">
        <w:t>framing orders for regulating</w:t>
      </w:r>
      <w:r w:rsidRPr="00B803E7">
        <w:t xml:space="preserve"> the </w:t>
      </w:r>
      <w:r w:rsidRPr="00AC57D7">
        <w:t xml:space="preserve">company’s affairs </w:t>
      </w:r>
      <w:r>
        <w:t xml:space="preserve">in future or to </w:t>
      </w:r>
      <w:r w:rsidRPr="00AC57D7">
        <w:t xml:space="preserve">remedy the </w:t>
      </w:r>
      <w:r w:rsidR="00EF0ADD">
        <w:t>mis</w:t>
      </w:r>
      <w:r w:rsidRPr="00AC57D7">
        <w:t>conduct</w:t>
      </w:r>
      <w:r>
        <w:t>;</w:t>
      </w:r>
    </w:p>
    <w:p w14:paraId="4C529B99" w14:textId="2E0E27AC" w:rsidR="002909C3" w:rsidRDefault="002909C3" w:rsidP="005C174D">
      <w:pPr>
        <w:pStyle w:val="points"/>
        <w:numPr>
          <w:ilvl w:val="0"/>
          <w:numId w:val="50"/>
        </w:numPr>
        <w:tabs>
          <w:tab w:val="clear" w:pos="1400"/>
        </w:tabs>
      </w:pPr>
      <w:r>
        <w:t>whe</w:t>
      </w:r>
      <w:r w:rsidR="00831F66">
        <w:t>ther</w:t>
      </w:r>
      <w:r>
        <w:t xml:space="preserve"> the other </w:t>
      </w:r>
      <w:r w:rsidR="001D5402">
        <w:t>m</w:t>
      </w:r>
      <w:r w:rsidR="009E78AC">
        <w:t xml:space="preserve">embers </w:t>
      </w:r>
      <w:r w:rsidR="00725065">
        <w:t xml:space="preserve">would </w:t>
      </w:r>
      <w:r>
        <w:t xml:space="preserve">otherwise </w:t>
      </w:r>
      <w:r w:rsidR="00725065">
        <w:t xml:space="preserve">be </w:t>
      </w:r>
      <w:r>
        <w:t>locked in the company due to difficulties in disposing of the shares</w:t>
      </w:r>
      <w:r w:rsidR="00725065">
        <w:t xml:space="preserve"> (cf</w:t>
      </w:r>
      <w:r w:rsidR="00887081">
        <w:t xml:space="preserve">. </w:t>
      </w:r>
      <w:r w:rsidR="00AB1A93" w:rsidRPr="00731E40">
        <w:rPr>
          <w:i/>
          <w:iCs/>
        </w:rPr>
        <w:t>Lo &amp; Qu,</w:t>
      </w:r>
      <w:r w:rsidR="00AB1A93">
        <w:t xml:space="preserve"> </w:t>
      </w:r>
      <w:r w:rsidR="009B1AAE" w:rsidRPr="009B1AAE">
        <w:rPr>
          <w:i/>
          <w:iCs/>
        </w:rPr>
        <w:t>Law of Companies in Hong Kong</w:t>
      </w:r>
      <w:r w:rsidR="009B1AAE" w:rsidRPr="00AC57D7">
        <w:rPr>
          <w:b/>
          <w:bCs/>
        </w:rPr>
        <w:t xml:space="preserve"> </w:t>
      </w:r>
      <w:r w:rsidR="009B1AAE" w:rsidRPr="00AC57D7">
        <w:t>§10.211</w:t>
      </w:r>
      <w:r w:rsidR="009B1AAE">
        <w:t xml:space="preserve">; </w:t>
      </w:r>
      <w:r w:rsidR="009B1AAE" w:rsidRPr="00731E40">
        <w:rPr>
          <w:i/>
          <w:iCs/>
        </w:rPr>
        <w:t xml:space="preserve">Re </w:t>
      </w:r>
      <w:proofErr w:type="spellStart"/>
      <w:r w:rsidR="009B1AAE" w:rsidRPr="00731E40">
        <w:rPr>
          <w:i/>
          <w:iCs/>
        </w:rPr>
        <w:t>Elgindata</w:t>
      </w:r>
      <w:proofErr w:type="spellEnd"/>
      <w:r w:rsidR="009B1AAE" w:rsidRPr="00731E40">
        <w:rPr>
          <w:i/>
          <w:iCs/>
        </w:rPr>
        <w:t xml:space="preserve"> Ltd</w:t>
      </w:r>
      <w:r w:rsidR="009B1AAE" w:rsidRPr="00AC57D7">
        <w:rPr>
          <w:b/>
          <w:bCs/>
        </w:rPr>
        <w:t xml:space="preserve"> </w:t>
      </w:r>
      <w:r w:rsidR="009B1AAE" w:rsidRPr="00AC57D7">
        <w:t>[1991] BCLC 959 at 1005g-</w:t>
      </w:r>
      <w:r w:rsidR="009B1AAE">
        <w:t>i</w:t>
      </w:r>
      <w:r w:rsidR="00852E52">
        <w:t>)</w:t>
      </w:r>
      <w:r w:rsidR="00574364">
        <w:t>;</w:t>
      </w:r>
    </w:p>
    <w:p w14:paraId="7DE89269" w14:textId="0574D93D" w:rsidR="00574364" w:rsidRDefault="00605949" w:rsidP="005C174D">
      <w:pPr>
        <w:pStyle w:val="points"/>
        <w:numPr>
          <w:ilvl w:val="0"/>
          <w:numId w:val="50"/>
        </w:numPr>
        <w:tabs>
          <w:tab w:val="clear" w:pos="1400"/>
        </w:tabs>
      </w:pPr>
      <w:r>
        <w:t xml:space="preserve">whether the person against whom the order is sought </w:t>
      </w:r>
      <w:r w:rsidR="00753C28">
        <w:t xml:space="preserve">was in control of the company at the material times of the </w:t>
      </w:r>
      <w:r w:rsidR="00EF0ADD">
        <w:t>mis</w:t>
      </w:r>
      <w:r w:rsidR="00753C28">
        <w:t>conduct</w:t>
      </w:r>
      <w:r w:rsidR="00B00C30">
        <w:t xml:space="preserve"> and his interests in the company</w:t>
      </w:r>
      <w:r w:rsidR="00753C28">
        <w:t>;</w:t>
      </w:r>
      <w:r w:rsidR="00932CCA">
        <w:t xml:space="preserve"> whether he acted in clear disregard of the interests of the minority shareholders</w:t>
      </w:r>
      <w:r w:rsidR="0049003C">
        <w:t xml:space="preserve">; his pattern of conduct and </w:t>
      </w:r>
      <w:r w:rsidR="00FD09E4">
        <w:t xml:space="preserve">whether he acted in </w:t>
      </w:r>
      <w:r w:rsidR="0049003C">
        <w:t>breach of the Listing Rules and other applicable regulations (</w:t>
      </w:r>
      <w:r w:rsidR="0049003C" w:rsidRPr="0049003C">
        <w:rPr>
          <w:i/>
          <w:iCs/>
        </w:rPr>
        <w:t>Re Mandarin Resources Corporation Limited</w:t>
      </w:r>
      <w:r w:rsidR="0049003C" w:rsidRPr="00887081">
        <w:rPr>
          <w:bCs/>
        </w:rPr>
        <w:t xml:space="preserve">, </w:t>
      </w:r>
      <w:r w:rsidR="0049003C" w:rsidRPr="00D03205">
        <w:t>HCCW 348/1996, 19 November 1999</w:t>
      </w:r>
      <w:r w:rsidR="0049003C">
        <w:t xml:space="preserve">, </w:t>
      </w:r>
      <w:r w:rsidR="00724016">
        <w:t>pp.5-6, 103, 109-110</w:t>
      </w:r>
      <w:r w:rsidR="00FD09E4">
        <w:t xml:space="preserve">, </w:t>
      </w:r>
      <w:r w:rsidR="0049003C">
        <w:t>a case decided on the now repealed Securities and Futures Commission Ordinance (Cap</w:t>
      </w:r>
      <w:r w:rsidR="00AE6CFF">
        <w:t xml:space="preserve">. </w:t>
      </w:r>
      <w:r w:rsidR="0049003C">
        <w:t>24))</w:t>
      </w:r>
      <w:r w:rsidR="00D277BA">
        <w:t>; and</w:t>
      </w:r>
    </w:p>
    <w:p w14:paraId="141A44E7" w14:textId="54B3E958" w:rsidR="00753C28" w:rsidRPr="00731E40" w:rsidRDefault="00753C28" w:rsidP="005C174D">
      <w:pPr>
        <w:pStyle w:val="points"/>
        <w:numPr>
          <w:ilvl w:val="0"/>
          <w:numId w:val="50"/>
        </w:numPr>
        <w:tabs>
          <w:tab w:val="clear" w:pos="1400"/>
        </w:tabs>
      </w:pPr>
      <w:r>
        <w:t xml:space="preserve">whether </w:t>
      </w:r>
      <w:r w:rsidR="00D277BA">
        <w:t>the respondent has the financial means to comply with the order</w:t>
      </w:r>
      <w:r w:rsidR="00AE6CFF">
        <w:t xml:space="preserve">.  </w:t>
      </w:r>
      <w:r w:rsidR="00D277BA">
        <w:t xml:space="preserve">In this regard, I do not agree with Mr Suen’s submission that the fact that the respondent is impecunious </w:t>
      </w:r>
      <w:r w:rsidR="00D277BA">
        <w:lastRenderedPageBreak/>
        <w:t xml:space="preserve">may not be </w:t>
      </w:r>
      <w:r w:rsidR="00205FE9">
        <w:t xml:space="preserve">a </w:t>
      </w:r>
      <w:r w:rsidR="00D277BA">
        <w:t xml:space="preserve">sufficient ground to deny the petitioner a buy-out order where it is otherwise appropriate, citing </w:t>
      </w:r>
      <w:r w:rsidR="000C618A" w:rsidRPr="00731E40">
        <w:rPr>
          <w:i/>
          <w:iCs/>
        </w:rPr>
        <w:t>Lo &amp; Qu,</w:t>
      </w:r>
      <w:r w:rsidR="000C618A">
        <w:t xml:space="preserve"> </w:t>
      </w:r>
      <w:r w:rsidR="000C618A" w:rsidRPr="009B1AAE">
        <w:rPr>
          <w:i/>
          <w:iCs/>
        </w:rPr>
        <w:t>Law of Companies in Hong Kong</w:t>
      </w:r>
      <w:r w:rsidR="000C618A" w:rsidRPr="00AC57D7">
        <w:rPr>
          <w:b/>
          <w:bCs/>
        </w:rPr>
        <w:t xml:space="preserve"> </w:t>
      </w:r>
      <w:r w:rsidR="000C618A" w:rsidRPr="00AC57D7">
        <w:t>§10.211</w:t>
      </w:r>
      <w:r w:rsidR="000C618A">
        <w:t xml:space="preserve">; </w:t>
      </w:r>
      <w:r w:rsidR="000C618A" w:rsidRPr="000C618A">
        <w:rPr>
          <w:i/>
          <w:iCs/>
        </w:rPr>
        <w:t>Re Cumana Ltd</w:t>
      </w:r>
      <w:r w:rsidR="000C618A">
        <w:rPr>
          <w:b/>
          <w:bCs/>
        </w:rPr>
        <w:t xml:space="preserve"> </w:t>
      </w:r>
      <w:r w:rsidR="000C618A">
        <w:t>[1986] BCLC 430 at 436h-437b</w:t>
      </w:r>
      <w:r w:rsidR="00AE6CFF">
        <w:t xml:space="preserve">. </w:t>
      </w:r>
      <w:r w:rsidR="001F6764">
        <w:t xml:space="preserve">Generally, </w:t>
      </w:r>
      <w:r w:rsidR="00F55DD0">
        <w:t>the court would not make an order in vain</w:t>
      </w:r>
      <w:r w:rsidR="00AE6CFF">
        <w:t xml:space="preserve">.  </w:t>
      </w:r>
      <w:r w:rsidR="00184205">
        <w:t xml:space="preserve">It </w:t>
      </w:r>
      <w:r w:rsidR="0039496F">
        <w:t xml:space="preserve">does not serve the interests of justice to order a respondent to purchase the shares of other members if the evidence shows that the respondent does not have the </w:t>
      </w:r>
      <w:r w:rsidR="001F6764">
        <w:t xml:space="preserve">financial </w:t>
      </w:r>
      <w:r w:rsidR="0039496F">
        <w:t>means to comply with such order</w:t>
      </w:r>
      <w:r w:rsidR="00AE6CFF">
        <w:t xml:space="preserve">.  </w:t>
      </w:r>
      <w:r w:rsidR="000B7CA3">
        <w:t xml:space="preserve"> </w:t>
      </w:r>
    </w:p>
    <w:p w14:paraId="4983FC55" w14:textId="41CAC991" w:rsidR="005D02D4" w:rsidRDefault="00C95CC5" w:rsidP="00A95716">
      <w:pPr>
        <w:pStyle w:val="Final"/>
        <w:numPr>
          <w:ilvl w:val="0"/>
          <w:numId w:val="2"/>
        </w:numPr>
        <w:tabs>
          <w:tab w:val="clear" w:pos="720"/>
          <w:tab w:val="num" w:pos="0"/>
        </w:tabs>
        <w:ind w:left="0" w:firstLine="0"/>
      </w:pPr>
      <w:r>
        <w:tab/>
        <w:t xml:space="preserve">Applying the above principles, I consider that </w:t>
      </w:r>
      <w:r w:rsidR="00943A74">
        <w:t xml:space="preserve">it is an appropriate case where the court should make an order requiring Mr Wen to </w:t>
      </w:r>
      <w:r w:rsidR="00CC6BC0">
        <w:t xml:space="preserve">make an offer to purchase </w:t>
      </w:r>
      <w:r w:rsidR="00943A74">
        <w:t xml:space="preserve">the shares </w:t>
      </w:r>
      <w:r w:rsidR="00CC6BC0">
        <w:t xml:space="preserve">held by </w:t>
      </w:r>
      <w:r w:rsidR="00943A74">
        <w:t>other members</w:t>
      </w:r>
      <w:r w:rsidR="00687710">
        <w:t xml:space="preserve"> (i.e. other than companies owned or controlled by Mr Wen)</w:t>
      </w:r>
      <w:r w:rsidR="00AE6CFF">
        <w:t xml:space="preserve">.  </w:t>
      </w:r>
      <w:r w:rsidR="00CC6BC0">
        <w:t xml:space="preserve">There are </w:t>
      </w:r>
      <w:r w:rsidR="00BE59A7">
        <w:t xml:space="preserve">4 </w:t>
      </w:r>
      <w:r w:rsidR="00CC6BC0">
        <w:t>reasons for this</w:t>
      </w:r>
      <w:r w:rsidR="00AE6CFF">
        <w:t xml:space="preserve">.  </w:t>
      </w:r>
    </w:p>
    <w:p w14:paraId="27308B02" w14:textId="58004B77" w:rsidR="009E7599" w:rsidRDefault="005D02D4" w:rsidP="00A95716">
      <w:pPr>
        <w:pStyle w:val="Final"/>
        <w:numPr>
          <w:ilvl w:val="0"/>
          <w:numId w:val="2"/>
        </w:numPr>
        <w:tabs>
          <w:tab w:val="clear" w:pos="720"/>
          <w:tab w:val="num" w:pos="0"/>
        </w:tabs>
        <w:ind w:left="0" w:firstLine="0"/>
      </w:pPr>
      <w:r>
        <w:tab/>
      </w:r>
      <w:r w:rsidRPr="00D16C99">
        <w:rPr>
          <w:u w:val="single"/>
        </w:rPr>
        <w:t>First</w:t>
      </w:r>
      <w:r>
        <w:t xml:space="preserve">, </w:t>
      </w:r>
      <w:r w:rsidR="004232B5">
        <w:t>as a result of the Schemes</w:t>
      </w:r>
      <w:r w:rsidR="00F94502">
        <w:t xml:space="preserve"> and the 2015 Cash Discrepancy</w:t>
      </w:r>
      <w:r w:rsidR="004232B5">
        <w:t xml:space="preserve">, the true financial state of the Company and of the Group </w:t>
      </w:r>
      <w:r w:rsidR="000B209F">
        <w:t>remains unclear</w:t>
      </w:r>
      <w:r w:rsidR="00AE6CFF">
        <w:t xml:space="preserve">.  </w:t>
      </w:r>
      <w:r w:rsidR="003D4582">
        <w:t xml:space="preserve">The position is exacerbated by the subsequent disappearance of all relevant personnel and documents, which render it impossible for the SFC and the Company </w:t>
      </w:r>
      <w:r w:rsidR="00CD45C5">
        <w:t>to identify the full extent of the wrongs done to the Group</w:t>
      </w:r>
      <w:r w:rsidR="00DB47C9">
        <w:t xml:space="preserve"> and whether </w:t>
      </w:r>
      <w:r w:rsidR="00992295">
        <w:t xml:space="preserve">any financial loss has been suffered by </w:t>
      </w:r>
      <w:r w:rsidR="00DB47C9">
        <w:t>the Group</w:t>
      </w:r>
      <w:r w:rsidR="00AE6CFF">
        <w:t xml:space="preserve">.  </w:t>
      </w:r>
      <w:r w:rsidR="00992295">
        <w:t>The latter also means that the Company would not be able to bring any proceedings and seek compensation against the persons responsible for causing the loss to the Company</w:t>
      </w:r>
      <w:r w:rsidR="00AE6CFF">
        <w:t xml:space="preserve">.  </w:t>
      </w:r>
    </w:p>
    <w:p w14:paraId="0EF808BA" w14:textId="2EE84C0F" w:rsidR="000F64EB" w:rsidRDefault="00C5229B" w:rsidP="00A95716">
      <w:pPr>
        <w:pStyle w:val="Final"/>
        <w:numPr>
          <w:ilvl w:val="0"/>
          <w:numId w:val="2"/>
        </w:numPr>
        <w:tabs>
          <w:tab w:val="clear" w:pos="720"/>
          <w:tab w:val="num" w:pos="0"/>
        </w:tabs>
        <w:ind w:left="0" w:firstLine="0"/>
      </w:pPr>
      <w:r>
        <w:tab/>
      </w:r>
      <w:r w:rsidRPr="00D16C99">
        <w:rPr>
          <w:u w:val="single"/>
        </w:rPr>
        <w:t>Second</w:t>
      </w:r>
      <w:r>
        <w:t xml:space="preserve">, </w:t>
      </w:r>
      <w:r w:rsidR="00706DBC">
        <w:t xml:space="preserve">the </w:t>
      </w:r>
      <w:r w:rsidR="00C13875">
        <w:t xml:space="preserve">prejudice suffered by the </w:t>
      </w:r>
      <w:r w:rsidR="00C65EAD">
        <w:t xml:space="preserve">Company and its members </w:t>
      </w:r>
      <w:r w:rsidR="007F5036">
        <w:t xml:space="preserve">is substantial and </w:t>
      </w:r>
      <w:r w:rsidR="0066326F">
        <w:t>irreversible</w:t>
      </w:r>
      <w:r w:rsidR="000F64EB">
        <w:t xml:space="preserve"> in that:</w:t>
      </w:r>
    </w:p>
    <w:p w14:paraId="47101A94" w14:textId="08115DC9" w:rsidR="005A4159" w:rsidRDefault="009B4ABD" w:rsidP="005C174D">
      <w:pPr>
        <w:pStyle w:val="points"/>
        <w:numPr>
          <w:ilvl w:val="0"/>
          <w:numId w:val="51"/>
        </w:numPr>
        <w:tabs>
          <w:tab w:val="clear" w:pos="1400"/>
        </w:tabs>
      </w:pPr>
      <w:r>
        <w:lastRenderedPageBreak/>
        <w:t xml:space="preserve">The </w:t>
      </w:r>
      <w:r w:rsidR="00706DBC">
        <w:t xml:space="preserve">existence of the Discrepancies and the 2015 Cash Discrepancy and the inability of the Company to </w:t>
      </w:r>
      <w:r w:rsidR="00DA7FE9">
        <w:t xml:space="preserve">conduct full </w:t>
      </w:r>
      <w:r w:rsidR="00706DBC">
        <w:t>investigat</w:t>
      </w:r>
      <w:r w:rsidR="00DA7FE9">
        <w:t xml:space="preserve">ion and redress the same </w:t>
      </w:r>
      <w:r w:rsidR="008778B6">
        <w:t xml:space="preserve">would </w:t>
      </w:r>
      <w:r w:rsidR="0066326F">
        <w:t xml:space="preserve">inevitably </w:t>
      </w:r>
      <w:r w:rsidR="00D111B1">
        <w:t xml:space="preserve">affect </w:t>
      </w:r>
      <w:r w:rsidR="008778B6">
        <w:t xml:space="preserve">the confidence of the financiers and investors </w:t>
      </w:r>
      <w:r w:rsidR="000744A7">
        <w:t>who might otherwise be willing to a</w:t>
      </w:r>
      <w:r w:rsidR="00D111B1">
        <w:t>dvanc</w:t>
      </w:r>
      <w:r w:rsidR="000744A7">
        <w:t>e</w:t>
      </w:r>
      <w:r w:rsidR="00D111B1">
        <w:t xml:space="preserve"> loans to or invest in the </w:t>
      </w:r>
      <w:r w:rsidR="00BC0FCE">
        <w:t xml:space="preserve">bonds or shares </w:t>
      </w:r>
      <w:r w:rsidR="00D111B1">
        <w:t>issued by the Company</w:t>
      </w:r>
      <w:r w:rsidR="001437A5">
        <w:t xml:space="preserve"> as </w:t>
      </w:r>
      <w:r w:rsidR="00BC0FCE">
        <w:t>any seasoned financier and investor would require accurate and complete financial information before deciding to advance loans to or invest in the Company</w:t>
      </w:r>
      <w:r w:rsidR="00AE6CFF">
        <w:t xml:space="preserve">.  </w:t>
      </w:r>
    </w:p>
    <w:p w14:paraId="51BA0163" w14:textId="30CEB902" w:rsidR="008E0E06" w:rsidRPr="00F806B3" w:rsidRDefault="000F64EB" w:rsidP="005C174D">
      <w:pPr>
        <w:pStyle w:val="points"/>
        <w:numPr>
          <w:ilvl w:val="0"/>
          <w:numId w:val="51"/>
        </w:numPr>
        <w:tabs>
          <w:tab w:val="clear" w:pos="1400"/>
        </w:tabs>
      </w:pPr>
      <w:r>
        <w:t>Trading in the Company’s shares has been suspended for over 6 years</w:t>
      </w:r>
      <w:r w:rsidR="00AE6CFF">
        <w:t xml:space="preserve">.  </w:t>
      </w:r>
      <w:r w:rsidR="009863AF">
        <w:t>According to the announcement dated 1 August 2018</w:t>
      </w:r>
      <w:r w:rsidR="009863AF" w:rsidRPr="00486E85">
        <w:rPr>
          <w:bCs/>
          <w:color w:val="000000" w:themeColor="text1"/>
        </w:rPr>
        <w:t>,</w:t>
      </w:r>
      <w:r w:rsidR="009863AF" w:rsidRPr="00F806B3">
        <w:rPr>
          <w:b/>
          <w:bCs/>
          <w:color w:val="000000" w:themeColor="text1"/>
        </w:rPr>
        <w:t xml:space="preserve"> </w:t>
      </w:r>
      <w:r w:rsidR="008E0E06">
        <w:t xml:space="preserve">the SEHK </w:t>
      </w:r>
      <w:r w:rsidR="008E0E06" w:rsidRPr="00F806B3">
        <w:rPr>
          <w:color w:val="000000" w:themeColor="text1"/>
        </w:rPr>
        <w:t xml:space="preserve">imposed 2 resumption conditions on </w:t>
      </w:r>
      <w:r w:rsidR="00B15D12" w:rsidRPr="00F806B3">
        <w:rPr>
          <w:color w:val="000000" w:themeColor="text1"/>
        </w:rPr>
        <w:t>the Company</w:t>
      </w:r>
      <w:r w:rsidR="008E0E06" w:rsidRPr="00F806B3">
        <w:rPr>
          <w:color w:val="000000" w:themeColor="text1"/>
        </w:rPr>
        <w:t xml:space="preserve"> namely: (1)</w:t>
      </w:r>
      <w:r w:rsidR="008E0E06" w:rsidRPr="00F806B3">
        <w:rPr>
          <w:b/>
          <w:bCs/>
          <w:color w:val="000000" w:themeColor="text1"/>
        </w:rPr>
        <w:t xml:space="preserve"> </w:t>
      </w:r>
      <w:r w:rsidR="008E0E06" w:rsidRPr="00F806B3">
        <w:rPr>
          <w:color w:val="000000" w:themeColor="text1"/>
        </w:rPr>
        <w:t xml:space="preserve">publication of all outstanding financial results of the Group in accordance with the Listing Rules and address any audit modification; and (2) restoring and maintaining sufficient public float under </w:t>
      </w:r>
      <w:r w:rsidR="00B15D12" w:rsidRPr="00F806B3">
        <w:rPr>
          <w:color w:val="000000" w:themeColor="text1"/>
        </w:rPr>
        <w:t>r</w:t>
      </w:r>
      <w:r w:rsidR="008E0E06" w:rsidRPr="00F806B3">
        <w:rPr>
          <w:color w:val="000000" w:themeColor="text1"/>
        </w:rPr>
        <w:t>ule 8.08(1)(a) of the Listing Rules</w:t>
      </w:r>
      <w:r w:rsidR="00AE6CFF">
        <w:rPr>
          <w:color w:val="000000" w:themeColor="text1"/>
        </w:rPr>
        <w:t xml:space="preserve">. </w:t>
      </w:r>
      <w:r w:rsidR="00A0092C">
        <w:rPr>
          <w:color w:val="000000" w:themeColor="text1"/>
        </w:rPr>
        <w:t xml:space="preserve"> </w:t>
      </w:r>
      <w:r w:rsidR="00A0092C">
        <w:t>According to the announcement dated 4 December 2020, the SEHK added a 3</w:t>
      </w:r>
      <w:r w:rsidR="00A0092C" w:rsidRPr="00291165">
        <w:rPr>
          <w:vertAlign w:val="superscript"/>
        </w:rPr>
        <w:t>rd</w:t>
      </w:r>
      <w:r w:rsidR="00A0092C">
        <w:t xml:space="preserve"> resumption condition requiring the Company to demonstrate </w:t>
      </w:r>
      <w:r w:rsidR="00A0092C" w:rsidRPr="00A702B1">
        <w:rPr>
          <w:color w:val="000000" w:themeColor="text1"/>
        </w:rPr>
        <w:t xml:space="preserve">compliance with </w:t>
      </w:r>
      <w:r w:rsidR="00C66011">
        <w:rPr>
          <w:color w:val="000000" w:themeColor="text1"/>
        </w:rPr>
        <w:t>r</w:t>
      </w:r>
      <w:r w:rsidR="00A0092C" w:rsidRPr="00A702B1">
        <w:rPr>
          <w:color w:val="000000" w:themeColor="text1"/>
        </w:rPr>
        <w:t>ule 13.24 of the Listing Rules</w:t>
      </w:r>
      <w:r w:rsidR="00AE6CFF">
        <w:rPr>
          <w:color w:val="000000" w:themeColor="text1"/>
        </w:rPr>
        <w:t xml:space="preserve">.  </w:t>
      </w:r>
    </w:p>
    <w:p w14:paraId="6EB6B314" w14:textId="6D87C458" w:rsidR="00032B39" w:rsidRDefault="00032B39" w:rsidP="005C174D">
      <w:pPr>
        <w:pStyle w:val="points"/>
        <w:numPr>
          <w:ilvl w:val="0"/>
          <w:numId w:val="51"/>
        </w:numPr>
        <w:tabs>
          <w:tab w:val="clear" w:pos="1400"/>
        </w:tabs>
      </w:pPr>
      <w:r>
        <w:t>T</w:t>
      </w:r>
      <w:r w:rsidR="00F249F9">
        <w:t>o-date, t</w:t>
      </w:r>
      <w:r>
        <w:t>here is no indication</w:t>
      </w:r>
      <w:r w:rsidR="00F249F9">
        <w:t xml:space="preserve"> that the Company will be able to comply with the above conditions</w:t>
      </w:r>
      <w:r w:rsidR="00AE6CFF">
        <w:t xml:space="preserve">.  </w:t>
      </w:r>
      <w:r w:rsidR="008D20B7">
        <w:t xml:space="preserve">If and for so long as trading remains suspended, the </w:t>
      </w:r>
      <w:r>
        <w:t>other members will not be able to sell their shares through the SEHK</w:t>
      </w:r>
      <w:r w:rsidR="00AE6CFF">
        <w:t xml:space="preserve">.  </w:t>
      </w:r>
      <w:r>
        <w:t>It is no answer to say that the</w:t>
      </w:r>
      <w:r w:rsidR="008D20B7">
        <w:t xml:space="preserve">se </w:t>
      </w:r>
      <w:r>
        <w:t>members may still sell their shares through private agreements as the members acquired their shares on the basis that the Company’s shares could be traded on the SEHK.</w:t>
      </w:r>
    </w:p>
    <w:p w14:paraId="255EAC79" w14:textId="2B3A38E3" w:rsidR="008E0E06" w:rsidRPr="00B85834" w:rsidRDefault="008E0E06" w:rsidP="005C174D">
      <w:pPr>
        <w:pStyle w:val="points"/>
        <w:numPr>
          <w:ilvl w:val="0"/>
          <w:numId w:val="51"/>
        </w:numPr>
        <w:tabs>
          <w:tab w:val="clear" w:pos="1400"/>
        </w:tabs>
        <w:rPr>
          <w:color w:val="000000" w:themeColor="text1"/>
        </w:rPr>
      </w:pPr>
      <w:r>
        <w:lastRenderedPageBreak/>
        <w:t xml:space="preserve">Further, </w:t>
      </w:r>
      <w:r w:rsidR="00C85752">
        <w:rPr>
          <w:color w:val="000000" w:themeColor="text1"/>
        </w:rPr>
        <w:t>trading of</w:t>
      </w:r>
      <w:r w:rsidRPr="004E1D9C">
        <w:rPr>
          <w:color w:val="000000" w:themeColor="text1"/>
        </w:rPr>
        <w:t xml:space="preserve"> the shares ha</w:t>
      </w:r>
      <w:r w:rsidR="00C85752">
        <w:rPr>
          <w:color w:val="000000" w:themeColor="text1"/>
        </w:rPr>
        <w:t>s</w:t>
      </w:r>
      <w:r w:rsidRPr="004E1D9C">
        <w:rPr>
          <w:color w:val="000000" w:themeColor="text1"/>
        </w:rPr>
        <w:t xml:space="preserve"> </w:t>
      </w:r>
      <w:r w:rsidRPr="00A95716">
        <w:t>been</w:t>
      </w:r>
      <w:r w:rsidRPr="004E1D9C">
        <w:rPr>
          <w:color w:val="000000" w:themeColor="text1"/>
        </w:rPr>
        <w:t xml:space="preserve"> suspended for more than 12 months as at 1 August 2018 </w:t>
      </w:r>
      <w:r w:rsidR="00737635">
        <w:rPr>
          <w:color w:val="000000" w:themeColor="text1"/>
        </w:rPr>
        <w:t xml:space="preserve">and may be delisted </w:t>
      </w:r>
      <w:r w:rsidRPr="004E1D9C">
        <w:rPr>
          <w:color w:val="000000" w:themeColor="text1"/>
        </w:rPr>
        <w:t xml:space="preserve">under </w:t>
      </w:r>
      <w:r w:rsidR="000B4469">
        <w:rPr>
          <w:color w:val="000000" w:themeColor="text1"/>
        </w:rPr>
        <w:t>r</w:t>
      </w:r>
      <w:r w:rsidRPr="004E1D9C">
        <w:rPr>
          <w:color w:val="000000" w:themeColor="text1"/>
        </w:rPr>
        <w:t>ule 6.01A(2)(b)(ii) of the Listing Rules</w:t>
      </w:r>
      <w:r w:rsidR="00AE6CFF" w:rsidRPr="006C6DEA">
        <w:rPr>
          <w:bCs/>
          <w:color w:val="000000" w:themeColor="text1"/>
        </w:rPr>
        <w:t xml:space="preserve">.  </w:t>
      </w:r>
      <w:r w:rsidR="0018230F">
        <w:t>A</w:t>
      </w:r>
      <w:r>
        <w:t xml:space="preserve">ccording to the announcement dated 8 February 2022, the SEHK after consultation with the SFC would withhold </w:t>
      </w:r>
      <w:r w:rsidRPr="00B85834">
        <w:rPr>
          <w:color w:val="000000" w:themeColor="text1"/>
        </w:rPr>
        <w:t xml:space="preserve">exercising its right to cancel the listing of the </w:t>
      </w:r>
      <w:r w:rsidR="008B3C63">
        <w:rPr>
          <w:color w:val="000000" w:themeColor="text1"/>
        </w:rPr>
        <w:t>C</w:t>
      </w:r>
      <w:r w:rsidRPr="00B85834">
        <w:rPr>
          <w:color w:val="000000" w:themeColor="text1"/>
        </w:rPr>
        <w:t xml:space="preserve">ompany under </w:t>
      </w:r>
      <w:r w:rsidR="008B3C63">
        <w:rPr>
          <w:color w:val="000000" w:themeColor="text1"/>
        </w:rPr>
        <w:t>r</w:t>
      </w:r>
      <w:r w:rsidRPr="00B85834">
        <w:rPr>
          <w:color w:val="000000" w:themeColor="text1"/>
        </w:rPr>
        <w:t>ule 6.01A(2)(b)(ii)</w:t>
      </w:r>
      <w:r w:rsidRPr="00B85834">
        <w:rPr>
          <w:b/>
          <w:bCs/>
          <w:color w:val="000000" w:themeColor="text1"/>
        </w:rPr>
        <w:t xml:space="preserve"> </w:t>
      </w:r>
      <w:r w:rsidRPr="00B85834">
        <w:rPr>
          <w:color w:val="000000" w:themeColor="text1"/>
        </w:rPr>
        <w:t>until 31 July 2022</w:t>
      </w:r>
      <w:r w:rsidR="00AE6CFF">
        <w:rPr>
          <w:color w:val="000000" w:themeColor="text1"/>
        </w:rPr>
        <w:t xml:space="preserve">. </w:t>
      </w:r>
      <w:r w:rsidRPr="00B85834">
        <w:rPr>
          <w:color w:val="000000" w:themeColor="text1"/>
        </w:rPr>
        <w:t xml:space="preserve"> </w:t>
      </w:r>
      <w:r w:rsidR="00737635">
        <w:rPr>
          <w:color w:val="000000" w:themeColor="text1"/>
        </w:rPr>
        <w:t>T</w:t>
      </w:r>
      <w:r w:rsidR="002A0DEB">
        <w:rPr>
          <w:color w:val="000000" w:themeColor="text1"/>
        </w:rPr>
        <w:t xml:space="preserve">hese show that the SEHK </w:t>
      </w:r>
      <w:r w:rsidR="002A0DEB" w:rsidRPr="004E1D9C">
        <w:rPr>
          <w:color w:val="000000" w:themeColor="text1"/>
        </w:rPr>
        <w:t xml:space="preserve">may cancel </w:t>
      </w:r>
      <w:r w:rsidR="002A0DEB">
        <w:rPr>
          <w:color w:val="000000" w:themeColor="text1"/>
        </w:rPr>
        <w:t xml:space="preserve">the </w:t>
      </w:r>
      <w:r w:rsidR="00DF7FDC">
        <w:rPr>
          <w:color w:val="000000" w:themeColor="text1"/>
        </w:rPr>
        <w:t xml:space="preserve">listing of the </w:t>
      </w:r>
      <w:r w:rsidR="002A0DEB">
        <w:rPr>
          <w:color w:val="000000" w:themeColor="text1"/>
        </w:rPr>
        <w:t>Company</w:t>
      </w:r>
      <w:r w:rsidR="002A0DEB" w:rsidRPr="004E1D9C">
        <w:rPr>
          <w:color w:val="000000" w:themeColor="text1"/>
        </w:rPr>
        <w:t xml:space="preserve">’s </w:t>
      </w:r>
      <w:r w:rsidR="00DF7FDC">
        <w:rPr>
          <w:color w:val="000000" w:themeColor="text1"/>
        </w:rPr>
        <w:t xml:space="preserve">shares </w:t>
      </w:r>
      <w:r w:rsidR="002A0DEB">
        <w:rPr>
          <w:color w:val="000000" w:themeColor="text1"/>
        </w:rPr>
        <w:t>at any time.</w:t>
      </w:r>
    </w:p>
    <w:p w14:paraId="6909BA8E" w14:textId="19E02898" w:rsidR="00254B3E" w:rsidRDefault="00254B3E" w:rsidP="00A95716">
      <w:pPr>
        <w:pStyle w:val="Final"/>
        <w:numPr>
          <w:ilvl w:val="0"/>
          <w:numId w:val="2"/>
        </w:numPr>
        <w:tabs>
          <w:tab w:val="clear" w:pos="720"/>
          <w:tab w:val="num" w:pos="0"/>
        </w:tabs>
        <w:ind w:left="0" w:firstLine="0"/>
      </w:pPr>
      <w:r>
        <w:tab/>
      </w:r>
      <w:r w:rsidRPr="00D16C99">
        <w:rPr>
          <w:u w:val="single"/>
        </w:rPr>
        <w:t>Third</w:t>
      </w:r>
      <w:r>
        <w:t>, there is no lesser remedy which may redress the Discrepancies and the 2015 Cash Discrepancy</w:t>
      </w:r>
      <w:r w:rsidR="00AE6CFF">
        <w:t xml:space="preserve">.  </w:t>
      </w:r>
      <w:r w:rsidR="00AA5053">
        <w:t xml:space="preserve">In particular, </w:t>
      </w:r>
      <w:r w:rsidR="00B2224F">
        <w:t xml:space="preserve">the relief sought by the SFC against the Company, </w:t>
      </w:r>
      <w:r w:rsidR="00E559DE">
        <w:t>even if granted, would not redress the wrongs done to the Company</w:t>
      </w:r>
      <w:r w:rsidR="00AE6CFF">
        <w:t xml:space="preserve">.  </w:t>
      </w:r>
      <w:r w:rsidR="00A11490">
        <w:t>Indeed, the fu</w:t>
      </w:r>
      <w:r w:rsidR="002A136E">
        <w:t>ti</w:t>
      </w:r>
      <w:r w:rsidR="00A11490">
        <w:t xml:space="preserve">lity of the appointment is illustrated by the fact that the Company has previously engaged RSM, PKF and other law firms </w:t>
      </w:r>
      <w:r w:rsidR="006E16F2">
        <w:t>to investigate the Discrepancies and the 2015 Cash Discrepancy, and the heavily qualified reports produced by such firms</w:t>
      </w:r>
      <w:r w:rsidR="00AE6CFF">
        <w:t xml:space="preserve">.  </w:t>
      </w:r>
      <w:r w:rsidR="00A11490">
        <w:t xml:space="preserve"> </w:t>
      </w:r>
    </w:p>
    <w:p w14:paraId="7DD7C8DA" w14:textId="4B68937D" w:rsidR="0081617B" w:rsidRDefault="0081617B" w:rsidP="00D964D2">
      <w:pPr>
        <w:pStyle w:val="Final"/>
        <w:numPr>
          <w:ilvl w:val="0"/>
          <w:numId w:val="2"/>
        </w:numPr>
        <w:tabs>
          <w:tab w:val="clear" w:pos="720"/>
          <w:tab w:val="num" w:pos="0"/>
        </w:tabs>
        <w:ind w:left="0" w:firstLine="0"/>
      </w:pPr>
      <w:r>
        <w:tab/>
      </w:r>
      <w:r w:rsidRPr="00D16C99">
        <w:rPr>
          <w:u w:val="single"/>
        </w:rPr>
        <w:t>Fourth</w:t>
      </w:r>
      <w:r>
        <w:t xml:space="preserve">, </w:t>
      </w:r>
      <w:r w:rsidR="00B772ED">
        <w:t xml:space="preserve">there is no suggestion that </w:t>
      </w:r>
      <w:r w:rsidR="00D16C99">
        <w:t xml:space="preserve">Mr Wen </w:t>
      </w:r>
      <w:r w:rsidR="00B772ED">
        <w:t xml:space="preserve">does not have </w:t>
      </w:r>
      <w:r w:rsidR="00D16C99">
        <w:t xml:space="preserve">the financial </w:t>
      </w:r>
      <w:r w:rsidR="00B772ED">
        <w:t>means to purchase the shares of the other members</w:t>
      </w:r>
      <w:r w:rsidR="00AE6CFF">
        <w:t xml:space="preserve">.  </w:t>
      </w:r>
      <w:r w:rsidR="00B772ED">
        <w:t>In</w:t>
      </w:r>
      <w:r w:rsidR="00F74F33">
        <w:t xml:space="preserve">deed, since June 2017, </w:t>
      </w:r>
      <w:r w:rsidR="00B772ED">
        <w:t>Mr Wen</w:t>
      </w:r>
      <w:r w:rsidR="00F74F33">
        <w:t xml:space="preserve"> has indicated to the board </w:t>
      </w:r>
      <w:r w:rsidR="00B772ED">
        <w:t xml:space="preserve">that he intends to privatise the Company albeit that he </w:t>
      </w:r>
      <w:r w:rsidR="00737635">
        <w:t xml:space="preserve">has not </w:t>
      </w:r>
      <w:r w:rsidR="00B772ED">
        <w:t>take</w:t>
      </w:r>
      <w:r w:rsidR="00737635">
        <w:t>n</w:t>
      </w:r>
      <w:r w:rsidR="00B772ED">
        <w:t xml:space="preserve"> any concrete steps to pursue such privatisation</w:t>
      </w:r>
      <w:r w:rsidR="00AE6CFF">
        <w:t xml:space="preserve">.  </w:t>
      </w:r>
    </w:p>
    <w:p w14:paraId="2C237463" w14:textId="7C53B751" w:rsidR="00F32641" w:rsidRDefault="00451FDD" w:rsidP="00D964D2">
      <w:pPr>
        <w:pStyle w:val="Final"/>
        <w:numPr>
          <w:ilvl w:val="0"/>
          <w:numId w:val="2"/>
        </w:numPr>
        <w:tabs>
          <w:tab w:val="clear" w:pos="720"/>
          <w:tab w:val="num" w:pos="0"/>
        </w:tabs>
        <w:ind w:left="0" w:firstLine="0"/>
      </w:pPr>
      <w:r>
        <w:tab/>
      </w:r>
      <w:r w:rsidR="00F32641">
        <w:t>Ms Liao contend</w:t>
      </w:r>
      <w:r w:rsidR="00737635">
        <w:t>ed</w:t>
      </w:r>
      <w:r w:rsidR="00F32641">
        <w:t xml:space="preserve"> that based on the disclosure of interests as of 16 June 2022, the second larg</w:t>
      </w:r>
      <w:r w:rsidR="003116B7">
        <w:t>est shareholders holding 32.53%</w:t>
      </w:r>
      <w:r w:rsidR="003116B7" w:rsidRPr="003116B7">
        <w:rPr>
          <w:spacing w:val="20"/>
        </w:rPr>
        <w:t> </w:t>
      </w:r>
      <w:r w:rsidR="00F32641">
        <w:t>shares in the Company appear to be institutional investors</w:t>
      </w:r>
      <w:r w:rsidR="00AE6CFF">
        <w:t xml:space="preserve">.  </w:t>
      </w:r>
      <w:r w:rsidR="00F32641">
        <w:t xml:space="preserve">There is no evidence that the SFC has sought the view of such investors or indeed, any </w:t>
      </w:r>
      <w:r w:rsidR="00737635">
        <w:t>members</w:t>
      </w:r>
      <w:r w:rsidR="00AE6CFF">
        <w:t xml:space="preserve">.  </w:t>
      </w:r>
      <w:r w:rsidR="00F32641">
        <w:t xml:space="preserve">There is no evidence of any complaint from any </w:t>
      </w:r>
      <w:r w:rsidR="00737635">
        <w:t>members</w:t>
      </w:r>
      <w:r w:rsidR="00F32641">
        <w:t xml:space="preserve"> or that they </w:t>
      </w:r>
      <w:r w:rsidR="00F32641">
        <w:lastRenderedPageBreak/>
        <w:t xml:space="preserve">prefer a share </w:t>
      </w:r>
      <w:r w:rsidR="00387905">
        <w:t>purchase</w:t>
      </w:r>
      <w:r w:rsidR="00F32641">
        <w:t xml:space="preserve"> order</w:t>
      </w:r>
      <w:r w:rsidR="00AE6CFF">
        <w:t xml:space="preserve">.  </w:t>
      </w:r>
      <w:r w:rsidR="00387905">
        <w:t xml:space="preserve">I do not think that </w:t>
      </w:r>
      <w:r w:rsidR="00D713D1">
        <w:t>these matters</w:t>
      </w:r>
      <w:r w:rsidR="009A236E">
        <w:t>, even if correct,</w:t>
      </w:r>
      <w:r w:rsidR="00D713D1">
        <w:t xml:space="preserve"> are </w:t>
      </w:r>
      <w:r w:rsidR="009A6A9A">
        <w:t xml:space="preserve">relevant </w:t>
      </w:r>
      <w:r w:rsidR="004D45D7">
        <w:t xml:space="preserve">to the </w:t>
      </w:r>
      <w:r w:rsidR="009A6A9A">
        <w:t>consideration</w:t>
      </w:r>
      <w:r w:rsidR="004D45D7">
        <w:t xml:space="preserve"> as to whether a share purchase order should be made</w:t>
      </w:r>
      <w:r w:rsidR="00AE6CFF">
        <w:t xml:space="preserve">.  </w:t>
      </w:r>
      <w:r w:rsidR="00737635">
        <w:t>T</w:t>
      </w:r>
      <w:r w:rsidR="004D45D7">
        <w:t xml:space="preserve">he order sought by the SFC is that Mr Wen be ordered to make an </w:t>
      </w:r>
      <w:r w:rsidR="004D45D7" w:rsidRPr="00486E85">
        <w:rPr>
          <w:i/>
          <w:iCs/>
        </w:rPr>
        <w:t>offer</w:t>
      </w:r>
      <w:r w:rsidR="004D45D7">
        <w:t xml:space="preserve"> to purchase the shares of the other members at the price to be determined by the court</w:t>
      </w:r>
      <w:r w:rsidR="00AE6CFF">
        <w:t xml:space="preserve">.  </w:t>
      </w:r>
      <w:r w:rsidR="004D45D7">
        <w:t>It is a matter for the members to decide whether they want to accept the offer</w:t>
      </w:r>
      <w:r w:rsidR="00AE6CFF">
        <w:t xml:space="preserve">.  </w:t>
      </w:r>
      <w:r w:rsidR="009A6A9A">
        <w:t xml:space="preserve"> </w:t>
      </w:r>
    </w:p>
    <w:p w14:paraId="6734D5C0" w14:textId="0F4424CF" w:rsidR="00F32641" w:rsidRPr="007E0B3F" w:rsidRDefault="00CE6376" w:rsidP="00D964D2">
      <w:pPr>
        <w:pStyle w:val="H-1"/>
        <w:tabs>
          <w:tab w:val="clear" w:pos="1080"/>
          <w:tab w:val="left" w:pos="720"/>
        </w:tabs>
      </w:pPr>
      <w:r w:rsidRPr="007E0B3F">
        <w:t>E.</w:t>
      </w:r>
      <w:r w:rsidRPr="007E0B3F">
        <w:tab/>
        <w:t>DISPOSITION AND COSTS</w:t>
      </w:r>
    </w:p>
    <w:p w14:paraId="716C7811" w14:textId="0DE7921A" w:rsidR="00222ACA" w:rsidRDefault="00222ACA" w:rsidP="00D964D2">
      <w:pPr>
        <w:pStyle w:val="Final"/>
        <w:numPr>
          <w:ilvl w:val="0"/>
          <w:numId w:val="2"/>
        </w:numPr>
        <w:tabs>
          <w:tab w:val="clear" w:pos="720"/>
          <w:tab w:val="num" w:pos="0"/>
        </w:tabs>
        <w:ind w:left="0" w:firstLine="0"/>
      </w:pPr>
      <w:r>
        <w:t xml:space="preserve">For the reasons set out above, </w:t>
      </w:r>
      <w:r w:rsidR="00A04795">
        <w:t>I find that:</w:t>
      </w:r>
    </w:p>
    <w:p w14:paraId="6BF85786" w14:textId="5D6B9C19" w:rsidR="003124A2" w:rsidRDefault="003124A2" w:rsidP="005C174D">
      <w:pPr>
        <w:pStyle w:val="points"/>
        <w:numPr>
          <w:ilvl w:val="0"/>
          <w:numId w:val="52"/>
        </w:numPr>
        <w:tabs>
          <w:tab w:val="clear" w:pos="1400"/>
        </w:tabs>
      </w:pPr>
      <w:r>
        <w:t>the Schemes were perpetrated on the 5 Bank Accounts.  As a result of the Schemes, the bank balances of the Group stated in the 2012 AFS and 2013 AFS had been inflated by RMB 2.18 billion and RMB 2.72 billion respectively;</w:t>
      </w:r>
    </w:p>
    <w:p w14:paraId="379B223B" w14:textId="46029419" w:rsidR="00A04795" w:rsidRPr="00A74D49" w:rsidRDefault="00C62DE1" w:rsidP="005C174D">
      <w:pPr>
        <w:pStyle w:val="points"/>
        <w:numPr>
          <w:ilvl w:val="0"/>
          <w:numId w:val="52"/>
        </w:numPr>
        <w:tabs>
          <w:tab w:val="clear" w:pos="1400"/>
        </w:tabs>
      </w:pPr>
      <w:r>
        <w:t>Mr Wen plainly had knowledge of and was involved in causing, directing and orchestrating the Schemes</w:t>
      </w:r>
      <w:r w:rsidR="00A74D49">
        <w:t>;</w:t>
      </w:r>
    </w:p>
    <w:p w14:paraId="6AD63615" w14:textId="7C915074" w:rsidR="00A211C8" w:rsidRPr="00A211C8" w:rsidRDefault="00A211C8" w:rsidP="005C174D">
      <w:pPr>
        <w:pStyle w:val="points"/>
        <w:numPr>
          <w:ilvl w:val="0"/>
          <w:numId w:val="52"/>
        </w:numPr>
        <w:tabs>
          <w:tab w:val="clear" w:pos="1400"/>
        </w:tabs>
      </w:pPr>
      <w:r>
        <w:rPr>
          <w:color w:val="000000" w:themeColor="text1"/>
        </w:rPr>
        <w:t xml:space="preserve">Mr </w:t>
      </w:r>
      <w:r w:rsidRPr="004C34D1">
        <w:t>Wen</w:t>
      </w:r>
      <w:r>
        <w:rPr>
          <w:color w:val="000000" w:themeColor="text1"/>
        </w:rPr>
        <w:t xml:space="preserve"> gave false explanations regarding the 2015 Cash Discrepancy to other members of the board, the audit committee, Deloitte, RSM, P</w:t>
      </w:r>
      <w:r w:rsidR="00C07FA5">
        <w:rPr>
          <w:color w:val="000000" w:themeColor="text1"/>
        </w:rPr>
        <w:t>K</w:t>
      </w:r>
      <w:r>
        <w:rPr>
          <w:color w:val="000000" w:themeColor="text1"/>
        </w:rPr>
        <w:t>F, members of the Company and the regulators;</w:t>
      </w:r>
      <w:r w:rsidR="00987CD3">
        <w:rPr>
          <w:color w:val="000000" w:themeColor="text1"/>
        </w:rPr>
        <w:t xml:space="preserve"> and</w:t>
      </w:r>
    </w:p>
    <w:p w14:paraId="13601FDA" w14:textId="16BF4FB3" w:rsidR="007C6A95" w:rsidRPr="007C6A95" w:rsidRDefault="007C6A95" w:rsidP="005C174D">
      <w:pPr>
        <w:pStyle w:val="points"/>
        <w:numPr>
          <w:ilvl w:val="0"/>
          <w:numId w:val="52"/>
        </w:numPr>
        <w:tabs>
          <w:tab w:val="clear" w:pos="1400"/>
        </w:tabs>
      </w:pPr>
      <w:r>
        <w:rPr>
          <w:color w:val="000000" w:themeColor="text1"/>
        </w:rPr>
        <w:t xml:space="preserve">the </w:t>
      </w:r>
      <w:r w:rsidRPr="004C34D1">
        <w:t>business</w:t>
      </w:r>
      <w:r>
        <w:rPr>
          <w:color w:val="000000" w:themeColor="text1"/>
        </w:rPr>
        <w:t xml:space="preserve"> and affairs of the Company were conducted by Mr Wen in a manner</w:t>
      </w:r>
      <w:r w:rsidRPr="00952FA8">
        <w:rPr>
          <w:color w:val="000000" w:themeColor="text1"/>
        </w:rPr>
        <w:t xml:space="preserve"> </w:t>
      </w:r>
      <w:r>
        <w:rPr>
          <w:color w:val="000000" w:themeColor="text1"/>
        </w:rPr>
        <w:t>within the meaning of s.214(1)(b), (c) and (d) of the SFO</w:t>
      </w:r>
      <w:r w:rsidR="00987CD3">
        <w:rPr>
          <w:color w:val="000000" w:themeColor="text1"/>
        </w:rPr>
        <w:t>.</w:t>
      </w:r>
    </w:p>
    <w:p w14:paraId="28A0C698" w14:textId="18491C6A" w:rsidR="00B33580" w:rsidRPr="00311086" w:rsidRDefault="00B33580" w:rsidP="004C34D1">
      <w:pPr>
        <w:pStyle w:val="Final"/>
        <w:numPr>
          <w:ilvl w:val="0"/>
          <w:numId w:val="2"/>
        </w:numPr>
        <w:tabs>
          <w:tab w:val="clear" w:pos="720"/>
          <w:tab w:val="num" w:pos="0"/>
        </w:tabs>
        <w:ind w:left="0" w:firstLine="0"/>
      </w:pPr>
      <w:r>
        <w:tab/>
      </w:r>
      <w:r w:rsidRPr="00311086">
        <w:t>As for relief</w:t>
      </w:r>
      <w:r w:rsidR="003A1C0A" w:rsidRPr="00311086">
        <w:t>, I make the following order against Mr Wen:</w:t>
      </w:r>
    </w:p>
    <w:p w14:paraId="3D7B307E" w14:textId="150F17D3" w:rsidR="003A1C0A" w:rsidRPr="00311086" w:rsidRDefault="003A1C0A" w:rsidP="005C174D">
      <w:pPr>
        <w:pStyle w:val="points"/>
        <w:numPr>
          <w:ilvl w:val="0"/>
          <w:numId w:val="53"/>
        </w:numPr>
        <w:tabs>
          <w:tab w:val="clear" w:pos="1400"/>
        </w:tabs>
      </w:pPr>
      <w:r w:rsidRPr="00311086">
        <w:t xml:space="preserve">A disqualification order </w:t>
      </w:r>
      <w:r w:rsidR="00E83C25" w:rsidRPr="00311086">
        <w:t>f</w:t>
      </w:r>
      <w:r w:rsidRPr="00311086">
        <w:t xml:space="preserve">or 12 years from the date of this Judgment; </w:t>
      </w:r>
      <w:r w:rsidR="005D3A08" w:rsidRPr="00311086">
        <w:t>and</w:t>
      </w:r>
    </w:p>
    <w:p w14:paraId="5EA3692D" w14:textId="1606CCDB" w:rsidR="00175EB1" w:rsidRPr="00311086" w:rsidRDefault="00175EB1" w:rsidP="00311086">
      <w:pPr>
        <w:pStyle w:val="points"/>
        <w:numPr>
          <w:ilvl w:val="0"/>
          <w:numId w:val="53"/>
        </w:numPr>
        <w:tabs>
          <w:tab w:val="clear" w:pos="1400"/>
        </w:tabs>
      </w:pPr>
      <w:r w:rsidRPr="00311086">
        <w:lastRenderedPageBreak/>
        <w:t>A</w:t>
      </w:r>
      <w:r w:rsidR="003A1C0A" w:rsidRPr="00311086">
        <w:t xml:space="preserve">n order </w:t>
      </w:r>
      <w:r w:rsidRPr="00311086">
        <w:t xml:space="preserve">that Mr Wen shall make an offer to purchase the shares held by the other members of the Company </w:t>
      </w:r>
      <w:r w:rsidR="00E531B8">
        <w:t xml:space="preserve">(i.e. members other than himself and the companies owned and/or controlled by him) </w:t>
      </w:r>
      <w:r w:rsidRPr="00311086">
        <w:t>at the price to be determined by the court at a further hearing</w:t>
      </w:r>
      <w:r w:rsidR="00AE6CFF" w:rsidRPr="00311086">
        <w:t xml:space="preserve">.  </w:t>
      </w:r>
    </w:p>
    <w:p w14:paraId="67BD9FDF" w14:textId="20990D71" w:rsidR="005D3A08" w:rsidRDefault="005D3A08" w:rsidP="00311086">
      <w:pPr>
        <w:pStyle w:val="Final"/>
        <w:numPr>
          <w:ilvl w:val="0"/>
          <w:numId w:val="2"/>
        </w:numPr>
        <w:tabs>
          <w:tab w:val="clear" w:pos="720"/>
          <w:tab w:val="num" w:pos="0"/>
        </w:tabs>
        <w:ind w:left="0" w:firstLine="0"/>
      </w:pPr>
      <w:r>
        <w:tab/>
        <w:t xml:space="preserve">For the above purpose, the SFC is directed to submit </w:t>
      </w:r>
      <w:r w:rsidR="007F4209">
        <w:t>within 14 days of this Judgment</w:t>
      </w:r>
      <w:r w:rsidR="00D03C20">
        <w:t xml:space="preserve"> (1) a draft setting out the proposed terms of the order; and (2) the proposed directions on the court’s determination on the price at which Mr Wen shall make an offer to purchase the shares held by the other members</w:t>
      </w:r>
      <w:r w:rsidR="00DE44E8">
        <w:t xml:space="preserve">, </w:t>
      </w:r>
      <w:r w:rsidR="004B48A1">
        <w:t xml:space="preserve">taking </w:t>
      </w:r>
      <w:r w:rsidR="00B470C5">
        <w:t xml:space="preserve">into account the comments which </w:t>
      </w:r>
      <w:r w:rsidR="00C8383F">
        <w:t xml:space="preserve">have </w:t>
      </w:r>
      <w:r w:rsidR="00B470C5">
        <w:t>be</w:t>
      </w:r>
      <w:r w:rsidR="00C8383F">
        <w:t>en</w:t>
      </w:r>
      <w:r w:rsidR="00B470C5">
        <w:t xml:space="preserve"> made by Mr Wen</w:t>
      </w:r>
      <w:r w:rsidR="00E50192">
        <w:t xml:space="preserve"> (</w:t>
      </w:r>
      <w:r w:rsidR="00690BE1">
        <w:t>if</w:t>
      </w:r>
      <w:r w:rsidR="00E50192">
        <w:t xml:space="preserve"> any)</w:t>
      </w:r>
      <w:r w:rsidR="00AE6CFF">
        <w:t xml:space="preserve">.  </w:t>
      </w:r>
      <w:r w:rsidR="005676A4">
        <w:t>If the parties are unable to agree on the wordings, the SFC is to lodge the draft order</w:t>
      </w:r>
      <w:r w:rsidR="00BF4F75">
        <w:t>s</w:t>
      </w:r>
      <w:r w:rsidR="005676A4">
        <w:t xml:space="preserve"> setting out the terms which are in agreement and those which the parties are not able to agree and the respective contentions of the parties</w:t>
      </w:r>
      <w:r w:rsidR="00BF4F75">
        <w:t>.</w:t>
      </w:r>
    </w:p>
    <w:p w14:paraId="198DB9F6" w14:textId="69968B1E" w:rsidR="00345E9E" w:rsidRDefault="00BF4F75" w:rsidP="00311086">
      <w:pPr>
        <w:pStyle w:val="Final"/>
        <w:numPr>
          <w:ilvl w:val="0"/>
          <w:numId w:val="2"/>
        </w:numPr>
        <w:tabs>
          <w:tab w:val="clear" w:pos="720"/>
          <w:tab w:val="num" w:pos="0"/>
        </w:tabs>
        <w:ind w:left="0" w:firstLine="0"/>
      </w:pPr>
      <w:r>
        <w:t xml:space="preserve">As for costs, I make a costs order </w:t>
      </w:r>
      <w:r w:rsidRPr="00930B8A">
        <w:rPr>
          <w:i/>
          <w:iCs/>
        </w:rPr>
        <w:t xml:space="preserve">nisi </w:t>
      </w:r>
      <w:r>
        <w:t>that</w:t>
      </w:r>
      <w:r w:rsidR="00345E9E">
        <w:t>:</w:t>
      </w:r>
    </w:p>
    <w:p w14:paraId="3F71A93D" w14:textId="4F75C61B" w:rsidR="00F26327" w:rsidRDefault="00F26327" w:rsidP="00311086">
      <w:pPr>
        <w:pStyle w:val="points"/>
        <w:numPr>
          <w:ilvl w:val="0"/>
          <w:numId w:val="54"/>
        </w:numPr>
        <w:tabs>
          <w:tab w:val="clear" w:pos="1400"/>
        </w:tabs>
      </w:pPr>
      <w:r>
        <w:t>Mr Wen do pay the costs of and occasioned by the Petition including the costs of trial to the SFC on an indemnity basis, to be taxed if not agreed and with certificate for 2 counsel</w:t>
      </w:r>
      <w:r w:rsidR="00AE6CFF">
        <w:t xml:space="preserve">.  </w:t>
      </w:r>
      <w:r>
        <w:t>The higher scale of costs reflect</w:t>
      </w:r>
      <w:r w:rsidR="00306273">
        <w:t>s</w:t>
      </w:r>
      <w:r>
        <w:t xml:space="preserve"> the </w:t>
      </w:r>
      <w:r w:rsidR="00A4139E">
        <w:t>gravity of the misconduct</w:t>
      </w:r>
      <w:r w:rsidR="00AE6CFF">
        <w:t xml:space="preserve">.  </w:t>
      </w:r>
    </w:p>
    <w:p w14:paraId="2878EC85" w14:textId="536B4801" w:rsidR="0051685B" w:rsidRDefault="00A5617F" w:rsidP="00311086">
      <w:pPr>
        <w:pStyle w:val="points"/>
        <w:numPr>
          <w:ilvl w:val="0"/>
          <w:numId w:val="54"/>
        </w:numPr>
        <w:tabs>
          <w:tab w:val="clear" w:pos="1400"/>
        </w:tabs>
      </w:pPr>
      <w:r>
        <w:t xml:space="preserve">Mr Wen do pay the </w:t>
      </w:r>
      <w:r w:rsidR="00306273">
        <w:t xml:space="preserve">costs </w:t>
      </w:r>
      <w:r>
        <w:t xml:space="preserve">incurred by the </w:t>
      </w:r>
      <w:r w:rsidR="00930B8A">
        <w:t>Company</w:t>
      </w:r>
      <w:r w:rsidR="009C693A">
        <w:t xml:space="preserve"> in the Petition</w:t>
      </w:r>
      <w:r w:rsidR="00306273">
        <w:t xml:space="preserve"> on an indemnity basis</w:t>
      </w:r>
      <w:r w:rsidR="00AE6CFF">
        <w:t xml:space="preserve">.  </w:t>
      </w:r>
      <w:r w:rsidR="00673DC1">
        <w:t>This reflects the fact that the Company is only a nominal party</w:t>
      </w:r>
      <w:r w:rsidR="00306273">
        <w:t xml:space="preserve"> and </w:t>
      </w:r>
      <w:r w:rsidR="00673DC1">
        <w:t xml:space="preserve">is the victim of the fraud committed </w:t>
      </w:r>
      <w:r w:rsidR="00946D87">
        <w:t xml:space="preserve">by Mr Wen </w:t>
      </w:r>
      <w:r w:rsidR="00673DC1">
        <w:t>against it</w:t>
      </w:r>
      <w:r w:rsidR="00946D87">
        <w:t xml:space="preserve">, and should </w:t>
      </w:r>
      <w:r w:rsidR="00306273">
        <w:t xml:space="preserve">be entitled to recover </w:t>
      </w:r>
      <w:r w:rsidR="00946D87">
        <w:t xml:space="preserve">the costs occasioned by the Petition </w:t>
      </w:r>
      <w:r w:rsidR="00306273">
        <w:t>from Mr Wen</w:t>
      </w:r>
      <w:r w:rsidR="00AE6CFF">
        <w:t xml:space="preserve">.  </w:t>
      </w:r>
    </w:p>
    <w:bookmarkEnd w:id="7"/>
    <w:p w14:paraId="004D3912" w14:textId="391E08D7" w:rsidR="00B6313F" w:rsidRDefault="00B6313F" w:rsidP="00B6313F">
      <w:pPr>
        <w:tabs>
          <w:tab w:val="clear" w:pos="1440"/>
          <w:tab w:val="clear" w:pos="4320"/>
          <w:tab w:val="clear" w:pos="9072"/>
        </w:tabs>
        <w:snapToGrid/>
        <w:ind w:left="4340"/>
        <w:jc w:val="center"/>
        <w:rPr>
          <w:kern w:val="2"/>
          <w:lang w:val="en-US"/>
        </w:rPr>
      </w:pPr>
    </w:p>
    <w:p w14:paraId="5045F2AD" w14:textId="77777777" w:rsidR="00000824" w:rsidRDefault="00000824" w:rsidP="00B6313F">
      <w:pPr>
        <w:tabs>
          <w:tab w:val="clear" w:pos="1440"/>
          <w:tab w:val="clear" w:pos="4320"/>
          <w:tab w:val="clear" w:pos="9072"/>
        </w:tabs>
        <w:snapToGrid/>
        <w:ind w:left="4340"/>
        <w:jc w:val="center"/>
        <w:rPr>
          <w:kern w:val="2"/>
          <w:lang w:val="en-US"/>
        </w:rPr>
      </w:pPr>
    </w:p>
    <w:p w14:paraId="0FB85E66" w14:textId="640E2428" w:rsidR="00EE0798" w:rsidRDefault="002E35FD" w:rsidP="006542D7">
      <w:pPr>
        <w:pStyle w:val="Final"/>
        <w:numPr>
          <w:ilvl w:val="0"/>
          <w:numId w:val="2"/>
        </w:numPr>
        <w:tabs>
          <w:tab w:val="clear" w:pos="720"/>
          <w:tab w:val="num" w:pos="0"/>
        </w:tabs>
        <w:ind w:left="0" w:firstLine="0"/>
      </w:pPr>
      <w:r>
        <w:lastRenderedPageBreak/>
        <w:t>T</w:t>
      </w:r>
      <w:r w:rsidR="006542D7">
        <w:t xml:space="preserve">he present case is a paradigm example where the directors of a listed company </w:t>
      </w:r>
      <w:r w:rsidR="009F4773">
        <w:t>were</w:t>
      </w:r>
      <w:r w:rsidR="00AA224B">
        <w:t xml:space="preserve"> able to avoid </w:t>
      </w:r>
      <w:r w:rsidR="00A672D2">
        <w:t xml:space="preserve">the </w:t>
      </w:r>
      <w:r w:rsidR="00AA224B">
        <w:t>enforcement action taken by the SFC by choosing to stay out of the jurisdiction</w:t>
      </w:r>
      <w:r w:rsidR="00A33A97">
        <w:t xml:space="preserve">. It is a matter well known to the regulators and practitioners that service of </w:t>
      </w:r>
      <w:r w:rsidR="00151D26">
        <w:t xml:space="preserve">the </w:t>
      </w:r>
      <w:r w:rsidR="00A33A97">
        <w:t>origina</w:t>
      </w:r>
      <w:r w:rsidR="00BB3B68">
        <w:t xml:space="preserve">ting </w:t>
      </w:r>
      <w:r w:rsidR="00A33A97">
        <w:t xml:space="preserve">process such as a petition on persons who stay in the Mainland </w:t>
      </w:r>
      <w:r w:rsidR="003814D0">
        <w:t xml:space="preserve">often require many months </w:t>
      </w:r>
      <w:r w:rsidR="008E2B7F">
        <w:t xml:space="preserve">and may even be futile </w:t>
      </w:r>
      <w:r w:rsidR="003814D0">
        <w:t>when the persons deliberately took steps to avoid being served by the relevant authorities. The regulators in particular the SEHK</w:t>
      </w:r>
      <w:r w:rsidR="00CD2882">
        <w:t xml:space="preserve"> </w:t>
      </w:r>
      <w:r w:rsidR="003814D0">
        <w:t xml:space="preserve">may want to review the position and </w:t>
      </w:r>
      <w:r w:rsidR="00CD2882">
        <w:t xml:space="preserve">address the problem sooner than later. One possible avenue available to the regulators would be for the SEHK to </w:t>
      </w:r>
      <w:r w:rsidR="003814D0">
        <w:t xml:space="preserve">require </w:t>
      </w:r>
      <w:r w:rsidR="00765343">
        <w:t>a</w:t>
      </w:r>
      <w:r w:rsidR="00FE235C">
        <w:t>ny</w:t>
      </w:r>
      <w:r w:rsidR="00765343">
        <w:t xml:space="preserve"> person who assume</w:t>
      </w:r>
      <w:r w:rsidR="00FE235C">
        <w:t>s</w:t>
      </w:r>
      <w:r w:rsidR="00765343">
        <w:t xml:space="preserve"> the position as di</w:t>
      </w:r>
      <w:r w:rsidR="003814D0">
        <w:t xml:space="preserve">rector </w:t>
      </w:r>
      <w:r w:rsidR="00765343">
        <w:t xml:space="preserve">of a listed company to </w:t>
      </w:r>
      <w:r w:rsidR="00C00BB4">
        <w:t>agree</w:t>
      </w:r>
      <w:r w:rsidR="00572044">
        <w:t xml:space="preserve">, as part of the undertaking </w:t>
      </w:r>
      <w:r w:rsidR="00FE235C">
        <w:t xml:space="preserve">he/she </w:t>
      </w:r>
      <w:r w:rsidR="00572044">
        <w:t>give</w:t>
      </w:r>
      <w:r w:rsidR="00FE235C">
        <w:t>s</w:t>
      </w:r>
      <w:r w:rsidR="00572044">
        <w:t xml:space="preserve"> to the SEHK, </w:t>
      </w:r>
      <w:r w:rsidR="00474752">
        <w:t xml:space="preserve">to designate a place within the jurisdiction </w:t>
      </w:r>
      <w:r w:rsidR="00A742B9">
        <w:t xml:space="preserve">at which </w:t>
      </w:r>
      <w:r w:rsidR="00572044">
        <w:t xml:space="preserve">the regulators </w:t>
      </w:r>
      <w:r w:rsidR="00A742B9">
        <w:t xml:space="preserve">may serve the originating process on him/her when they </w:t>
      </w:r>
      <w:r w:rsidR="00572044">
        <w:t xml:space="preserve">take enforcement action against </w:t>
      </w:r>
      <w:r w:rsidR="009C773E">
        <w:t xml:space="preserve">such director. </w:t>
      </w:r>
      <w:r w:rsidR="002068BF">
        <w:t>Th</w:t>
      </w:r>
      <w:r w:rsidR="00742DE9">
        <w:t xml:space="preserve">ere is no reason why a person who agreed to assume </w:t>
      </w:r>
      <w:r w:rsidR="009C773E">
        <w:t>the</w:t>
      </w:r>
      <w:r w:rsidR="00EE0798">
        <w:t xml:space="preserve"> </w:t>
      </w:r>
      <w:r w:rsidR="00742DE9">
        <w:t xml:space="preserve">important role as </w:t>
      </w:r>
      <w:r w:rsidR="00EE0798">
        <w:t>director of a</w:t>
      </w:r>
      <w:r w:rsidR="00742DE9">
        <w:t xml:space="preserve"> listed company </w:t>
      </w:r>
      <w:r w:rsidR="00EE0798">
        <w:t xml:space="preserve">and to abide by the duties imposed by the Listing Rules and other relevant regulations </w:t>
      </w:r>
      <w:r w:rsidR="00487FED">
        <w:t xml:space="preserve">would be able to avoid enforcement action by choosing to stay out of the jurisdiction. </w:t>
      </w:r>
    </w:p>
    <w:p w14:paraId="2B9FE53B" w14:textId="77777777" w:rsidR="00E9668F" w:rsidRPr="00B6313F" w:rsidRDefault="00E9668F" w:rsidP="00B6313F">
      <w:pPr>
        <w:tabs>
          <w:tab w:val="clear" w:pos="1440"/>
          <w:tab w:val="clear" w:pos="4320"/>
          <w:tab w:val="clear" w:pos="9072"/>
        </w:tabs>
        <w:snapToGrid/>
        <w:ind w:left="4340"/>
        <w:jc w:val="center"/>
        <w:rPr>
          <w:kern w:val="2"/>
          <w:lang w:val="en-US"/>
        </w:rPr>
      </w:pPr>
    </w:p>
    <w:p w14:paraId="2D9307FC" w14:textId="77777777" w:rsidR="00B6313F" w:rsidRPr="00B6313F" w:rsidRDefault="00B6313F" w:rsidP="00B6313F">
      <w:pPr>
        <w:tabs>
          <w:tab w:val="clear" w:pos="1440"/>
          <w:tab w:val="clear" w:pos="4320"/>
          <w:tab w:val="clear" w:pos="9072"/>
        </w:tabs>
        <w:snapToGrid/>
        <w:ind w:left="4340"/>
        <w:jc w:val="center"/>
        <w:rPr>
          <w:kern w:val="2"/>
          <w:lang w:val="en-US" w:eastAsia="zh-TW"/>
        </w:rPr>
      </w:pPr>
      <w:r w:rsidRPr="00B6313F">
        <w:rPr>
          <w:kern w:val="2"/>
          <w:lang w:val="en-US"/>
        </w:rPr>
        <w:t>(Linda Chan)</w:t>
      </w:r>
    </w:p>
    <w:p w14:paraId="7CA61AF9" w14:textId="77777777" w:rsidR="00B6313F" w:rsidRPr="00B6313F" w:rsidRDefault="00B6313F" w:rsidP="00B6313F">
      <w:pPr>
        <w:tabs>
          <w:tab w:val="clear" w:pos="1440"/>
          <w:tab w:val="clear" w:pos="4320"/>
          <w:tab w:val="clear" w:pos="9072"/>
        </w:tabs>
        <w:snapToGrid/>
        <w:ind w:left="4340"/>
        <w:jc w:val="center"/>
        <w:rPr>
          <w:kern w:val="2"/>
          <w:lang w:val="en-US"/>
        </w:rPr>
      </w:pPr>
      <w:r w:rsidRPr="00B6313F">
        <w:rPr>
          <w:kern w:val="2"/>
          <w:lang w:val="en-US"/>
        </w:rPr>
        <w:t>Judge of the Court of First Instance</w:t>
      </w:r>
    </w:p>
    <w:p w14:paraId="0B65B52D" w14:textId="77777777" w:rsidR="00B6313F" w:rsidRPr="00B6313F" w:rsidRDefault="00B6313F" w:rsidP="00B6313F">
      <w:pPr>
        <w:tabs>
          <w:tab w:val="clear" w:pos="1440"/>
          <w:tab w:val="clear" w:pos="4320"/>
          <w:tab w:val="clear" w:pos="9072"/>
        </w:tabs>
        <w:snapToGrid/>
        <w:ind w:left="4340"/>
        <w:jc w:val="center"/>
        <w:rPr>
          <w:kern w:val="2"/>
          <w:lang w:val="en-US"/>
        </w:rPr>
      </w:pPr>
      <w:r w:rsidRPr="00B6313F">
        <w:rPr>
          <w:kern w:val="2"/>
          <w:lang w:val="en-US"/>
        </w:rPr>
        <w:t>High Court</w:t>
      </w:r>
    </w:p>
    <w:p w14:paraId="261E8108" w14:textId="4A026B3B" w:rsidR="00B6313F" w:rsidRDefault="00B6313F" w:rsidP="00B6313F">
      <w:pPr>
        <w:pStyle w:val="Final"/>
        <w:spacing w:before="0" w:after="0" w:line="240" w:lineRule="auto"/>
        <w:rPr>
          <w:szCs w:val="28"/>
        </w:rPr>
      </w:pPr>
    </w:p>
    <w:p w14:paraId="59D8A4CD" w14:textId="77777777" w:rsidR="00311086" w:rsidRDefault="00311086" w:rsidP="00B6313F">
      <w:pPr>
        <w:pStyle w:val="Final"/>
        <w:spacing w:before="0" w:after="0" w:line="240" w:lineRule="auto"/>
        <w:rPr>
          <w:szCs w:val="28"/>
        </w:rPr>
      </w:pPr>
    </w:p>
    <w:p w14:paraId="26751FF0" w14:textId="24FEC7FB" w:rsidR="006D7A32" w:rsidRDefault="006D7A32" w:rsidP="006D7A32">
      <w:pPr>
        <w:jc w:val="both"/>
        <w:rPr>
          <w:szCs w:val="28"/>
        </w:rPr>
      </w:pPr>
      <w:r w:rsidRPr="006D7A32">
        <w:rPr>
          <w:szCs w:val="28"/>
        </w:rPr>
        <w:t xml:space="preserve">Mr </w:t>
      </w:r>
      <w:r w:rsidRPr="006D7A32">
        <w:rPr>
          <w:rFonts w:hint="eastAsia"/>
          <w:szCs w:val="28"/>
        </w:rPr>
        <w:t>Jenkin</w:t>
      </w:r>
      <w:r w:rsidRPr="006D7A32">
        <w:rPr>
          <w:szCs w:val="28"/>
        </w:rPr>
        <w:t xml:space="preserve"> Suen SC leading Ms Sheena Wong</w:t>
      </w:r>
      <w:r>
        <w:rPr>
          <w:szCs w:val="28"/>
        </w:rPr>
        <w:t>,</w:t>
      </w:r>
      <w:r w:rsidRPr="006D7A32">
        <w:rPr>
          <w:szCs w:val="28"/>
        </w:rPr>
        <w:t xml:space="preserve"> instructed by </w:t>
      </w:r>
      <w:r>
        <w:rPr>
          <w:rFonts w:eastAsia="PMingLiU"/>
          <w:kern w:val="2"/>
          <w:szCs w:val="28"/>
          <w:lang w:val="en-US"/>
        </w:rPr>
        <w:t>Securities and Futures Commission,</w:t>
      </w:r>
      <w:r w:rsidRPr="006D7A32">
        <w:rPr>
          <w:szCs w:val="28"/>
        </w:rPr>
        <w:t xml:space="preserve"> for the Petitioner</w:t>
      </w:r>
    </w:p>
    <w:p w14:paraId="6856AD71" w14:textId="77777777" w:rsidR="006D7A32" w:rsidRPr="006D7A32" w:rsidRDefault="006D7A32" w:rsidP="006D7A32">
      <w:pPr>
        <w:jc w:val="both"/>
        <w:rPr>
          <w:szCs w:val="28"/>
        </w:rPr>
      </w:pPr>
    </w:p>
    <w:p w14:paraId="765712D3" w14:textId="72A6FA14" w:rsidR="006D7A32" w:rsidRDefault="006D7A32" w:rsidP="006D7A32">
      <w:pPr>
        <w:jc w:val="both"/>
        <w:rPr>
          <w:szCs w:val="28"/>
        </w:rPr>
      </w:pPr>
      <w:r w:rsidRPr="006D7A32">
        <w:rPr>
          <w:szCs w:val="28"/>
        </w:rPr>
        <w:t>Mr Thomas WK Wong</w:t>
      </w:r>
      <w:r>
        <w:rPr>
          <w:szCs w:val="28"/>
        </w:rPr>
        <w:t>,</w:t>
      </w:r>
      <w:r w:rsidRPr="006D7A32">
        <w:rPr>
          <w:szCs w:val="28"/>
        </w:rPr>
        <w:t xml:space="preserve"> instructed by Stevenson, Wong &amp; Co.</w:t>
      </w:r>
      <w:r>
        <w:rPr>
          <w:szCs w:val="28"/>
        </w:rPr>
        <w:t>,</w:t>
      </w:r>
      <w:r w:rsidRPr="006D7A32">
        <w:rPr>
          <w:szCs w:val="28"/>
        </w:rPr>
        <w:t xml:space="preserve"> for the 1</w:t>
      </w:r>
      <w:r w:rsidRPr="006D7A32">
        <w:rPr>
          <w:szCs w:val="28"/>
          <w:vertAlign w:val="superscript"/>
        </w:rPr>
        <w:t>st</w:t>
      </w:r>
      <w:r w:rsidRPr="006D7A32">
        <w:rPr>
          <w:szCs w:val="28"/>
        </w:rPr>
        <w:t xml:space="preserve"> Respondent</w:t>
      </w:r>
      <w:r w:rsidR="009D7D06">
        <w:rPr>
          <w:szCs w:val="28"/>
        </w:rPr>
        <w:t xml:space="preserve"> (on </w:t>
      </w:r>
      <w:r w:rsidR="00BE22DC">
        <w:rPr>
          <w:rFonts w:hint="eastAsia"/>
          <w:szCs w:val="28"/>
        </w:rPr>
        <w:t>14</w:t>
      </w:r>
      <w:r w:rsidR="00BE22DC">
        <w:rPr>
          <w:szCs w:val="28"/>
        </w:rPr>
        <w:t xml:space="preserve"> </w:t>
      </w:r>
      <w:r w:rsidR="00BE22DC">
        <w:rPr>
          <w:rFonts w:hint="eastAsia"/>
          <w:szCs w:val="28"/>
        </w:rPr>
        <w:t>June</w:t>
      </w:r>
      <w:r w:rsidR="00BE22DC">
        <w:rPr>
          <w:szCs w:val="28"/>
        </w:rPr>
        <w:t xml:space="preserve"> </w:t>
      </w:r>
      <w:r w:rsidR="00BE22DC">
        <w:rPr>
          <w:rFonts w:hint="eastAsia"/>
          <w:szCs w:val="28"/>
        </w:rPr>
        <w:t>2022</w:t>
      </w:r>
      <w:r w:rsidR="00BE22DC">
        <w:rPr>
          <w:szCs w:val="28"/>
        </w:rPr>
        <w:t xml:space="preserve"> </w:t>
      </w:r>
      <w:r w:rsidR="009D7D06">
        <w:rPr>
          <w:szCs w:val="28"/>
        </w:rPr>
        <w:t>only)</w:t>
      </w:r>
    </w:p>
    <w:p w14:paraId="2868E598" w14:textId="77777777" w:rsidR="006D7A32" w:rsidRPr="006D7A32" w:rsidRDefault="006D7A32" w:rsidP="006D7A32">
      <w:pPr>
        <w:jc w:val="both"/>
        <w:rPr>
          <w:szCs w:val="28"/>
        </w:rPr>
      </w:pPr>
    </w:p>
    <w:p w14:paraId="47754D24" w14:textId="2202F890" w:rsidR="00B6313F" w:rsidRPr="006D7A32" w:rsidRDefault="006D7A32" w:rsidP="006D7A32">
      <w:pPr>
        <w:pStyle w:val="Final"/>
        <w:spacing w:before="0" w:after="0" w:line="240" w:lineRule="auto"/>
        <w:rPr>
          <w:szCs w:val="28"/>
        </w:rPr>
      </w:pPr>
      <w:r w:rsidRPr="006D7A32">
        <w:rPr>
          <w:szCs w:val="28"/>
        </w:rPr>
        <w:t>Ms Tara Liao</w:t>
      </w:r>
      <w:r>
        <w:rPr>
          <w:szCs w:val="28"/>
        </w:rPr>
        <w:t>,</w:t>
      </w:r>
      <w:r w:rsidRPr="006D7A32">
        <w:rPr>
          <w:szCs w:val="28"/>
        </w:rPr>
        <w:t xml:space="preserve"> instructed by DLA Piper Hong Kong</w:t>
      </w:r>
      <w:r>
        <w:rPr>
          <w:szCs w:val="28"/>
        </w:rPr>
        <w:t>,</w:t>
      </w:r>
      <w:r w:rsidRPr="006D7A32">
        <w:rPr>
          <w:szCs w:val="28"/>
        </w:rPr>
        <w:t xml:space="preserve"> for the 2</w:t>
      </w:r>
      <w:r w:rsidRPr="006D7A32">
        <w:rPr>
          <w:szCs w:val="28"/>
          <w:vertAlign w:val="superscript"/>
        </w:rPr>
        <w:t>nd</w:t>
      </w:r>
      <w:r w:rsidRPr="006D7A32">
        <w:rPr>
          <w:szCs w:val="28"/>
        </w:rPr>
        <w:t xml:space="preserve"> Respondent</w:t>
      </w:r>
    </w:p>
    <w:sectPr w:rsidR="00B6313F" w:rsidRPr="006D7A32" w:rsidSect="0037741E">
      <w:headerReference w:type="default" r:id="rId8"/>
      <w:headerReference w:type="first" r:id="rId9"/>
      <w:footerReference w:type="first" r:id="rId10"/>
      <w:pgSz w:w="11906" w:h="16838" w:code="9"/>
      <w:pgMar w:top="1584" w:right="1800" w:bottom="1584" w:left="1800" w:header="720" w:footer="720"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3DA56" w14:textId="77777777" w:rsidR="00CE79A2" w:rsidRDefault="00CE79A2" w:rsidP="00536703">
      <w:r>
        <w:separator/>
      </w:r>
    </w:p>
  </w:endnote>
  <w:endnote w:type="continuationSeparator" w:id="0">
    <w:p w14:paraId="0D3C8903" w14:textId="77777777" w:rsidR="00CE79A2" w:rsidRDefault="00CE79A2" w:rsidP="00536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42D" w14:textId="77777777" w:rsidR="00CE79A2" w:rsidRDefault="00CE79A2" w:rsidP="0012200F">
    <w:pPr>
      <w:pStyle w:val="Footer"/>
      <w:tabs>
        <w:tab w:val="clear" w:pos="4153"/>
        <w:tab w:val="clear" w:pos="4320"/>
        <w:tab w:val="clear"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311CB" w14:textId="77777777" w:rsidR="00CE79A2" w:rsidRDefault="00CE79A2" w:rsidP="00536703">
      <w:r>
        <w:separator/>
      </w:r>
    </w:p>
  </w:footnote>
  <w:footnote w:type="continuationSeparator" w:id="0">
    <w:p w14:paraId="139A91FC" w14:textId="77777777" w:rsidR="00CE79A2" w:rsidRDefault="00CE79A2" w:rsidP="00536703">
      <w:r>
        <w:separator/>
      </w:r>
    </w:p>
  </w:footnote>
  <w:footnote w:id="1">
    <w:p w14:paraId="512345C2" w14:textId="5F752BF9" w:rsidR="00CE79A2" w:rsidRPr="00337612" w:rsidRDefault="00CE79A2" w:rsidP="00A1242F">
      <w:pPr>
        <w:pStyle w:val="FootnoteText"/>
        <w:rPr>
          <w:lang w:val="en-GB"/>
        </w:rPr>
      </w:pPr>
      <w:r w:rsidRPr="00337612">
        <w:rPr>
          <w:rStyle w:val="FootnoteReference"/>
        </w:rPr>
        <w:footnoteRef/>
      </w:r>
      <w:r w:rsidRPr="00337612">
        <w:t xml:space="preserve"> </w:t>
      </w:r>
      <w:r>
        <w:tab/>
      </w:r>
      <w:r w:rsidRPr="00337612">
        <w:rPr>
          <w:lang w:val="en-GB"/>
        </w:rPr>
        <w:t>Under SFO s.214(2)(d) or s.214(2)(a).</w:t>
      </w:r>
    </w:p>
  </w:footnote>
  <w:footnote w:id="2">
    <w:p w14:paraId="5137FD77" w14:textId="7B6CE409" w:rsidR="00CE79A2" w:rsidRPr="00337612" w:rsidRDefault="00CE79A2" w:rsidP="00A1242F">
      <w:pPr>
        <w:pStyle w:val="FootnoteText"/>
        <w:rPr>
          <w:lang w:val="en-GB"/>
        </w:rPr>
      </w:pPr>
      <w:r w:rsidRPr="00337612">
        <w:rPr>
          <w:rStyle w:val="FootnoteReference"/>
        </w:rPr>
        <w:footnoteRef/>
      </w:r>
      <w:r w:rsidRPr="00337612">
        <w:t xml:space="preserve"> </w:t>
      </w:r>
      <w:r>
        <w:tab/>
      </w:r>
      <w:r w:rsidRPr="00337612">
        <w:rPr>
          <w:lang w:val="en-GB"/>
        </w:rPr>
        <w:t>Under SFO s.214(2)(e)</w:t>
      </w:r>
      <w:r>
        <w:rPr>
          <w:lang w:val="en-GB"/>
        </w:rPr>
        <w:t xml:space="preserve">.  </w:t>
      </w:r>
    </w:p>
  </w:footnote>
  <w:footnote w:id="3">
    <w:p w14:paraId="439FD594" w14:textId="05F6D1AF" w:rsidR="00CE79A2" w:rsidRPr="0012705D" w:rsidRDefault="00CE79A2">
      <w:pPr>
        <w:pStyle w:val="FootnoteText"/>
        <w:rPr>
          <w:lang w:val="en-US"/>
        </w:rPr>
      </w:pPr>
      <w:r>
        <w:rPr>
          <w:rStyle w:val="FootnoteReference"/>
        </w:rPr>
        <w:footnoteRef/>
      </w:r>
      <w:r>
        <w:t xml:space="preserve"> </w:t>
      </w:r>
      <w:r>
        <w:rPr>
          <w:lang w:val="en-US"/>
        </w:rPr>
        <w:tab/>
        <w:t>Which is governed by PD 3.4 Case Management for Bankruptcy Petitions, Winding-up Petitions and Petitions under section</w:t>
      </w:r>
      <w:r w:rsidR="00FD1A44">
        <w:rPr>
          <w:lang w:val="en-US"/>
        </w:rPr>
        <w:t xml:space="preserve"> 724 of the Companies Ordinance.</w:t>
      </w:r>
      <w:bookmarkStart w:id="0" w:name="_GoBack"/>
      <w:bookmarkEnd w:id="0"/>
    </w:p>
  </w:footnote>
  <w:footnote w:id="4">
    <w:p w14:paraId="0F085C8B" w14:textId="2C22F6C2" w:rsidR="00CE79A2" w:rsidRPr="0092296B" w:rsidRDefault="00CE79A2">
      <w:pPr>
        <w:pStyle w:val="FootnoteText"/>
        <w:rPr>
          <w:lang w:val="en-US"/>
        </w:rPr>
      </w:pPr>
      <w:r>
        <w:rPr>
          <w:rStyle w:val="FootnoteReference"/>
        </w:rPr>
        <w:footnoteRef/>
      </w:r>
      <w:r>
        <w:t xml:space="preserve"> </w:t>
      </w:r>
      <w:r>
        <w:rPr>
          <w:lang w:val="en-US"/>
        </w:rPr>
        <w:t xml:space="preserve"> </w:t>
      </w:r>
      <w:r>
        <w:rPr>
          <w:lang w:val="en-US"/>
        </w:rPr>
        <w:tab/>
      </w:r>
      <w:r>
        <w:rPr>
          <w:color w:val="000000" w:themeColor="text1"/>
        </w:rPr>
        <w:t>Petition §48</w:t>
      </w:r>
      <w:r w:rsidRPr="00096B2B">
        <w:rPr>
          <w:color w:val="000000" w:themeColor="text1"/>
        </w:rPr>
        <w:t>.</w:t>
      </w:r>
    </w:p>
  </w:footnote>
  <w:footnote w:id="5">
    <w:p w14:paraId="2DD374F4" w14:textId="2AA7B18A" w:rsidR="00CE79A2" w:rsidRPr="00A62329" w:rsidRDefault="00CE79A2">
      <w:pPr>
        <w:pStyle w:val="FootnoteText"/>
        <w:rPr>
          <w:lang w:val="en-US"/>
        </w:rPr>
      </w:pPr>
      <w:r>
        <w:rPr>
          <w:rStyle w:val="FootnoteReference"/>
        </w:rPr>
        <w:footnoteRef/>
      </w:r>
      <w:r>
        <w:t xml:space="preserve"> </w:t>
      </w:r>
      <w:r>
        <w:rPr>
          <w:lang w:val="en-US"/>
        </w:rPr>
        <w:tab/>
        <w:t>Which was necessary given that the parties were bound by the implied undertaking not to use any documents obtained under compulsory powers in the proceedings for a collateral purpose in</w:t>
      </w:r>
      <w:r w:rsidR="00FD1A44">
        <w:rPr>
          <w:lang w:val="en-US"/>
        </w:rPr>
        <w:t>cluding other legal proceedings.</w:t>
      </w:r>
    </w:p>
  </w:footnote>
  <w:footnote w:id="6">
    <w:p w14:paraId="38A765BE" w14:textId="255C00E5" w:rsidR="00CE79A2" w:rsidRPr="00B803E7" w:rsidRDefault="00CE79A2" w:rsidP="00A1242F">
      <w:pPr>
        <w:pStyle w:val="FootnoteText"/>
        <w:rPr>
          <w:b/>
          <w:bCs/>
          <w:lang w:val="en-GB"/>
        </w:rPr>
      </w:pPr>
      <w:r w:rsidRPr="00DB4E17">
        <w:rPr>
          <w:rStyle w:val="FootnoteReference"/>
        </w:rPr>
        <w:footnoteRef/>
      </w:r>
      <w:r w:rsidRPr="00DB4E17">
        <w:t xml:space="preserve"> </w:t>
      </w:r>
      <w:r>
        <w:tab/>
      </w:r>
      <w:r>
        <w:rPr>
          <w:lang w:val="en-US"/>
        </w:rPr>
        <w:t>Petition §§2, 10</w:t>
      </w:r>
      <w:r w:rsidRPr="00096B2B">
        <w:rPr>
          <w:bCs/>
          <w:lang w:val="en-GB"/>
        </w:rPr>
        <w:t>.</w:t>
      </w:r>
    </w:p>
  </w:footnote>
  <w:footnote w:id="7">
    <w:p w14:paraId="6485F747" w14:textId="2AD7F581" w:rsidR="00CE79A2" w:rsidRPr="00337612" w:rsidRDefault="00CE79A2" w:rsidP="0012476A">
      <w:pPr>
        <w:pStyle w:val="FootnoteText"/>
        <w:rPr>
          <w:lang w:val="en-GB"/>
        </w:rPr>
      </w:pPr>
      <w:r w:rsidRPr="00EE4BAB">
        <w:rPr>
          <w:rStyle w:val="FootnoteReference"/>
        </w:rPr>
        <w:footnoteRef/>
      </w:r>
      <w:r w:rsidRPr="00EE4BAB">
        <w:t xml:space="preserve"> </w:t>
      </w:r>
      <w:r>
        <w:tab/>
      </w:r>
      <w:r>
        <w:rPr>
          <w:lang w:val="en-US"/>
        </w:rPr>
        <w:t>Petition §10</w:t>
      </w:r>
      <w:r w:rsidRPr="00337612">
        <w:rPr>
          <w:lang w:val="en-GB"/>
        </w:rPr>
        <w:t>.</w:t>
      </w:r>
    </w:p>
  </w:footnote>
  <w:footnote w:id="8">
    <w:p w14:paraId="7763753F" w14:textId="25A7C674" w:rsidR="00CE79A2" w:rsidRPr="00337612" w:rsidRDefault="00CE79A2" w:rsidP="00BA69F1">
      <w:pPr>
        <w:pStyle w:val="FootnoteText"/>
        <w:rPr>
          <w:lang w:val="en-GB"/>
        </w:rPr>
      </w:pPr>
      <w:r w:rsidRPr="00EE4BAB">
        <w:rPr>
          <w:rStyle w:val="FootnoteReference"/>
        </w:rPr>
        <w:footnoteRef/>
      </w:r>
      <w:r w:rsidRPr="00EE4BAB">
        <w:t xml:space="preserve"> </w:t>
      </w:r>
      <w:r>
        <w:tab/>
      </w:r>
      <w:r>
        <w:rPr>
          <w:lang w:val="en-US"/>
        </w:rPr>
        <w:t>Petition §36</w:t>
      </w:r>
      <w:r w:rsidRPr="00337612">
        <w:rPr>
          <w:color w:val="000000" w:themeColor="text1"/>
        </w:rPr>
        <w:t>.</w:t>
      </w:r>
    </w:p>
  </w:footnote>
  <w:footnote w:id="9">
    <w:p w14:paraId="470A0C65" w14:textId="2F3E9B78" w:rsidR="00CE79A2" w:rsidRPr="00337612" w:rsidRDefault="00CE79A2" w:rsidP="000A31F2">
      <w:pPr>
        <w:pStyle w:val="FootnoteText"/>
        <w:rPr>
          <w:lang w:val="en-GB"/>
        </w:rPr>
      </w:pPr>
      <w:r w:rsidRPr="00EE4BAB">
        <w:rPr>
          <w:rStyle w:val="FootnoteReference"/>
        </w:rPr>
        <w:footnoteRef/>
      </w:r>
      <w:r w:rsidRPr="00EE4BAB">
        <w:t xml:space="preserve"> </w:t>
      </w:r>
      <w:r>
        <w:tab/>
      </w:r>
      <w:r>
        <w:rPr>
          <w:lang w:val="en-US"/>
        </w:rPr>
        <w:t>Petition §2</w:t>
      </w:r>
      <w:r w:rsidRPr="00337612">
        <w:rPr>
          <w:lang w:val="en-GB"/>
        </w:rPr>
        <w:t>.</w:t>
      </w:r>
    </w:p>
  </w:footnote>
  <w:footnote w:id="10">
    <w:p w14:paraId="675AAE65" w14:textId="203592F7" w:rsidR="00CE79A2" w:rsidRPr="00337612" w:rsidRDefault="00CE79A2" w:rsidP="00A1242F">
      <w:pPr>
        <w:pStyle w:val="FootnoteText"/>
        <w:rPr>
          <w:lang w:val="en-GB"/>
        </w:rPr>
      </w:pPr>
      <w:r w:rsidRPr="00EE4BAB">
        <w:rPr>
          <w:rStyle w:val="FootnoteReference"/>
        </w:rPr>
        <w:footnoteRef/>
      </w:r>
      <w:r w:rsidRPr="00EE4BAB">
        <w:t xml:space="preserve"> </w:t>
      </w:r>
      <w:r>
        <w:tab/>
      </w:r>
      <w:r>
        <w:rPr>
          <w:lang w:val="en-US"/>
        </w:rPr>
        <w:t>Petition §12(1)</w:t>
      </w:r>
      <w:r w:rsidRPr="00337612">
        <w:rPr>
          <w:lang w:val="en-GB"/>
        </w:rPr>
        <w:t>.</w:t>
      </w:r>
    </w:p>
  </w:footnote>
  <w:footnote w:id="11">
    <w:p w14:paraId="1CE14604" w14:textId="169769A7" w:rsidR="00CE79A2" w:rsidRPr="00337612" w:rsidRDefault="00CE79A2" w:rsidP="00A1242F">
      <w:pPr>
        <w:pStyle w:val="FootnoteText"/>
        <w:rPr>
          <w:lang w:val="en-GB"/>
        </w:rPr>
      </w:pPr>
      <w:r w:rsidRPr="00EE4BAB">
        <w:rPr>
          <w:rStyle w:val="FootnoteReference"/>
        </w:rPr>
        <w:footnoteRef/>
      </w:r>
      <w:r w:rsidRPr="00EE4BAB">
        <w:t xml:space="preserve"> </w:t>
      </w:r>
      <w:r>
        <w:tab/>
      </w:r>
      <w:r>
        <w:rPr>
          <w:lang w:val="en-US"/>
        </w:rPr>
        <w:t>Petition §12(1)</w:t>
      </w:r>
      <w:r w:rsidRPr="00337612">
        <w:rPr>
          <w:lang w:val="en-GB"/>
        </w:rPr>
        <w:t>.</w:t>
      </w:r>
    </w:p>
  </w:footnote>
  <w:footnote w:id="12">
    <w:p w14:paraId="0947BB75" w14:textId="0B639F92" w:rsidR="00CE79A2" w:rsidRPr="00337612" w:rsidRDefault="00CE79A2" w:rsidP="00A1242F">
      <w:pPr>
        <w:pStyle w:val="FootnoteText"/>
        <w:rPr>
          <w:lang w:val="en-GB"/>
        </w:rPr>
      </w:pPr>
      <w:r w:rsidRPr="00EE4BAB">
        <w:rPr>
          <w:rStyle w:val="FootnoteReference"/>
        </w:rPr>
        <w:footnoteRef/>
      </w:r>
      <w:r w:rsidRPr="00EE4BAB">
        <w:t xml:space="preserve"> </w:t>
      </w:r>
      <w:r>
        <w:tab/>
      </w:r>
      <w:r>
        <w:rPr>
          <w:lang w:val="en-US"/>
        </w:rPr>
        <w:t>Petition §12(2)</w:t>
      </w:r>
      <w:r w:rsidRPr="00337612">
        <w:rPr>
          <w:lang w:val="en-GB"/>
        </w:rPr>
        <w:t>.</w:t>
      </w:r>
    </w:p>
  </w:footnote>
  <w:footnote w:id="13">
    <w:p w14:paraId="4D3A016B" w14:textId="35714ACF" w:rsidR="00CE79A2" w:rsidRPr="00337612" w:rsidRDefault="00CE79A2" w:rsidP="008C408B">
      <w:pPr>
        <w:pStyle w:val="FootnoteText"/>
        <w:rPr>
          <w:lang w:val="en-GB"/>
        </w:rPr>
      </w:pPr>
      <w:r w:rsidRPr="00EE4BAB">
        <w:rPr>
          <w:rStyle w:val="FootnoteReference"/>
        </w:rPr>
        <w:footnoteRef/>
      </w:r>
      <w:r w:rsidRPr="00EE4BAB">
        <w:t xml:space="preserve"> </w:t>
      </w:r>
      <w:r>
        <w:tab/>
      </w:r>
      <w:r>
        <w:rPr>
          <w:lang w:val="en-US"/>
        </w:rPr>
        <w:t>Petition §12(3)</w:t>
      </w:r>
      <w:r w:rsidRPr="00337612">
        <w:rPr>
          <w:lang w:val="en-GB"/>
        </w:rPr>
        <w:t>.</w:t>
      </w:r>
    </w:p>
  </w:footnote>
  <w:footnote w:id="14">
    <w:p w14:paraId="30292BFE" w14:textId="1D81928E" w:rsidR="00CE79A2" w:rsidRPr="00337612" w:rsidRDefault="00CE79A2" w:rsidP="00A631E9">
      <w:pPr>
        <w:pStyle w:val="FootnoteText"/>
        <w:rPr>
          <w:lang w:val="en-GB"/>
        </w:rPr>
      </w:pPr>
      <w:r w:rsidRPr="00EE4BAB">
        <w:rPr>
          <w:rStyle w:val="FootnoteReference"/>
        </w:rPr>
        <w:footnoteRef/>
      </w:r>
      <w:r w:rsidRPr="00EE4BAB">
        <w:t xml:space="preserve"> </w:t>
      </w:r>
      <w:r>
        <w:tab/>
      </w:r>
      <w:r>
        <w:rPr>
          <w:lang w:val="en-US"/>
        </w:rPr>
        <w:t>Petition §12(6)</w:t>
      </w:r>
      <w:r w:rsidRPr="00337612">
        <w:rPr>
          <w:lang w:val="en-GB"/>
        </w:rPr>
        <w:t>.</w:t>
      </w:r>
    </w:p>
  </w:footnote>
  <w:footnote w:id="15">
    <w:p w14:paraId="37AAE4FB" w14:textId="099E5921" w:rsidR="00CE79A2" w:rsidRPr="00337612" w:rsidRDefault="00CE79A2" w:rsidP="00A1242F">
      <w:pPr>
        <w:pStyle w:val="FootnoteText"/>
        <w:rPr>
          <w:lang w:val="en-GB"/>
        </w:rPr>
      </w:pPr>
      <w:r w:rsidRPr="00EE4BAB">
        <w:rPr>
          <w:rStyle w:val="FootnoteReference"/>
        </w:rPr>
        <w:footnoteRef/>
      </w:r>
      <w:r w:rsidRPr="00EE4BAB">
        <w:t xml:space="preserve"> </w:t>
      </w:r>
      <w:r>
        <w:tab/>
      </w:r>
      <w:r>
        <w:rPr>
          <w:lang w:val="en-US"/>
        </w:rPr>
        <w:t>Petition §22</w:t>
      </w:r>
      <w:r w:rsidRPr="00337612">
        <w:rPr>
          <w:lang w:val="en-GB"/>
        </w:rPr>
        <w:t>.</w:t>
      </w:r>
    </w:p>
  </w:footnote>
  <w:footnote w:id="16">
    <w:p w14:paraId="321F3D89" w14:textId="1722A5DB" w:rsidR="00CE79A2" w:rsidRPr="00337612" w:rsidRDefault="00CE79A2" w:rsidP="00A1242F">
      <w:pPr>
        <w:pStyle w:val="FootnoteText"/>
        <w:rPr>
          <w:lang w:val="en-GB"/>
        </w:rPr>
      </w:pPr>
      <w:r w:rsidRPr="00EE4BAB">
        <w:rPr>
          <w:rStyle w:val="FootnoteReference"/>
        </w:rPr>
        <w:footnoteRef/>
      </w:r>
      <w:r w:rsidRPr="00EE4BAB">
        <w:t xml:space="preserve"> </w:t>
      </w:r>
      <w:r>
        <w:tab/>
      </w:r>
      <w:r>
        <w:rPr>
          <w:lang w:val="en-US"/>
        </w:rPr>
        <w:t>Petition §38</w:t>
      </w:r>
      <w:r w:rsidRPr="00337612">
        <w:rPr>
          <w:lang w:val="en-GB"/>
        </w:rPr>
        <w:t>.</w:t>
      </w:r>
    </w:p>
  </w:footnote>
  <w:footnote w:id="17">
    <w:p w14:paraId="73888E21" w14:textId="06C867AF" w:rsidR="00CE79A2" w:rsidRPr="00DB4E17" w:rsidRDefault="00CE79A2" w:rsidP="00A1242F">
      <w:pPr>
        <w:pStyle w:val="FootnoteText"/>
        <w:rPr>
          <w:lang w:val="en-HK"/>
        </w:rPr>
      </w:pPr>
      <w:r w:rsidRPr="00DB4E17">
        <w:rPr>
          <w:rStyle w:val="FootnoteReference"/>
        </w:rPr>
        <w:footnoteRef/>
      </w:r>
      <w:r w:rsidRPr="00DB4E17">
        <w:t xml:space="preserve"> </w:t>
      </w:r>
      <w:r>
        <w:tab/>
      </w:r>
      <w:r>
        <w:rPr>
          <w:lang w:val="en-US"/>
        </w:rPr>
        <w:t>Petition §§23-30</w:t>
      </w:r>
      <w:r w:rsidRPr="00337612">
        <w:rPr>
          <w:lang w:val="en-GB"/>
        </w:rPr>
        <w:t>.</w:t>
      </w:r>
    </w:p>
  </w:footnote>
  <w:footnote w:id="18">
    <w:p w14:paraId="72A3DCD2" w14:textId="5D353183" w:rsidR="00CE79A2" w:rsidRPr="00337612" w:rsidRDefault="00CE79A2" w:rsidP="00AA5B8A">
      <w:pPr>
        <w:pStyle w:val="FootnoteText"/>
        <w:rPr>
          <w:lang w:val="en-GB"/>
        </w:rPr>
      </w:pPr>
    </w:p>
  </w:footnote>
  <w:footnote w:id="19">
    <w:p w14:paraId="314BF54F" w14:textId="689C7730" w:rsidR="00CE79A2" w:rsidRPr="00337612" w:rsidRDefault="00CE79A2" w:rsidP="00AC7B12">
      <w:pPr>
        <w:pStyle w:val="FootnoteText"/>
        <w:rPr>
          <w:lang w:val="en-GB"/>
        </w:rPr>
      </w:pPr>
      <w:r w:rsidRPr="00EE4BAB">
        <w:rPr>
          <w:rStyle w:val="FootnoteReference"/>
        </w:rPr>
        <w:footnoteRef/>
      </w:r>
      <w:r w:rsidRPr="00EE4BAB">
        <w:t xml:space="preserve"> </w:t>
      </w:r>
      <w:r>
        <w:tab/>
      </w:r>
      <w:r>
        <w:rPr>
          <w:lang w:val="en-US"/>
        </w:rPr>
        <w:t>Petition §31</w:t>
      </w:r>
      <w:r>
        <w:rPr>
          <w:lang w:val="en-GB"/>
        </w:rPr>
        <w:t xml:space="preserve">.  </w:t>
      </w:r>
    </w:p>
  </w:footnote>
  <w:footnote w:id="20">
    <w:p w14:paraId="7FECEA6F" w14:textId="398B7D54" w:rsidR="00CE79A2" w:rsidRPr="00337612" w:rsidRDefault="00CE79A2" w:rsidP="00A1242F">
      <w:pPr>
        <w:pStyle w:val="FootnoteText"/>
        <w:rPr>
          <w:lang w:val="en-GB"/>
        </w:rPr>
      </w:pPr>
      <w:r w:rsidRPr="00EE4BAB">
        <w:rPr>
          <w:rStyle w:val="FootnoteReference"/>
        </w:rPr>
        <w:footnoteRef/>
      </w:r>
      <w:r w:rsidRPr="00EE4BAB">
        <w:t xml:space="preserve"> </w:t>
      </w:r>
      <w:r>
        <w:tab/>
      </w:r>
      <w:r>
        <w:rPr>
          <w:lang w:val="en-US"/>
        </w:rPr>
        <w:t>Petition §33</w:t>
      </w:r>
      <w:r w:rsidRPr="00337612">
        <w:rPr>
          <w:lang w:val="en-GB"/>
        </w:rPr>
        <w:t>.</w:t>
      </w:r>
    </w:p>
  </w:footnote>
  <w:footnote w:id="21">
    <w:p w14:paraId="4CB70AF3" w14:textId="68F869F8" w:rsidR="00CE79A2" w:rsidRPr="00337612" w:rsidRDefault="00CE79A2" w:rsidP="009B700B">
      <w:pPr>
        <w:pStyle w:val="FootnoteText"/>
        <w:rPr>
          <w:lang w:val="en-GB"/>
        </w:rPr>
      </w:pPr>
      <w:r w:rsidRPr="00EE4BAB">
        <w:rPr>
          <w:rStyle w:val="FootnoteReference"/>
        </w:rPr>
        <w:footnoteRef/>
      </w:r>
      <w:r w:rsidRPr="00EE4BAB">
        <w:t xml:space="preserve"> </w:t>
      </w:r>
      <w:r>
        <w:tab/>
      </w:r>
      <w:r>
        <w:rPr>
          <w:lang w:val="en-US"/>
        </w:rPr>
        <w:t>Petition §§32, 34</w:t>
      </w:r>
      <w:r w:rsidRPr="00337612">
        <w:rPr>
          <w:lang w:val="en-GB"/>
        </w:rPr>
        <w:t>.</w:t>
      </w:r>
    </w:p>
  </w:footnote>
  <w:footnote w:id="22">
    <w:p w14:paraId="677BE2FE" w14:textId="7B8FEE93" w:rsidR="00CE79A2" w:rsidRPr="00337612" w:rsidRDefault="00CE79A2" w:rsidP="00A1242F">
      <w:pPr>
        <w:pStyle w:val="FootnoteText"/>
        <w:rPr>
          <w:lang w:val="en-GB"/>
        </w:rPr>
      </w:pPr>
      <w:r w:rsidRPr="00EE4BAB">
        <w:rPr>
          <w:rStyle w:val="FootnoteReference"/>
        </w:rPr>
        <w:footnoteRef/>
      </w:r>
      <w:r w:rsidRPr="00EE4BAB">
        <w:t xml:space="preserve"> </w:t>
      </w:r>
      <w:r>
        <w:tab/>
      </w:r>
      <w:r>
        <w:rPr>
          <w:lang w:val="en-US"/>
        </w:rPr>
        <w:t>Petition §35</w:t>
      </w:r>
      <w:r w:rsidRPr="00337612">
        <w:rPr>
          <w:lang w:val="en-GB"/>
        </w:rPr>
        <w:t>.</w:t>
      </w:r>
    </w:p>
  </w:footnote>
  <w:footnote w:id="23">
    <w:p w14:paraId="6078D20C" w14:textId="205AF5C8" w:rsidR="00CE79A2" w:rsidRPr="00337612" w:rsidRDefault="00CE79A2" w:rsidP="00A1242F">
      <w:pPr>
        <w:pStyle w:val="FootnoteText"/>
        <w:rPr>
          <w:lang w:val="en-GB"/>
        </w:rPr>
      </w:pPr>
      <w:r w:rsidRPr="00EE4BAB">
        <w:rPr>
          <w:rStyle w:val="FootnoteReference"/>
        </w:rPr>
        <w:footnoteRef/>
      </w:r>
      <w:r w:rsidRPr="00EE4BAB">
        <w:t xml:space="preserve"> </w:t>
      </w:r>
      <w:r>
        <w:tab/>
      </w:r>
      <w:r>
        <w:rPr>
          <w:lang w:val="en-US"/>
        </w:rPr>
        <w:t>Petition §39</w:t>
      </w:r>
      <w:r w:rsidRPr="00337612">
        <w:rPr>
          <w:lang w:val="en-GB"/>
        </w:rPr>
        <w:t>.</w:t>
      </w:r>
    </w:p>
  </w:footnote>
  <w:footnote w:id="24">
    <w:p w14:paraId="161F125E" w14:textId="7DA33529" w:rsidR="00CE79A2" w:rsidRPr="00337612" w:rsidRDefault="00CE79A2" w:rsidP="00A1242F">
      <w:pPr>
        <w:pStyle w:val="FootnoteText"/>
        <w:rPr>
          <w:lang w:val="en-GB"/>
        </w:rPr>
      </w:pPr>
      <w:r w:rsidRPr="00EE4BAB">
        <w:rPr>
          <w:rStyle w:val="FootnoteReference"/>
        </w:rPr>
        <w:footnoteRef/>
      </w:r>
      <w:r w:rsidRPr="00EE4BAB">
        <w:t xml:space="preserve"> </w:t>
      </w:r>
      <w:r>
        <w:tab/>
      </w:r>
      <w:r>
        <w:rPr>
          <w:lang w:val="en-US"/>
        </w:rPr>
        <w:t>Petition §39</w:t>
      </w:r>
      <w:r w:rsidRPr="00337612">
        <w:rPr>
          <w:lang w:val="en-GB"/>
        </w:rPr>
        <w:t>.</w:t>
      </w:r>
    </w:p>
  </w:footnote>
  <w:footnote w:id="25">
    <w:p w14:paraId="37A3DC14" w14:textId="1F4F2C07" w:rsidR="00CE79A2" w:rsidRPr="00337612" w:rsidRDefault="00CE79A2" w:rsidP="00C0028F">
      <w:pPr>
        <w:pStyle w:val="FootnoteText"/>
        <w:rPr>
          <w:lang w:val="en-GB"/>
        </w:rPr>
      </w:pPr>
      <w:r w:rsidRPr="00EE4BAB">
        <w:rPr>
          <w:rStyle w:val="FootnoteReference"/>
        </w:rPr>
        <w:footnoteRef/>
      </w:r>
      <w:r w:rsidRPr="00EE4BAB">
        <w:t xml:space="preserve"> </w:t>
      </w:r>
      <w:r>
        <w:tab/>
      </w:r>
      <w:r>
        <w:rPr>
          <w:lang w:val="en-US"/>
        </w:rPr>
        <w:t>Petition §§39-40</w:t>
      </w:r>
      <w:r w:rsidRPr="00337612">
        <w:rPr>
          <w:lang w:val="en-GB"/>
        </w:rPr>
        <w:t>.</w:t>
      </w:r>
    </w:p>
  </w:footnote>
  <w:footnote w:id="26">
    <w:p w14:paraId="2F05A387" w14:textId="45377EFE" w:rsidR="00CE79A2" w:rsidRPr="00337612" w:rsidRDefault="00CE79A2" w:rsidP="00A1242F">
      <w:pPr>
        <w:pStyle w:val="FootnoteText"/>
        <w:rPr>
          <w:lang w:val="en-GB"/>
        </w:rPr>
      </w:pPr>
    </w:p>
  </w:footnote>
  <w:footnote w:id="27">
    <w:p w14:paraId="2954D822" w14:textId="5EA3A4D6" w:rsidR="00CE79A2" w:rsidRPr="00337612" w:rsidRDefault="00CE79A2" w:rsidP="00822125">
      <w:pPr>
        <w:pStyle w:val="FootnoteText"/>
        <w:rPr>
          <w:lang w:val="en-GB"/>
        </w:rPr>
      </w:pPr>
      <w:r w:rsidRPr="00337612">
        <w:rPr>
          <w:rStyle w:val="FootnoteReference"/>
        </w:rPr>
        <w:footnoteRef/>
      </w:r>
      <w:r w:rsidRPr="00337612">
        <w:t xml:space="preserve"> </w:t>
      </w:r>
      <w:r>
        <w:tab/>
      </w:r>
      <w:r>
        <w:rPr>
          <w:lang w:val="en-US"/>
        </w:rPr>
        <w:t>Petition §9</w:t>
      </w:r>
      <w:r w:rsidRPr="00337612">
        <w:rPr>
          <w:lang w:val="en-GB"/>
        </w:rPr>
        <w:t>.</w:t>
      </w:r>
    </w:p>
  </w:footnote>
  <w:footnote w:id="28">
    <w:p w14:paraId="36F469F7" w14:textId="4BE4FB9C" w:rsidR="00CE79A2" w:rsidRPr="00337612" w:rsidRDefault="00CE79A2" w:rsidP="00822125">
      <w:pPr>
        <w:pStyle w:val="FootnoteText"/>
        <w:rPr>
          <w:lang w:val="en-GB"/>
        </w:rPr>
      </w:pPr>
      <w:r w:rsidRPr="00337612">
        <w:rPr>
          <w:rStyle w:val="FootnoteReference"/>
        </w:rPr>
        <w:footnoteRef/>
      </w:r>
      <w:r w:rsidRPr="00337612">
        <w:t xml:space="preserve"> </w:t>
      </w:r>
      <w:r>
        <w:tab/>
      </w:r>
      <w:r>
        <w:rPr>
          <w:lang w:val="en-US"/>
        </w:rPr>
        <w:t>Petition §89</w:t>
      </w:r>
      <w:r w:rsidRPr="00337612">
        <w:rPr>
          <w:lang w:val="en-GB"/>
        </w:rPr>
        <w:t>.</w:t>
      </w:r>
    </w:p>
  </w:footnote>
  <w:footnote w:id="29">
    <w:p w14:paraId="48BF12B7" w14:textId="34176942" w:rsidR="00CE79A2" w:rsidRPr="00337612" w:rsidRDefault="00CE79A2" w:rsidP="00752F82">
      <w:pPr>
        <w:pStyle w:val="FootnoteText"/>
        <w:rPr>
          <w:lang w:val="en-GB"/>
        </w:rPr>
      </w:pPr>
      <w:r w:rsidRPr="00EE4BAB">
        <w:rPr>
          <w:rStyle w:val="FootnoteReference"/>
        </w:rPr>
        <w:footnoteRef/>
      </w:r>
      <w:r w:rsidRPr="00EE4BAB">
        <w:t xml:space="preserve"> </w:t>
      </w:r>
      <w:r>
        <w:tab/>
      </w:r>
      <w:r>
        <w:rPr>
          <w:lang w:val="en-US"/>
        </w:rPr>
        <w:t>Petition §42.</w:t>
      </w:r>
    </w:p>
  </w:footnote>
  <w:footnote w:id="30">
    <w:p w14:paraId="653DC108" w14:textId="35279696" w:rsidR="00CE79A2" w:rsidRPr="009B396A" w:rsidRDefault="00CE79A2" w:rsidP="009E2B80">
      <w:pPr>
        <w:pStyle w:val="FootnoteText"/>
        <w:ind w:left="0" w:firstLine="0"/>
        <w:rPr>
          <w:lang w:val="en-US"/>
        </w:rPr>
      </w:pPr>
    </w:p>
  </w:footnote>
  <w:footnote w:id="31">
    <w:p w14:paraId="38C40519" w14:textId="55BD75FF" w:rsidR="00CE79A2" w:rsidRPr="00337612" w:rsidRDefault="00CE79A2" w:rsidP="00B912DA">
      <w:pPr>
        <w:pStyle w:val="FootnoteText"/>
        <w:rPr>
          <w:lang w:val="en-GB"/>
        </w:rPr>
      </w:pPr>
      <w:r w:rsidRPr="00EE4BAB">
        <w:rPr>
          <w:rStyle w:val="FootnoteReference"/>
        </w:rPr>
        <w:footnoteRef/>
      </w:r>
      <w:r w:rsidRPr="00EE4BAB">
        <w:t xml:space="preserve"> </w:t>
      </w:r>
      <w:r>
        <w:tab/>
      </w:r>
      <w:r>
        <w:rPr>
          <w:lang w:val="en-US"/>
        </w:rPr>
        <w:t>Petition §44</w:t>
      </w:r>
      <w:r w:rsidRPr="00337612">
        <w:rPr>
          <w:lang w:val="en-GB"/>
        </w:rPr>
        <w:t>.</w:t>
      </w:r>
    </w:p>
  </w:footnote>
  <w:footnote w:id="32">
    <w:p w14:paraId="5FE5ECD5" w14:textId="577C00C5" w:rsidR="00CE79A2" w:rsidRPr="00337612" w:rsidRDefault="00CE79A2" w:rsidP="00D866E8">
      <w:pPr>
        <w:pStyle w:val="FootnoteText"/>
        <w:rPr>
          <w:lang w:val="en-GB"/>
        </w:rPr>
      </w:pPr>
      <w:r w:rsidRPr="00EE4BAB">
        <w:rPr>
          <w:rStyle w:val="FootnoteReference"/>
        </w:rPr>
        <w:footnoteRef/>
      </w:r>
      <w:r w:rsidRPr="00EE4BAB">
        <w:t xml:space="preserve"> </w:t>
      </w:r>
      <w:r>
        <w:tab/>
      </w:r>
      <w:r>
        <w:rPr>
          <w:lang w:val="en-US"/>
        </w:rPr>
        <w:t>Petition §41</w:t>
      </w:r>
      <w:r w:rsidRPr="00337612">
        <w:rPr>
          <w:lang w:val="en-GB"/>
        </w:rPr>
        <w:t xml:space="preserve">; </w:t>
      </w:r>
      <w:r w:rsidRPr="00F31B3A">
        <w:rPr>
          <w:lang w:val="en-GB"/>
        </w:rPr>
        <w:t>Ms Wang’s ROI</w:t>
      </w:r>
      <w:r w:rsidRPr="00FD1A44">
        <w:rPr>
          <w:bCs/>
          <w:lang w:val="en-GB"/>
        </w:rPr>
        <w:t>.</w:t>
      </w:r>
    </w:p>
  </w:footnote>
  <w:footnote w:id="33">
    <w:p w14:paraId="633BEB1C" w14:textId="131DAEC6" w:rsidR="00CE79A2" w:rsidRPr="00337612" w:rsidRDefault="00CE79A2" w:rsidP="00FE5E09">
      <w:pPr>
        <w:pStyle w:val="FootnoteText"/>
        <w:rPr>
          <w:lang w:val="en-GB"/>
        </w:rPr>
      </w:pPr>
      <w:r w:rsidRPr="00EE4BAB">
        <w:rPr>
          <w:rStyle w:val="FootnoteReference"/>
        </w:rPr>
        <w:footnoteRef/>
      </w:r>
      <w:r w:rsidRPr="00EE4BAB">
        <w:t xml:space="preserve"> </w:t>
      </w:r>
      <w:r>
        <w:tab/>
      </w:r>
      <w:r>
        <w:rPr>
          <w:lang w:val="en-US"/>
        </w:rPr>
        <w:t>Petition §§50-58</w:t>
      </w:r>
      <w:r>
        <w:rPr>
          <w:lang w:val="en-GB"/>
        </w:rPr>
        <w:t>; Cheng 1</w:t>
      </w:r>
      <w:r w:rsidRPr="007E0DB7">
        <w:rPr>
          <w:vertAlign w:val="superscript"/>
          <w:lang w:val="en-GB"/>
        </w:rPr>
        <w:t>st</w:t>
      </w:r>
      <w:r>
        <w:rPr>
          <w:lang w:val="en-GB"/>
        </w:rPr>
        <w:t xml:space="preserve"> §§41-44; Ms Huang’s ROI</w:t>
      </w:r>
      <w:r w:rsidRPr="007769EA">
        <w:rPr>
          <w:lang w:val="en-GB"/>
        </w:rPr>
        <w:t xml:space="preserve">; </w:t>
      </w:r>
      <w:r>
        <w:rPr>
          <w:lang w:val="en-GB"/>
        </w:rPr>
        <w:t>Ms Dong’s ROI</w:t>
      </w:r>
      <w:r>
        <w:rPr>
          <w:bCs/>
          <w:lang w:val="en-GB"/>
        </w:rPr>
        <w:t>; Mr Li’s ROI; Ms He’s ROI</w:t>
      </w:r>
      <w:r>
        <w:rPr>
          <w:b/>
          <w:bCs/>
          <w:lang w:val="en-GB"/>
        </w:rPr>
        <w:t xml:space="preserve">; </w:t>
      </w:r>
      <w:r w:rsidRPr="00A667FC">
        <w:rPr>
          <w:lang w:val="en-GB"/>
        </w:rPr>
        <w:t>Ms Wang’s ROI</w:t>
      </w:r>
      <w:r w:rsidRPr="007769EA">
        <w:rPr>
          <w:lang w:val="en-GB"/>
        </w:rPr>
        <w:t xml:space="preserve">; </w:t>
      </w:r>
      <w:r>
        <w:rPr>
          <w:lang w:val="en-GB"/>
        </w:rPr>
        <w:t>Ms Su’s ROI</w:t>
      </w:r>
      <w:r w:rsidRPr="007769EA">
        <w:rPr>
          <w:lang w:val="en-GB"/>
        </w:rPr>
        <w:t xml:space="preserve">; </w:t>
      </w:r>
      <w:r>
        <w:rPr>
          <w:lang w:val="en-GB"/>
        </w:rPr>
        <w:t>Ms Fang’s ROI</w:t>
      </w:r>
      <w:r w:rsidRPr="007769EA">
        <w:rPr>
          <w:lang w:val="en-GB"/>
        </w:rPr>
        <w:t xml:space="preserve">; </w:t>
      </w:r>
      <w:r>
        <w:rPr>
          <w:lang w:val="en-GB"/>
        </w:rPr>
        <w:t>Ms Yu’s ROI</w:t>
      </w:r>
      <w:r>
        <w:rPr>
          <w:bCs/>
          <w:lang w:val="en-GB"/>
        </w:rPr>
        <w:t xml:space="preserve">; </w:t>
      </w:r>
      <w:r w:rsidRPr="00116E3C">
        <w:rPr>
          <w:bCs/>
        </w:rPr>
        <w:t>RSM Report §24</w:t>
      </w:r>
      <w:r w:rsidR="00FD1A44">
        <w:rPr>
          <w:bCs/>
        </w:rPr>
        <w:t>.</w:t>
      </w:r>
    </w:p>
  </w:footnote>
  <w:footnote w:id="34">
    <w:p w14:paraId="402A94D5" w14:textId="41C43C2D" w:rsidR="00CE79A2" w:rsidRPr="00337612" w:rsidRDefault="00CE79A2" w:rsidP="004703DA">
      <w:pPr>
        <w:pStyle w:val="FootnoteText"/>
        <w:rPr>
          <w:lang w:val="en-GB"/>
        </w:rPr>
      </w:pPr>
      <w:r w:rsidRPr="00EE4BAB">
        <w:rPr>
          <w:rStyle w:val="FootnoteReference"/>
        </w:rPr>
        <w:footnoteRef/>
      </w:r>
      <w:r w:rsidRPr="00EE4BAB">
        <w:t xml:space="preserve"> </w:t>
      </w:r>
      <w:r>
        <w:tab/>
      </w:r>
      <w:r>
        <w:rPr>
          <w:lang w:val="en-US"/>
        </w:rPr>
        <w:t>Petition §53</w:t>
      </w:r>
      <w:r w:rsidRPr="00337612">
        <w:rPr>
          <w:lang w:val="en-GB"/>
        </w:rPr>
        <w:t>.</w:t>
      </w:r>
    </w:p>
  </w:footnote>
  <w:footnote w:id="35">
    <w:p w14:paraId="3C9C7596" w14:textId="047EC815" w:rsidR="00CE79A2" w:rsidRPr="00337612" w:rsidRDefault="00CE79A2" w:rsidP="004703DA">
      <w:pPr>
        <w:pStyle w:val="FootnoteText"/>
        <w:rPr>
          <w:lang w:val="en-GB"/>
        </w:rPr>
      </w:pPr>
      <w:r w:rsidRPr="00EE4BAB">
        <w:rPr>
          <w:rStyle w:val="FootnoteReference"/>
        </w:rPr>
        <w:footnoteRef/>
      </w:r>
      <w:r w:rsidRPr="00EE4BAB">
        <w:t xml:space="preserve"> </w:t>
      </w:r>
      <w:r>
        <w:tab/>
      </w:r>
      <w:r>
        <w:rPr>
          <w:lang w:val="en-US"/>
        </w:rPr>
        <w:t>Petition §§55-58</w:t>
      </w:r>
      <w:r w:rsidRPr="00337612">
        <w:rPr>
          <w:lang w:val="en-GB"/>
        </w:rPr>
        <w:t>.</w:t>
      </w:r>
    </w:p>
  </w:footnote>
  <w:footnote w:id="36">
    <w:p w14:paraId="5957DCE6" w14:textId="5E7CED59" w:rsidR="00CE79A2" w:rsidRPr="00337612" w:rsidRDefault="00CE79A2" w:rsidP="004703DA">
      <w:pPr>
        <w:pStyle w:val="FootnoteText"/>
        <w:rPr>
          <w:lang w:val="en-GB"/>
        </w:rPr>
      </w:pPr>
      <w:r w:rsidRPr="00EE4BAB">
        <w:rPr>
          <w:rStyle w:val="FootnoteReference"/>
        </w:rPr>
        <w:footnoteRef/>
      </w:r>
      <w:r w:rsidRPr="00EE4BAB">
        <w:t xml:space="preserve"> </w:t>
      </w:r>
      <w:r>
        <w:tab/>
      </w:r>
      <w:r>
        <w:rPr>
          <w:lang w:val="en-US"/>
        </w:rPr>
        <w:t>Petition §56</w:t>
      </w:r>
      <w:r w:rsidRPr="00337612">
        <w:rPr>
          <w:lang w:val="en-GB"/>
        </w:rPr>
        <w:t>.</w:t>
      </w:r>
    </w:p>
  </w:footnote>
  <w:footnote w:id="37">
    <w:p w14:paraId="33951A4D" w14:textId="20469297" w:rsidR="00CE79A2" w:rsidRPr="00BA5ED7" w:rsidRDefault="00CE79A2">
      <w:pPr>
        <w:pStyle w:val="FootnoteText"/>
        <w:rPr>
          <w:lang w:val="en-US"/>
        </w:rPr>
      </w:pPr>
      <w:r>
        <w:rPr>
          <w:rStyle w:val="FootnoteReference"/>
        </w:rPr>
        <w:footnoteRef/>
      </w:r>
      <w:r>
        <w:t xml:space="preserve"> </w:t>
      </w:r>
      <w:r>
        <w:tab/>
      </w:r>
      <w:proofErr w:type="spellStart"/>
      <w:r>
        <w:rPr>
          <w:lang w:val="en-US"/>
        </w:rPr>
        <w:t>Mr</w:t>
      </w:r>
      <w:proofErr w:type="spellEnd"/>
      <w:r>
        <w:rPr>
          <w:lang w:val="en-US"/>
        </w:rPr>
        <w:t xml:space="preserve"> Wen’s ROI Q7</w:t>
      </w:r>
      <w:r w:rsidR="00FD1A44">
        <w:rPr>
          <w:lang w:val="en-US"/>
        </w:rPr>
        <w:t>.</w:t>
      </w:r>
    </w:p>
  </w:footnote>
  <w:footnote w:id="38">
    <w:p w14:paraId="4EA9C148" w14:textId="66092023" w:rsidR="00CE79A2" w:rsidRPr="00BA5ED7" w:rsidRDefault="00CE79A2" w:rsidP="00CB0323">
      <w:pPr>
        <w:pStyle w:val="FootnoteText"/>
        <w:rPr>
          <w:lang w:val="en-US"/>
        </w:rPr>
      </w:pPr>
      <w:r>
        <w:rPr>
          <w:rStyle w:val="FootnoteReference"/>
        </w:rPr>
        <w:footnoteRef/>
      </w:r>
      <w:r>
        <w:t xml:space="preserve"> </w:t>
      </w:r>
      <w:r>
        <w:tab/>
      </w:r>
      <w:proofErr w:type="spellStart"/>
      <w:r>
        <w:rPr>
          <w:lang w:val="en-US"/>
        </w:rPr>
        <w:t>Mr</w:t>
      </w:r>
      <w:proofErr w:type="spellEnd"/>
      <w:r>
        <w:rPr>
          <w:lang w:val="en-US"/>
        </w:rPr>
        <w:t xml:space="preserve"> Wen’s ROI Q8</w:t>
      </w:r>
      <w:r w:rsidR="00FD1A44">
        <w:rPr>
          <w:lang w:val="en-US"/>
        </w:rPr>
        <w:t>.</w:t>
      </w:r>
    </w:p>
  </w:footnote>
  <w:footnote w:id="39">
    <w:p w14:paraId="2E21EA34" w14:textId="210C7FF3" w:rsidR="00CE79A2" w:rsidRPr="007769EA" w:rsidRDefault="00CE79A2" w:rsidP="00CE5488">
      <w:pPr>
        <w:pStyle w:val="FootnoteText"/>
        <w:rPr>
          <w:lang w:val="en-GB"/>
        </w:rPr>
      </w:pPr>
      <w:r w:rsidRPr="007769EA">
        <w:rPr>
          <w:rStyle w:val="FootnoteReference"/>
        </w:rPr>
        <w:footnoteRef/>
      </w:r>
      <w:r w:rsidRPr="007769EA">
        <w:t xml:space="preserve"> </w:t>
      </w:r>
      <w:r>
        <w:tab/>
      </w:r>
      <w:r>
        <w:rPr>
          <w:lang w:val="en-GB"/>
        </w:rPr>
        <w:t>PKF report §3.3.14</w:t>
      </w:r>
      <w:r w:rsidRPr="007769EA">
        <w:rPr>
          <w:lang w:val="en-GB"/>
        </w:rPr>
        <w:t xml:space="preserve">; </w:t>
      </w:r>
      <w:r>
        <w:rPr>
          <w:lang w:val="en-GB"/>
        </w:rPr>
        <w:t xml:space="preserve">admitted by Mr Wen </w:t>
      </w:r>
      <w:r w:rsidRPr="007769EA">
        <w:rPr>
          <w:lang w:val="en-GB"/>
        </w:rPr>
        <w:t>[Day 2 (am), XX].</w:t>
      </w:r>
    </w:p>
  </w:footnote>
  <w:footnote w:id="40">
    <w:p w14:paraId="3F5D3BE7" w14:textId="43656830" w:rsidR="00CE79A2" w:rsidRPr="007769EA" w:rsidRDefault="00CE79A2" w:rsidP="00072795">
      <w:pPr>
        <w:pStyle w:val="FootnoteText"/>
        <w:rPr>
          <w:lang w:val="en-GB"/>
        </w:rPr>
      </w:pPr>
      <w:r w:rsidRPr="007769EA">
        <w:rPr>
          <w:rStyle w:val="FootnoteReference"/>
        </w:rPr>
        <w:footnoteRef/>
      </w:r>
      <w:r w:rsidRPr="007769EA">
        <w:t xml:space="preserve"> </w:t>
      </w:r>
      <w:r>
        <w:tab/>
      </w:r>
      <w:proofErr w:type="spellStart"/>
      <w:r>
        <w:rPr>
          <w:lang w:val="en-US"/>
        </w:rPr>
        <w:t>Mr</w:t>
      </w:r>
      <w:proofErr w:type="spellEnd"/>
      <w:r>
        <w:rPr>
          <w:lang w:val="en-US"/>
        </w:rPr>
        <w:t xml:space="preserve"> Yu’s ROI</w:t>
      </w:r>
      <w:r>
        <w:rPr>
          <w:lang w:val="en-GB"/>
        </w:rPr>
        <w:t xml:space="preserve">.  Mr Wen initially admitted this, but </w:t>
      </w:r>
      <w:r>
        <w:rPr>
          <w:bCs/>
        </w:rPr>
        <w:t xml:space="preserve">later retracted and said </w:t>
      </w:r>
      <w:r>
        <w:rPr>
          <w:bCs/>
          <w:lang w:val="en-US"/>
        </w:rPr>
        <w:t>R4</w:t>
      </w:r>
      <w:r>
        <w:rPr>
          <w:bCs/>
        </w:rPr>
        <w:t xml:space="preserve"> only went to Saudi Arabia when problems arose [Day 2 (am), XX]</w:t>
      </w:r>
      <w:r w:rsidRPr="007769EA">
        <w:t>.</w:t>
      </w:r>
    </w:p>
  </w:footnote>
  <w:footnote w:id="41">
    <w:p w14:paraId="18C6AD81" w14:textId="418E1336" w:rsidR="00CE79A2" w:rsidRPr="007769EA" w:rsidRDefault="00CE79A2" w:rsidP="00EF786A">
      <w:pPr>
        <w:pStyle w:val="FootnoteText"/>
        <w:rPr>
          <w:lang w:val="en-GB"/>
        </w:rPr>
      </w:pPr>
      <w:r w:rsidRPr="007769EA">
        <w:rPr>
          <w:rStyle w:val="FootnoteReference"/>
        </w:rPr>
        <w:footnoteRef/>
      </w:r>
      <w:r w:rsidRPr="007769EA">
        <w:t xml:space="preserve"> </w:t>
      </w:r>
      <w:r>
        <w:tab/>
      </w:r>
      <w:proofErr w:type="spellStart"/>
      <w:r>
        <w:rPr>
          <w:lang w:val="en-US"/>
        </w:rPr>
        <w:t>Mr</w:t>
      </w:r>
      <w:proofErr w:type="spellEnd"/>
      <w:r>
        <w:rPr>
          <w:lang w:val="en-US"/>
        </w:rPr>
        <w:t xml:space="preserve"> Yu’s ROI </w:t>
      </w:r>
      <w:r>
        <w:rPr>
          <w:bCs/>
          <w:lang w:val="en-GB"/>
        </w:rPr>
        <w:t>Q</w:t>
      </w:r>
      <w:r w:rsidRPr="00486E85">
        <w:rPr>
          <w:bCs/>
          <w:lang w:val="en-GB"/>
        </w:rPr>
        <w:t>300-301, 331-340</w:t>
      </w:r>
      <w:r>
        <w:rPr>
          <w:lang w:val="en-GB"/>
        </w:rPr>
        <w:t xml:space="preserve">.  Mr Wen initially conceded that he had called R5 to inquire into the Group’s financials [Day </w:t>
      </w:r>
      <w:r w:rsidRPr="007769EA">
        <w:rPr>
          <w:lang w:val="en-GB"/>
        </w:rPr>
        <w:t>2 (am), XX of Mr Wen</w:t>
      </w:r>
      <w:r>
        <w:rPr>
          <w:lang w:val="en-GB"/>
        </w:rPr>
        <w:t>], but he later retracted and said he never had and did not call R5’s mobile [</w:t>
      </w:r>
      <w:r w:rsidRPr="007769EA">
        <w:rPr>
          <w:lang w:val="en-GB"/>
        </w:rPr>
        <w:t xml:space="preserve">Day </w:t>
      </w:r>
      <w:r>
        <w:rPr>
          <w:lang w:val="en-GB"/>
        </w:rPr>
        <w:t>3</w:t>
      </w:r>
      <w:r w:rsidRPr="007769EA">
        <w:rPr>
          <w:lang w:val="en-GB"/>
        </w:rPr>
        <w:t xml:space="preserve"> (am), XX of Mr Wen</w:t>
      </w:r>
      <w:r>
        <w:rPr>
          <w:lang w:val="en-GB"/>
        </w:rPr>
        <w:t>].</w:t>
      </w:r>
    </w:p>
  </w:footnote>
  <w:footnote w:id="42">
    <w:p w14:paraId="32F422CD" w14:textId="5C4E7799" w:rsidR="00CE79A2" w:rsidRDefault="00CE79A2" w:rsidP="005455EF">
      <w:pPr>
        <w:pStyle w:val="FootnoteText"/>
      </w:pPr>
      <w:r>
        <w:rPr>
          <w:rStyle w:val="FootnoteReference"/>
        </w:rPr>
        <w:footnoteRef/>
      </w:r>
      <w:r>
        <w:t xml:space="preserve"> </w:t>
      </w:r>
      <w:r>
        <w:tab/>
      </w:r>
      <w:r>
        <w:t>The relevant finance staff include (</w:t>
      </w:r>
      <w:proofErr w:type="spellStart"/>
      <w:r>
        <w:t>i</w:t>
      </w:r>
      <w:proofErr w:type="spellEnd"/>
      <w:r>
        <w:t xml:space="preserve">) Si </w:t>
      </w:r>
      <w:proofErr w:type="spellStart"/>
      <w:r>
        <w:t>Zhi</w:t>
      </w:r>
      <w:proofErr w:type="spellEnd"/>
      <w:r>
        <w:t xml:space="preserve"> </w:t>
      </w:r>
      <w:proofErr w:type="spellStart"/>
      <w:r>
        <w:t>Qiang</w:t>
      </w:r>
      <w:proofErr w:type="spellEnd"/>
      <w:r>
        <w:t xml:space="preserve"> (</w:t>
      </w:r>
      <w:proofErr w:type="spellStart"/>
      <w:r>
        <w:rPr>
          <w:rFonts w:hint="eastAsia"/>
        </w:rPr>
        <w:t>司志強</w:t>
      </w:r>
      <w:proofErr w:type="spellEnd"/>
      <w:r>
        <w:t xml:space="preserve">), who took part in the bank visit with Deloitte on 10 March 2015 and left employment on 25 July 2015; (ii) Zhang </w:t>
      </w:r>
      <w:proofErr w:type="spellStart"/>
      <w:r>
        <w:t>Xue</w:t>
      </w:r>
      <w:proofErr w:type="spellEnd"/>
      <w:r>
        <w:t xml:space="preserve"> (</w:t>
      </w:r>
      <w:proofErr w:type="spellStart"/>
      <w:r>
        <w:rPr>
          <w:rFonts w:hint="eastAsia"/>
        </w:rPr>
        <w:t>張雪</w:t>
      </w:r>
      <w:proofErr w:type="spellEnd"/>
      <w:r>
        <w:t xml:space="preserve">), who left employment on 25 September 2016; and (iii) Zhang </w:t>
      </w:r>
      <w:proofErr w:type="spellStart"/>
      <w:r>
        <w:t>Yijie</w:t>
      </w:r>
      <w:proofErr w:type="spellEnd"/>
      <w:r>
        <w:t xml:space="preserve"> (</w:t>
      </w:r>
      <w:proofErr w:type="spellStart"/>
      <w:r>
        <w:rPr>
          <w:rFonts w:hint="eastAsia"/>
        </w:rPr>
        <w:t>張宜潔</w:t>
      </w:r>
      <w:proofErr w:type="spellEnd"/>
      <w:r>
        <w:t>), who left employment on 17 February 2016.</w:t>
      </w:r>
    </w:p>
  </w:footnote>
  <w:footnote w:id="43">
    <w:p w14:paraId="3AC4DB89" w14:textId="6670C154" w:rsidR="00CE79A2" w:rsidRPr="007769EA" w:rsidRDefault="00CE79A2" w:rsidP="00CD6EAD">
      <w:pPr>
        <w:pStyle w:val="FootnoteText"/>
        <w:rPr>
          <w:lang w:val="en-GB"/>
        </w:rPr>
      </w:pPr>
      <w:r w:rsidRPr="007769EA">
        <w:rPr>
          <w:rStyle w:val="FootnoteReference"/>
        </w:rPr>
        <w:footnoteRef/>
      </w:r>
      <w:r w:rsidRPr="007769EA">
        <w:t xml:space="preserve"> </w:t>
      </w:r>
      <w:r>
        <w:rPr>
          <w:lang w:val="en-US"/>
        </w:rPr>
        <w:t xml:space="preserve"> </w:t>
      </w:r>
      <w:r>
        <w:rPr>
          <w:lang w:val="en-US"/>
        </w:rPr>
        <w:tab/>
      </w:r>
      <w:proofErr w:type="spellStart"/>
      <w:r w:rsidRPr="007769EA">
        <w:rPr>
          <w:lang w:val="en-GB"/>
        </w:rPr>
        <w:t>Gaowen</w:t>
      </w:r>
      <w:proofErr w:type="spellEnd"/>
      <w:r>
        <w:rPr>
          <w:lang w:val="en-GB"/>
        </w:rPr>
        <w:t xml:space="preserve"> Law Firm</w:t>
      </w:r>
      <w:r w:rsidRPr="007769EA">
        <w:rPr>
          <w:lang w:val="en-GB"/>
        </w:rPr>
        <w:t>’s report dated 25 December 2017</w:t>
      </w:r>
      <w:r w:rsidRPr="007769EA">
        <w:rPr>
          <w:color w:val="000000" w:themeColor="text1"/>
        </w:rPr>
        <w:t xml:space="preserve">, </w:t>
      </w:r>
      <w:proofErr w:type="spellStart"/>
      <w:r>
        <w:rPr>
          <w:color w:val="000000" w:themeColor="text1"/>
        </w:rPr>
        <w:t>Mr</w:t>
      </w:r>
      <w:proofErr w:type="spellEnd"/>
      <w:r>
        <w:rPr>
          <w:color w:val="000000" w:themeColor="text1"/>
        </w:rPr>
        <w:t xml:space="preserve"> Wen accepted that they were engaged in or around December 2017, </w:t>
      </w:r>
      <w:r>
        <w:rPr>
          <w:color w:val="000000" w:themeColor="text1"/>
          <w:lang w:val="en-US"/>
        </w:rPr>
        <w:t>they</w:t>
      </w:r>
      <w:r w:rsidRPr="00E92552">
        <w:rPr>
          <w:color w:val="000000" w:themeColor="text1"/>
        </w:rPr>
        <w:t xml:space="preserve"> only tried to contact previous finance staff on 19 December 2017</w:t>
      </w:r>
      <w:r>
        <w:rPr>
          <w:color w:val="000000" w:themeColor="text1"/>
        </w:rPr>
        <w:t xml:space="preserve">, and </w:t>
      </w:r>
      <w:r w:rsidRPr="00E92552">
        <w:rPr>
          <w:color w:val="000000" w:themeColor="text1"/>
        </w:rPr>
        <w:t>tried to contact the banks on the same day</w:t>
      </w:r>
      <w:r>
        <w:rPr>
          <w:color w:val="000000" w:themeColor="text1"/>
        </w:rPr>
        <w:t xml:space="preserve">.   </w:t>
      </w:r>
    </w:p>
  </w:footnote>
  <w:footnote w:id="44">
    <w:p w14:paraId="76663D95" w14:textId="061C50B3" w:rsidR="00CE79A2" w:rsidRPr="007769EA" w:rsidRDefault="00CE79A2" w:rsidP="00F279FB">
      <w:pPr>
        <w:pStyle w:val="FootnoteText"/>
        <w:rPr>
          <w:lang w:val="en-GB"/>
        </w:rPr>
      </w:pPr>
      <w:r w:rsidRPr="007769EA">
        <w:rPr>
          <w:rStyle w:val="FootnoteReference"/>
        </w:rPr>
        <w:footnoteRef/>
      </w:r>
      <w:r w:rsidRPr="007769EA">
        <w:t xml:space="preserve"> </w:t>
      </w:r>
      <w:r>
        <w:rPr>
          <w:lang w:val="en-US"/>
        </w:rPr>
        <w:t xml:space="preserve"> </w:t>
      </w:r>
      <w:r>
        <w:rPr>
          <w:lang w:val="en-US"/>
        </w:rPr>
        <w:tab/>
      </w:r>
      <w:r>
        <w:rPr>
          <w:color w:val="000000" w:themeColor="text1"/>
        </w:rPr>
        <w:t>PKF was purportedly engaged in January 2017</w:t>
      </w:r>
      <w:r>
        <w:rPr>
          <w:color w:val="000000" w:themeColor="text1"/>
          <w:lang w:val="en-US"/>
        </w:rPr>
        <w:t xml:space="preserve">, but its report was dated </w:t>
      </w:r>
      <w:r w:rsidRPr="007769EA">
        <w:rPr>
          <w:color w:val="000000" w:themeColor="text1"/>
        </w:rPr>
        <w:t>8 January 2018</w:t>
      </w:r>
      <w:r>
        <w:rPr>
          <w:color w:val="000000" w:themeColor="text1"/>
          <w:lang w:val="en-US"/>
        </w:rPr>
        <w:t xml:space="preserve">. </w:t>
      </w:r>
      <w:r>
        <w:rPr>
          <w:color w:val="000000" w:themeColor="text1"/>
        </w:rPr>
        <w:t xml:space="preserve"> </w:t>
      </w:r>
      <w:r w:rsidRPr="00E92552">
        <w:rPr>
          <w:color w:val="000000" w:themeColor="text1"/>
        </w:rPr>
        <w:t>PKF</w:t>
      </w:r>
      <w:r>
        <w:rPr>
          <w:color w:val="000000" w:themeColor="text1"/>
          <w:lang w:val="en-US"/>
        </w:rPr>
        <w:t>’s</w:t>
      </w:r>
      <w:r w:rsidRPr="00E92552">
        <w:rPr>
          <w:color w:val="000000" w:themeColor="text1"/>
        </w:rPr>
        <w:t xml:space="preserve"> </w:t>
      </w:r>
      <w:r>
        <w:rPr>
          <w:color w:val="000000" w:themeColor="text1"/>
          <w:lang w:val="en-US"/>
        </w:rPr>
        <w:t>r</w:t>
      </w:r>
      <w:proofErr w:type="spellStart"/>
      <w:r w:rsidRPr="00E92552">
        <w:rPr>
          <w:color w:val="000000" w:themeColor="text1"/>
        </w:rPr>
        <w:t>eport</w:t>
      </w:r>
      <w:proofErr w:type="spellEnd"/>
      <w:r w:rsidRPr="00E92552">
        <w:rPr>
          <w:color w:val="000000" w:themeColor="text1"/>
        </w:rPr>
        <w:t xml:space="preserve"> was compiled based on information provided by </w:t>
      </w:r>
      <w:r>
        <w:rPr>
          <w:color w:val="000000" w:themeColor="text1"/>
        </w:rPr>
        <w:t>the G</w:t>
      </w:r>
      <w:r w:rsidRPr="00E92552">
        <w:rPr>
          <w:color w:val="000000" w:themeColor="text1"/>
        </w:rPr>
        <w:t>roup only</w:t>
      </w:r>
      <w:r>
        <w:rPr>
          <w:color w:val="000000" w:themeColor="text1"/>
        </w:rPr>
        <w:t xml:space="preserve"> and they</w:t>
      </w:r>
      <w:r w:rsidRPr="00E26349">
        <w:rPr>
          <w:color w:val="000000" w:themeColor="text1"/>
        </w:rPr>
        <w:t xml:space="preserve"> could not obtain </w:t>
      </w:r>
      <w:r w:rsidRPr="00903C76">
        <w:rPr>
          <w:i/>
          <w:color w:val="000000" w:themeColor="text1"/>
        </w:rPr>
        <w:t>any</w:t>
      </w:r>
      <w:r>
        <w:rPr>
          <w:color w:val="000000" w:themeColor="text1"/>
        </w:rPr>
        <w:t xml:space="preserve"> information </w:t>
      </w:r>
      <w:r w:rsidRPr="007009EB">
        <w:rPr>
          <w:color w:val="000000" w:themeColor="text1"/>
        </w:rPr>
        <w:t>in respect of the bank balances discrepancies</w:t>
      </w:r>
      <w:r>
        <w:rPr>
          <w:color w:val="000000" w:themeColor="text1"/>
        </w:rPr>
        <w:t xml:space="preserve">.  </w:t>
      </w:r>
    </w:p>
  </w:footnote>
  <w:footnote w:id="45">
    <w:p w14:paraId="0A62CE33" w14:textId="0475459C" w:rsidR="00CE79A2" w:rsidRPr="00E03415" w:rsidRDefault="00CE79A2">
      <w:pPr>
        <w:pStyle w:val="FootnoteText"/>
        <w:rPr>
          <w:lang w:val="en-US"/>
        </w:rPr>
      </w:pPr>
      <w:r>
        <w:rPr>
          <w:rStyle w:val="FootnoteReference"/>
        </w:rPr>
        <w:footnoteRef/>
      </w:r>
      <w:r>
        <w:t xml:space="preserve"> </w:t>
      </w:r>
      <w:r>
        <w:rPr>
          <w:lang w:val="en-US"/>
        </w:rPr>
        <w:tab/>
        <w:t xml:space="preserve">Petition §§84-88. </w:t>
      </w:r>
    </w:p>
  </w:footnote>
  <w:footnote w:id="46">
    <w:p w14:paraId="3F64E62A" w14:textId="7E31C149" w:rsidR="00CE79A2" w:rsidRPr="00337612" w:rsidRDefault="00CE79A2" w:rsidP="00451BD0">
      <w:pPr>
        <w:pStyle w:val="FootnoteText"/>
        <w:rPr>
          <w:lang w:val="en-GB"/>
        </w:rPr>
      </w:pPr>
      <w:r w:rsidRPr="00EE4BAB">
        <w:rPr>
          <w:rStyle w:val="FootnoteReference"/>
        </w:rPr>
        <w:footnoteRef/>
      </w:r>
      <w:r w:rsidRPr="00EE4BAB">
        <w:t xml:space="preserve"> </w:t>
      </w:r>
      <w:r>
        <w:rPr>
          <w:lang w:val="en-US"/>
        </w:rPr>
        <w:t xml:space="preserve"> </w:t>
      </w:r>
      <w:r>
        <w:rPr>
          <w:lang w:val="en-US"/>
        </w:rPr>
        <w:tab/>
      </w:r>
      <w:r>
        <w:rPr>
          <w:lang w:val="en-GB"/>
        </w:rPr>
        <w:t>Petition</w:t>
      </w:r>
      <w:r w:rsidRPr="00337612">
        <w:rPr>
          <w:lang w:val="en-GB"/>
        </w:rPr>
        <w:t xml:space="preserve"> </w:t>
      </w:r>
      <w:r>
        <w:rPr>
          <w:lang w:val="en-GB"/>
        </w:rPr>
        <w:t>§§60-61</w:t>
      </w:r>
      <w:r w:rsidRPr="00337612">
        <w:rPr>
          <w:lang w:val="en-GB"/>
        </w:rPr>
        <w:t>.</w:t>
      </w:r>
    </w:p>
  </w:footnote>
  <w:footnote w:id="47">
    <w:p w14:paraId="19830096" w14:textId="6C0AE56D" w:rsidR="00CE79A2" w:rsidRPr="00950E80" w:rsidRDefault="00CE79A2">
      <w:pPr>
        <w:pStyle w:val="FootnoteText"/>
        <w:rPr>
          <w:lang w:val="en-US"/>
        </w:rPr>
      </w:pPr>
      <w:r>
        <w:rPr>
          <w:rStyle w:val="FootnoteReference"/>
        </w:rPr>
        <w:footnoteRef/>
      </w:r>
      <w:r>
        <w:t xml:space="preserve"> </w:t>
      </w:r>
      <w:r>
        <w:tab/>
      </w:r>
      <w:r>
        <w:rPr>
          <w:lang w:val="en-US"/>
        </w:rPr>
        <w:t xml:space="preserve">For which the Company and each of the director gave an undertaking to the SEHK to comply with. </w:t>
      </w:r>
    </w:p>
  </w:footnote>
  <w:footnote w:id="48">
    <w:p w14:paraId="4D5B7DC2" w14:textId="65A33647" w:rsidR="00CE79A2" w:rsidRPr="00337612" w:rsidRDefault="00CE79A2" w:rsidP="008A798E">
      <w:pPr>
        <w:pStyle w:val="FootnoteText"/>
        <w:rPr>
          <w:lang w:val="en-GB"/>
        </w:rPr>
      </w:pPr>
      <w:r w:rsidRPr="00EE4BAB">
        <w:rPr>
          <w:rStyle w:val="FootnoteReference"/>
        </w:rPr>
        <w:footnoteRef/>
      </w:r>
      <w:r w:rsidRPr="00EE4BAB">
        <w:t xml:space="preserve"> </w:t>
      </w:r>
      <w:r>
        <w:tab/>
      </w:r>
      <w:r>
        <w:rPr>
          <w:lang w:val="en-US"/>
        </w:rPr>
        <w:t>Petition §§77, 78(3)</w:t>
      </w:r>
      <w:r w:rsidRPr="00337612">
        <w:rPr>
          <w:lang w:val="en-GB"/>
        </w:rPr>
        <w:t>.</w:t>
      </w:r>
    </w:p>
  </w:footnote>
  <w:footnote w:id="49">
    <w:p w14:paraId="1BCB0175" w14:textId="0EED6517" w:rsidR="00CE79A2" w:rsidRPr="007769EA" w:rsidRDefault="00CE79A2" w:rsidP="00B849FB">
      <w:pPr>
        <w:pStyle w:val="FootnoteText"/>
        <w:rPr>
          <w:lang w:val="en-GB"/>
        </w:rPr>
      </w:pPr>
      <w:r w:rsidRPr="007769EA">
        <w:rPr>
          <w:rStyle w:val="FootnoteReference"/>
        </w:rPr>
        <w:footnoteRef/>
      </w:r>
      <w:r w:rsidRPr="007769EA">
        <w:t xml:space="preserve"> </w:t>
      </w:r>
      <w:r>
        <w:rPr>
          <w:lang w:val="en-US"/>
        </w:rPr>
        <w:t xml:space="preserve"> </w:t>
      </w:r>
      <w:r>
        <w:rPr>
          <w:lang w:val="en-US"/>
        </w:rPr>
        <w:tab/>
      </w:r>
      <w:r w:rsidRPr="007769EA">
        <w:rPr>
          <w:lang w:val="en-GB"/>
        </w:rPr>
        <w:t xml:space="preserve">RSM’s report dated 20 November 2015 </w:t>
      </w:r>
      <w:r w:rsidRPr="007769EA">
        <w:rPr>
          <w:color w:val="000000" w:themeColor="text1"/>
        </w:rPr>
        <w:t xml:space="preserve">and the announcements </w:t>
      </w:r>
      <w:r>
        <w:rPr>
          <w:color w:val="000000" w:themeColor="text1"/>
        </w:rPr>
        <w:t xml:space="preserve">dated 31 August 2015 and 18 December 2015.  </w:t>
      </w:r>
      <w:r w:rsidRPr="007769EA">
        <w:rPr>
          <w:color w:val="000000" w:themeColor="text1"/>
        </w:rPr>
        <w:t>PKF’s report dated 9 June 2015 and the announcement dated 23 June 2015.</w:t>
      </w:r>
    </w:p>
  </w:footnote>
  <w:footnote w:id="50">
    <w:p w14:paraId="75098A48" w14:textId="7DD67B72" w:rsidR="00CE79A2" w:rsidRPr="00ED766A" w:rsidRDefault="00CE79A2" w:rsidP="00B231A7">
      <w:pPr>
        <w:pStyle w:val="FootnoteText"/>
        <w:rPr>
          <w:lang w:val="en-US"/>
        </w:rPr>
      </w:pPr>
      <w:r>
        <w:rPr>
          <w:rStyle w:val="FootnoteReference"/>
        </w:rPr>
        <w:footnoteRef/>
      </w:r>
      <w:r>
        <w:t xml:space="preserve"> </w:t>
      </w:r>
      <w:r>
        <w:rPr>
          <w:lang w:val="en-US"/>
        </w:rPr>
        <w:tab/>
        <w:t>Opening §§16, 18 &amp;19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09C19" w14:textId="21640762" w:rsidR="00CE79A2" w:rsidRDefault="00CE79A2" w:rsidP="00B6248A">
    <w:pPr>
      <w:pStyle w:val="Header"/>
      <w:tabs>
        <w:tab w:val="clear" w:pos="4153"/>
        <w:tab w:val="clear" w:pos="4320"/>
        <w:tab w:val="clear" w:pos="8306"/>
        <w:tab w:val="clear" w:pos="9072"/>
      </w:tabs>
      <w:rPr>
        <w:sz w:val="28"/>
      </w:rPr>
    </w:pPr>
    <w:r w:rsidRPr="00EF42F1">
      <w:rPr>
        <w:noProof/>
        <w:sz w:val="28"/>
        <w:szCs w:val="28"/>
        <w:lang w:val="en-US" w:eastAsia="zh-CN"/>
      </w:rPr>
      <mc:AlternateContent>
        <mc:Choice Requires="wps">
          <w:drawing>
            <wp:anchor distT="0" distB="0" distL="114300" distR="114300" simplePos="0" relativeHeight="251658240" behindDoc="0" locked="0" layoutInCell="1" allowOverlap="1" wp14:anchorId="0C1FEAE4" wp14:editId="3F82EEEA">
              <wp:simplePos x="0" y="0"/>
              <wp:positionH relativeFrom="column">
                <wp:posOffset>5894070</wp:posOffset>
              </wp:positionH>
              <wp:positionV relativeFrom="paragraph">
                <wp:posOffset>-525780</wp:posOffset>
              </wp:positionV>
              <wp:extent cx="533400" cy="10407650"/>
              <wp:effectExtent l="0" t="0" r="190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40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AEB77" w14:textId="77777777" w:rsidR="00CE79A2" w:rsidRDefault="00CE79A2">
                          <w:pPr>
                            <w:snapToGrid/>
                            <w:spacing w:line="80" w:lineRule="exact"/>
                            <w:rPr>
                              <w:rFonts w:eastAsia="PMingLiU"/>
                              <w:b/>
                              <w:sz w:val="18"/>
                              <w:lang w:eastAsia="zh-TW"/>
                            </w:rPr>
                          </w:pPr>
                        </w:p>
                        <w:p w14:paraId="70A82106" w14:textId="77777777" w:rsidR="00CE79A2" w:rsidRDefault="00CE79A2">
                          <w:pPr>
                            <w:snapToGrid/>
                            <w:spacing w:line="80" w:lineRule="exact"/>
                            <w:rPr>
                              <w:rFonts w:eastAsia="PMingLiU"/>
                              <w:b/>
                              <w:sz w:val="18"/>
                              <w:lang w:eastAsia="zh-TW"/>
                            </w:rPr>
                          </w:pPr>
                        </w:p>
                        <w:p w14:paraId="7D07D97D" w14:textId="77777777" w:rsidR="00CE79A2" w:rsidRDefault="00CE79A2">
                          <w:pPr>
                            <w:snapToGrid/>
                            <w:spacing w:line="80" w:lineRule="exact"/>
                            <w:rPr>
                              <w:rFonts w:eastAsia="PMingLiU"/>
                              <w:b/>
                              <w:sz w:val="18"/>
                              <w:lang w:eastAsia="zh-TW"/>
                            </w:rPr>
                          </w:pPr>
                        </w:p>
                        <w:p w14:paraId="312F896C" w14:textId="77777777" w:rsidR="00CE79A2" w:rsidRDefault="00CE79A2">
                          <w:pPr>
                            <w:snapToGrid/>
                            <w:spacing w:line="20" w:lineRule="exact"/>
                            <w:rPr>
                              <w:rFonts w:eastAsia="PMingLiU"/>
                              <w:b/>
                              <w:sz w:val="18"/>
                              <w:lang w:eastAsia="zh-TW"/>
                            </w:rPr>
                          </w:pPr>
                        </w:p>
                        <w:p w14:paraId="07B7B533" w14:textId="77777777" w:rsidR="00CE79A2" w:rsidRDefault="00CE79A2">
                          <w:pPr>
                            <w:snapToGrid/>
                            <w:spacing w:line="80" w:lineRule="exact"/>
                            <w:rPr>
                              <w:rFonts w:eastAsia="PMingLiU"/>
                              <w:b/>
                              <w:sz w:val="20"/>
                              <w:lang w:eastAsia="zh-TW"/>
                            </w:rPr>
                          </w:pPr>
                        </w:p>
                        <w:p w14:paraId="2DAF2B83" w14:textId="77777777" w:rsidR="00CE79A2" w:rsidRDefault="00CE79A2">
                          <w:pPr>
                            <w:snapToGrid/>
                            <w:spacing w:line="180" w:lineRule="exact"/>
                            <w:rPr>
                              <w:rFonts w:eastAsia="PMingLiU"/>
                              <w:b/>
                              <w:sz w:val="20"/>
                              <w:lang w:eastAsia="zh-TW"/>
                            </w:rPr>
                          </w:pPr>
                          <w:r>
                            <w:rPr>
                              <w:rFonts w:eastAsia="PMingLiU" w:hint="eastAsia"/>
                              <w:b/>
                              <w:sz w:val="20"/>
                              <w:lang w:eastAsia="zh-TW"/>
                            </w:rPr>
                            <w:t xml:space="preserve"> </w:t>
                          </w:r>
                        </w:p>
                        <w:p w14:paraId="34250D18" w14:textId="77777777" w:rsidR="00CE79A2" w:rsidRDefault="00CE79A2">
                          <w:pPr>
                            <w:snapToGrid/>
                            <w:spacing w:line="160" w:lineRule="exact"/>
                            <w:rPr>
                              <w:rFonts w:eastAsia="PMingLiU"/>
                              <w:b/>
                              <w:sz w:val="20"/>
                              <w:lang w:eastAsia="zh-TW"/>
                            </w:rPr>
                          </w:pPr>
                          <w:r>
                            <w:rPr>
                              <w:rFonts w:eastAsia="PMingLiU" w:hint="eastAsia"/>
                              <w:b/>
                              <w:sz w:val="20"/>
                              <w:lang w:eastAsia="zh-TW"/>
                            </w:rPr>
                            <w:t xml:space="preserve"> </w:t>
                          </w:r>
                        </w:p>
                        <w:p w14:paraId="0C7416A8" w14:textId="77777777" w:rsidR="00CE79A2" w:rsidRDefault="00CE79A2">
                          <w:pPr>
                            <w:snapToGrid/>
                            <w:spacing w:line="80" w:lineRule="exact"/>
                            <w:rPr>
                              <w:rFonts w:eastAsia="PMingLiU"/>
                              <w:b/>
                              <w:sz w:val="20"/>
                              <w:lang w:eastAsia="zh-TW"/>
                            </w:rPr>
                          </w:pPr>
                        </w:p>
                        <w:p w14:paraId="5C95E2B4" w14:textId="77777777" w:rsidR="00CE79A2" w:rsidRDefault="00CE79A2">
                          <w:pPr>
                            <w:rPr>
                              <w:b/>
                              <w:sz w:val="20"/>
                            </w:rPr>
                          </w:pPr>
                          <w:r>
                            <w:rPr>
                              <w:rFonts w:eastAsia="PMingLiU" w:hint="eastAsia"/>
                              <w:b/>
                              <w:sz w:val="20"/>
                              <w:lang w:eastAsia="zh-TW"/>
                            </w:rPr>
                            <w:t xml:space="preserve"> </w:t>
                          </w:r>
                          <w:r>
                            <w:rPr>
                              <w:rFonts w:hint="eastAsia"/>
                              <w:b/>
                              <w:sz w:val="20"/>
                            </w:rPr>
                            <w:t>A</w:t>
                          </w:r>
                        </w:p>
                        <w:p w14:paraId="7D26EBA7" w14:textId="77777777" w:rsidR="00CE79A2" w:rsidRDefault="00CE79A2">
                          <w:pPr>
                            <w:rPr>
                              <w:b/>
                              <w:sz w:val="10"/>
                            </w:rPr>
                          </w:pPr>
                        </w:p>
                        <w:p w14:paraId="592B64D2" w14:textId="77777777" w:rsidR="00CE79A2" w:rsidRDefault="00CE79A2">
                          <w:pPr>
                            <w:rPr>
                              <w:b/>
                              <w:sz w:val="16"/>
                            </w:rPr>
                          </w:pPr>
                        </w:p>
                        <w:p w14:paraId="70C7AF91" w14:textId="77777777" w:rsidR="00CE79A2" w:rsidRDefault="00CE79A2">
                          <w:pPr>
                            <w:rPr>
                              <w:rFonts w:eastAsia="PMingLiU"/>
                              <w:b/>
                              <w:sz w:val="16"/>
                              <w:lang w:eastAsia="zh-TW"/>
                            </w:rPr>
                          </w:pPr>
                          <w:r>
                            <w:rPr>
                              <w:rFonts w:eastAsia="PMingLiU" w:hint="eastAsia"/>
                              <w:b/>
                              <w:sz w:val="16"/>
                              <w:lang w:eastAsia="zh-TW"/>
                            </w:rPr>
                            <w:t xml:space="preserve"> </w:t>
                          </w:r>
                        </w:p>
                        <w:p w14:paraId="37A7415E" w14:textId="77777777" w:rsidR="00CE79A2" w:rsidRDefault="00CE79A2">
                          <w:pPr>
                            <w:rPr>
                              <w:b/>
                              <w:sz w:val="20"/>
                            </w:rPr>
                          </w:pPr>
                          <w:r>
                            <w:rPr>
                              <w:rFonts w:eastAsia="PMingLiU" w:hint="eastAsia"/>
                              <w:b/>
                              <w:sz w:val="20"/>
                              <w:lang w:eastAsia="zh-TW"/>
                            </w:rPr>
                            <w:t xml:space="preserve"> </w:t>
                          </w:r>
                          <w:r>
                            <w:rPr>
                              <w:rFonts w:hint="eastAsia"/>
                              <w:b/>
                              <w:sz w:val="20"/>
                            </w:rPr>
                            <w:t>B</w:t>
                          </w:r>
                        </w:p>
                        <w:p w14:paraId="26837802" w14:textId="77777777" w:rsidR="00CE79A2" w:rsidRDefault="00CE79A2">
                          <w:pPr>
                            <w:rPr>
                              <w:b/>
                              <w:sz w:val="10"/>
                            </w:rPr>
                          </w:pPr>
                        </w:p>
                        <w:p w14:paraId="1C9FBBCC" w14:textId="77777777" w:rsidR="00CE79A2" w:rsidRDefault="00CE79A2">
                          <w:pPr>
                            <w:rPr>
                              <w:b/>
                              <w:sz w:val="16"/>
                            </w:rPr>
                          </w:pPr>
                        </w:p>
                        <w:p w14:paraId="36F43722" w14:textId="77777777" w:rsidR="00CE79A2" w:rsidRDefault="00CE79A2">
                          <w:pPr>
                            <w:rPr>
                              <w:b/>
                              <w:sz w:val="16"/>
                            </w:rPr>
                          </w:pPr>
                        </w:p>
                        <w:p w14:paraId="51F3EBC4" w14:textId="77777777" w:rsidR="00CE79A2" w:rsidRDefault="00CE79A2">
                          <w:pPr>
                            <w:rPr>
                              <w:b/>
                              <w:sz w:val="16"/>
                            </w:rPr>
                          </w:pPr>
                          <w:r>
                            <w:rPr>
                              <w:rFonts w:eastAsia="PMingLiU" w:hint="eastAsia"/>
                              <w:b/>
                              <w:sz w:val="20"/>
                              <w:lang w:eastAsia="zh-TW"/>
                            </w:rPr>
                            <w:t xml:space="preserve"> </w:t>
                          </w:r>
                          <w:r>
                            <w:rPr>
                              <w:rFonts w:hint="eastAsia"/>
                              <w:b/>
                              <w:sz w:val="20"/>
                            </w:rPr>
                            <w:t>C</w:t>
                          </w:r>
                        </w:p>
                        <w:p w14:paraId="15A8A4EF" w14:textId="77777777" w:rsidR="00CE79A2" w:rsidRDefault="00CE79A2">
                          <w:pPr>
                            <w:rPr>
                              <w:b/>
                              <w:sz w:val="10"/>
                            </w:rPr>
                          </w:pPr>
                        </w:p>
                        <w:p w14:paraId="01CC196E" w14:textId="77777777" w:rsidR="00CE79A2" w:rsidRDefault="00CE79A2">
                          <w:pPr>
                            <w:rPr>
                              <w:b/>
                              <w:sz w:val="16"/>
                            </w:rPr>
                          </w:pPr>
                        </w:p>
                        <w:p w14:paraId="0DF831B5" w14:textId="77777777" w:rsidR="00CE79A2" w:rsidRDefault="00CE79A2">
                          <w:pPr>
                            <w:rPr>
                              <w:b/>
                              <w:sz w:val="16"/>
                            </w:rPr>
                          </w:pPr>
                        </w:p>
                        <w:p w14:paraId="0597AEB2" w14:textId="77777777" w:rsidR="00CE79A2" w:rsidRDefault="00CE79A2">
                          <w:pPr>
                            <w:pStyle w:val="Heading2"/>
                            <w:rPr>
                              <w:sz w:val="16"/>
                            </w:rPr>
                          </w:pPr>
                          <w:r>
                            <w:rPr>
                              <w:rFonts w:eastAsia="PMingLiU" w:hint="eastAsia"/>
                              <w:lang w:eastAsia="zh-TW"/>
                            </w:rPr>
                            <w:t xml:space="preserve"> </w:t>
                          </w:r>
                          <w:r>
                            <w:rPr>
                              <w:rFonts w:hint="eastAsia"/>
                            </w:rPr>
                            <w:t>D</w:t>
                          </w:r>
                        </w:p>
                        <w:p w14:paraId="2715A726" w14:textId="77777777" w:rsidR="00CE79A2" w:rsidRDefault="00CE79A2">
                          <w:pPr>
                            <w:rPr>
                              <w:b/>
                              <w:sz w:val="10"/>
                            </w:rPr>
                          </w:pPr>
                        </w:p>
                        <w:p w14:paraId="04BA3766" w14:textId="77777777" w:rsidR="00CE79A2" w:rsidRDefault="00CE79A2">
                          <w:pPr>
                            <w:rPr>
                              <w:b/>
                              <w:sz w:val="16"/>
                            </w:rPr>
                          </w:pPr>
                        </w:p>
                        <w:p w14:paraId="76EBE851" w14:textId="77777777" w:rsidR="00CE79A2" w:rsidRDefault="00CE79A2">
                          <w:pPr>
                            <w:rPr>
                              <w:b/>
                              <w:sz w:val="16"/>
                            </w:rPr>
                          </w:pPr>
                        </w:p>
                        <w:p w14:paraId="533C6855" w14:textId="77777777" w:rsidR="00CE79A2" w:rsidRDefault="00CE79A2">
                          <w:pPr>
                            <w:rPr>
                              <w:b/>
                              <w:sz w:val="16"/>
                            </w:rPr>
                          </w:pPr>
                          <w:r>
                            <w:rPr>
                              <w:rFonts w:eastAsia="PMingLiU" w:hint="eastAsia"/>
                              <w:b/>
                              <w:sz w:val="20"/>
                              <w:lang w:eastAsia="zh-TW"/>
                            </w:rPr>
                            <w:t xml:space="preserve"> </w:t>
                          </w:r>
                          <w:r>
                            <w:rPr>
                              <w:rFonts w:hint="eastAsia"/>
                              <w:b/>
                              <w:sz w:val="20"/>
                            </w:rPr>
                            <w:t>E</w:t>
                          </w:r>
                        </w:p>
                        <w:p w14:paraId="4F7B56ED" w14:textId="77777777" w:rsidR="00CE79A2" w:rsidRDefault="00CE79A2">
                          <w:pPr>
                            <w:rPr>
                              <w:b/>
                              <w:sz w:val="10"/>
                            </w:rPr>
                          </w:pPr>
                        </w:p>
                        <w:p w14:paraId="49C297F7" w14:textId="77777777" w:rsidR="00CE79A2" w:rsidRDefault="00CE79A2">
                          <w:pPr>
                            <w:rPr>
                              <w:b/>
                              <w:sz w:val="16"/>
                            </w:rPr>
                          </w:pPr>
                        </w:p>
                        <w:p w14:paraId="494CBEB7" w14:textId="77777777" w:rsidR="00CE79A2" w:rsidRDefault="00CE79A2">
                          <w:pPr>
                            <w:rPr>
                              <w:b/>
                              <w:sz w:val="16"/>
                            </w:rPr>
                          </w:pPr>
                        </w:p>
                        <w:p w14:paraId="203D401C" w14:textId="77777777" w:rsidR="00CE79A2" w:rsidRDefault="00CE79A2">
                          <w:pPr>
                            <w:rPr>
                              <w:b/>
                              <w:sz w:val="20"/>
                            </w:rPr>
                          </w:pPr>
                          <w:r>
                            <w:rPr>
                              <w:rFonts w:eastAsia="PMingLiU" w:hint="eastAsia"/>
                              <w:b/>
                              <w:sz w:val="20"/>
                              <w:lang w:eastAsia="zh-TW"/>
                            </w:rPr>
                            <w:t xml:space="preserve"> </w:t>
                          </w:r>
                          <w:r>
                            <w:rPr>
                              <w:rFonts w:hint="eastAsia"/>
                              <w:b/>
                              <w:sz w:val="20"/>
                            </w:rPr>
                            <w:t>F</w:t>
                          </w:r>
                        </w:p>
                        <w:p w14:paraId="68D12C8A" w14:textId="77777777" w:rsidR="00CE79A2" w:rsidRDefault="00CE79A2">
                          <w:pPr>
                            <w:rPr>
                              <w:b/>
                              <w:sz w:val="10"/>
                            </w:rPr>
                          </w:pPr>
                        </w:p>
                        <w:p w14:paraId="3BA69714" w14:textId="77777777" w:rsidR="00CE79A2" w:rsidRDefault="00CE79A2">
                          <w:pPr>
                            <w:rPr>
                              <w:b/>
                              <w:sz w:val="16"/>
                            </w:rPr>
                          </w:pPr>
                        </w:p>
                        <w:p w14:paraId="00FEB828" w14:textId="77777777" w:rsidR="00CE79A2" w:rsidRDefault="00CE79A2">
                          <w:pPr>
                            <w:rPr>
                              <w:b/>
                              <w:sz w:val="16"/>
                            </w:rPr>
                          </w:pPr>
                        </w:p>
                        <w:p w14:paraId="46EB7A7F" w14:textId="77777777" w:rsidR="00CE79A2" w:rsidRDefault="00CE79A2">
                          <w:pPr>
                            <w:rPr>
                              <w:b/>
                              <w:sz w:val="16"/>
                            </w:rPr>
                          </w:pPr>
                          <w:r>
                            <w:rPr>
                              <w:rFonts w:eastAsia="PMingLiU" w:hint="eastAsia"/>
                              <w:b/>
                              <w:sz w:val="20"/>
                              <w:lang w:eastAsia="zh-TW"/>
                            </w:rPr>
                            <w:t xml:space="preserve"> </w:t>
                          </w:r>
                          <w:r>
                            <w:rPr>
                              <w:rFonts w:hint="eastAsia"/>
                              <w:b/>
                              <w:sz w:val="20"/>
                            </w:rPr>
                            <w:t>G</w:t>
                          </w:r>
                        </w:p>
                        <w:p w14:paraId="52C73B2B" w14:textId="77777777" w:rsidR="00CE79A2" w:rsidRDefault="00CE79A2">
                          <w:pPr>
                            <w:rPr>
                              <w:b/>
                              <w:sz w:val="10"/>
                            </w:rPr>
                          </w:pPr>
                        </w:p>
                        <w:p w14:paraId="4035CE8B" w14:textId="77777777" w:rsidR="00CE79A2" w:rsidRDefault="00CE79A2">
                          <w:pPr>
                            <w:rPr>
                              <w:b/>
                              <w:sz w:val="16"/>
                            </w:rPr>
                          </w:pPr>
                        </w:p>
                        <w:p w14:paraId="6B416FE1" w14:textId="77777777" w:rsidR="00CE79A2" w:rsidRDefault="00CE79A2">
                          <w:pPr>
                            <w:rPr>
                              <w:b/>
                              <w:sz w:val="16"/>
                            </w:rPr>
                          </w:pPr>
                        </w:p>
                        <w:p w14:paraId="486DEC38" w14:textId="77777777" w:rsidR="00CE79A2" w:rsidRDefault="00CE79A2">
                          <w:pPr>
                            <w:rPr>
                              <w:b/>
                              <w:sz w:val="16"/>
                            </w:rPr>
                          </w:pPr>
                          <w:r>
                            <w:rPr>
                              <w:rFonts w:eastAsia="PMingLiU" w:hint="eastAsia"/>
                              <w:b/>
                              <w:sz w:val="20"/>
                              <w:lang w:eastAsia="zh-TW"/>
                            </w:rPr>
                            <w:t xml:space="preserve"> </w:t>
                          </w:r>
                          <w:r>
                            <w:rPr>
                              <w:rFonts w:hint="eastAsia"/>
                              <w:b/>
                              <w:sz w:val="20"/>
                            </w:rPr>
                            <w:t>H</w:t>
                          </w:r>
                        </w:p>
                        <w:p w14:paraId="3C0C0652" w14:textId="77777777" w:rsidR="00CE79A2" w:rsidRDefault="00CE79A2">
                          <w:pPr>
                            <w:rPr>
                              <w:b/>
                              <w:sz w:val="10"/>
                            </w:rPr>
                          </w:pPr>
                        </w:p>
                        <w:p w14:paraId="345B59CC" w14:textId="77777777" w:rsidR="00CE79A2" w:rsidRDefault="00CE79A2">
                          <w:pPr>
                            <w:rPr>
                              <w:b/>
                              <w:sz w:val="16"/>
                            </w:rPr>
                          </w:pPr>
                        </w:p>
                        <w:p w14:paraId="2F90B111" w14:textId="77777777" w:rsidR="00CE79A2" w:rsidRDefault="00CE79A2">
                          <w:pPr>
                            <w:rPr>
                              <w:b/>
                              <w:sz w:val="16"/>
                            </w:rPr>
                          </w:pPr>
                        </w:p>
                        <w:p w14:paraId="5CE5975D" w14:textId="77777777" w:rsidR="00CE79A2" w:rsidRDefault="00CE79A2">
                          <w:pPr>
                            <w:rPr>
                              <w:b/>
                              <w:sz w:val="16"/>
                            </w:rPr>
                          </w:pPr>
                          <w:r>
                            <w:rPr>
                              <w:rFonts w:eastAsia="PMingLiU" w:hint="eastAsia"/>
                              <w:b/>
                              <w:sz w:val="20"/>
                              <w:lang w:eastAsia="zh-TW"/>
                            </w:rPr>
                            <w:t xml:space="preserve"> </w:t>
                          </w:r>
                          <w:r>
                            <w:rPr>
                              <w:rFonts w:hint="eastAsia"/>
                              <w:b/>
                              <w:sz w:val="20"/>
                            </w:rPr>
                            <w:t>I</w:t>
                          </w:r>
                        </w:p>
                        <w:p w14:paraId="6EECC1D8" w14:textId="77777777" w:rsidR="00CE79A2" w:rsidRDefault="00CE79A2">
                          <w:pPr>
                            <w:rPr>
                              <w:b/>
                              <w:sz w:val="10"/>
                            </w:rPr>
                          </w:pPr>
                        </w:p>
                        <w:p w14:paraId="0BD56D5D" w14:textId="77777777" w:rsidR="00CE79A2" w:rsidRDefault="00CE79A2">
                          <w:pPr>
                            <w:rPr>
                              <w:b/>
                              <w:sz w:val="16"/>
                            </w:rPr>
                          </w:pPr>
                        </w:p>
                        <w:p w14:paraId="15D13FDC" w14:textId="77777777" w:rsidR="00CE79A2" w:rsidRDefault="00CE79A2">
                          <w:pPr>
                            <w:rPr>
                              <w:b/>
                              <w:sz w:val="16"/>
                            </w:rPr>
                          </w:pPr>
                        </w:p>
                        <w:p w14:paraId="178BA1CF" w14:textId="77777777" w:rsidR="00CE79A2" w:rsidRDefault="00CE79A2">
                          <w:pPr>
                            <w:rPr>
                              <w:b/>
                              <w:sz w:val="16"/>
                            </w:rPr>
                          </w:pPr>
                          <w:r>
                            <w:rPr>
                              <w:rFonts w:eastAsia="PMingLiU" w:hint="eastAsia"/>
                              <w:b/>
                              <w:sz w:val="20"/>
                              <w:lang w:eastAsia="zh-TW"/>
                            </w:rPr>
                            <w:t xml:space="preserve"> </w:t>
                          </w:r>
                          <w:r>
                            <w:rPr>
                              <w:rFonts w:hint="eastAsia"/>
                              <w:b/>
                              <w:sz w:val="20"/>
                            </w:rPr>
                            <w:t>J</w:t>
                          </w:r>
                        </w:p>
                        <w:p w14:paraId="62CB2F3B" w14:textId="77777777" w:rsidR="00CE79A2" w:rsidRDefault="00CE79A2">
                          <w:pPr>
                            <w:rPr>
                              <w:b/>
                              <w:sz w:val="10"/>
                            </w:rPr>
                          </w:pPr>
                        </w:p>
                        <w:p w14:paraId="27DFCAA5" w14:textId="77777777" w:rsidR="00CE79A2" w:rsidRDefault="00CE79A2">
                          <w:pPr>
                            <w:rPr>
                              <w:b/>
                              <w:sz w:val="16"/>
                            </w:rPr>
                          </w:pPr>
                        </w:p>
                        <w:p w14:paraId="4F6DD81C" w14:textId="77777777" w:rsidR="00CE79A2" w:rsidRDefault="00CE79A2">
                          <w:pPr>
                            <w:rPr>
                              <w:b/>
                              <w:sz w:val="16"/>
                            </w:rPr>
                          </w:pPr>
                        </w:p>
                        <w:p w14:paraId="44087E8B" w14:textId="77777777" w:rsidR="00CE79A2" w:rsidRDefault="00CE79A2">
                          <w:pPr>
                            <w:rPr>
                              <w:b/>
                              <w:sz w:val="16"/>
                            </w:rPr>
                          </w:pPr>
                          <w:r>
                            <w:rPr>
                              <w:rFonts w:eastAsia="PMingLiU" w:hint="eastAsia"/>
                              <w:b/>
                              <w:sz w:val="20"/>
                              <w:lang w:eastAsia="zh-TW"/>
                            </w:rPr>
                            <w:t xml:space="preserve"> </w:t>
                          </w:r>
                          <w:r>
                            <w:rPr>
                              <w:rFonts w:hint="eastAsia"/>
                              <w:b/>
                              <w:sz w:val="20"/>
                            </w:rPr>
                            <w:t>K</w:t>
                          </w:r>
                        </w:p>
                        <w:p w14:paraId="14EB6235" w14:textId="77777777" w:rsidR="00CE79A2" w:rsidRDefault="00CE79A2">
                          <w:pPr>
                            <w:rPr>
                              <w:b/>
                              <w:sz w:val="10"/>
                            </w:rPr>
                          </w:pPr>
                        </w:p>
                        <w:p w14:paraId="25233836" w14:textId="77777777" w:rsidR="00CE79A2" w:rsidRDefault="00CE79A2">
                          <w:pPr>
                            <w:rPr>
                              <w:b/>
                              <w:sz w:val="16"/>
                            </w:rPr>
                          </w:pPr>
                        </w:p>
                        <w:p w14:paraId="533048DB" w14:textId="77777777" w:rsidR="00CE79A2" w:rsidRDefault="00CE79A2">
                          <w:pPr>
                            <w:rPr>
                              <w:b/>
                              <w:sz w:val="16"/>
                            </w:rPr>
                          </w:pPr>
                        </w:p>
                        <w:p w14:paraId="7E67E035" w14:textId="77777777" w:rsidR="00CE79A2" w:rsidRDefault="00CE79A2">
                          <w:pPr>
                            <w:rPr>
                              <w:b/>
                              <w:sz w:val="16"/>
                            </w:rPr>
                          </w:pPr>
                          <w:r>
                            <w:rPr>
                              <w:rFonts w:eastAsia="PMingLiU" w:hint="eastAsia"/>
                              <w:b/>
                              <w:sz w:val="20"/>
                              <w:lang w:eastAsia="zh-TW"/>
                            </w:rPr>
                            <w:t xml:space="preserve"> </w:t>
                          </w:r>
                          <w:r>
                            <w:rPr>
                              <w:rFonts w:hint="eastAsia"/>
                              <w:b/>
                              <w:sz w:val="20"/>
                            </w:rPr>
                            <w:t>L</w:t>
                          </w:r>
                        </w:p>
                        <w:p w14:paraId="72114B9C" w14:textId="77777777" w:rsidR="00CE79A2" w:rsidRDefault="00CE79A2">
                          <w:pPr>
                            <w:rPr>
                              <w:b/>
                              <w:sz w:val="10"/>
                            </w:rPr>
                          </w:pPr>
                        </w:p>
                        <w:p w14:paraId="1C8E9157" w14:textId="77777777" w:rsidR="00CE79A2" w:rsidRDefault="00CE79A2">
                          <w:pPr>
                            <w:rPr>
                              <w:b/>
                              <w:sz w:val="16"/>
                            </w:rPr>
                          </w:pPr>
                        </w:p>
                        <w:p w14:paraId="246A7F37" w14:textId="77777777" w:rsidR="00CE79A2" w:rsidRDefault="00CE79A2">
                          <w:pPr>
                            <w:rPr>
                              <w:b/>
                              <w:sz w:val="16"/>
                            </w:rPr>
                          </w:pPr>
                        </w:p>
                        <w:p w14:paraId="249F14D5" w14:textId="77777777" w:rsidR="00CE79A2" w:rsidRDefault="00CE79A2">
                          <w:pPr>
                            <w:rPr>
                              <w:b/>
                              <w:sz w:val="16"/>
                            </w:rPr>
                          </w:pPr>
                          <w:r>
                            <w:rPr>
                              <w:rFonts w:eastAsia="PMingLiU" w:hint="eastAsia"/>
                              <w:b/>
                              <w:sz w:val="20"/>
                              <w:lang w:eastAsia="zh-TW"/>
                            </w:rPr>
                            <w:t xml:space="preserve"> </w:t>
                          </w:r>
                          <w:r>
                            <w:rPr>
                              <w:rFonts w:hint="eastAsia"/>
                              <w:b/>
                              <w:sz w:val="20"/>
                            </w:rPr>
                            <w:t>M</w:t>
                          </w:r>
                        </w:p>
                        <w:p w14:paraId="05EEFD88" w14:textId="77777777" w:rsidR="00CE79A2" w:rsidRDefault="00CE79A2">
                          <w:pPr>
                            <w:rPr>
                              <w:b/>
                              <w:sz w:val="10"/>
                            </w:rPr>
                          </w:pPr>
                        </w:p>
                        <w:p w14:paraId="3C810F31" w14:textId="77777777" w:rsidR="00CE79A2" w:rsidRDefault="00CE79A2">
                          <w:pPr>
                            <w:rPr>
                              <w:b/>
                              <w:sz w:val="16"/>
                            </w:rPr>
                          </w:pPr>
                        </w:p>
                        <w:p w14:paraId="3E309AE6" w14:textId="77777777" w:rsidR="00CE79A2" w:rsidRDefault="00CE79A2">
                          <w:pPr>
                            <w:rPr>
                              <w:b/>
                              <w:sz w:val="16"/>
                            </w:rPr>
                          </w:pPr>
                        </w:p>
                        <w:p w14:paraId="69B34A0F" w14:textId="77777777" w:rsidR="00CE79A2" w:rsidRDefault="00CE79A2">
                          <w:pPr>
                            <w:rPr>
                              <w:b/>
                              <w:sz w:val="16"/>
                            </w:rPr>
                          </w:pPr>
                          <w:r>
                            <w:rPr>
                              <w:rFonts w:eastAsia="PMingLiU" w:hint="eastAsia"/>
                              <w:b/>
                              <w:sz w:val="20"/>
                              <w:lang w:eastAsia="zh-TW"/>
                            </w:rPr>
                            <w:t xml:space="preserve"> </w:t>
                          </w:r>
                          <w:r>
                            <w:rPr>
                              <w:rFonts w:hint="eastAsia"/>
                              <w:b/>
                              <w:sz w:val="20"/>
                            </w:rPr>
                            <w:t>N</w:t>
                          </w:r>
                        </w:p>
                        <w:p w14:paraId="1E2D1FDB" w14:textId="77777777" w:rsidR="00CE79A2" w:rsidRDefault="00CE79A2">
                          <w:pPr>
                            <w:rPr>
                              <w:b/>
                              <w:sz w:val="10"/>
                            </w:rPr>
                          </w:pPr>
                        </w:p>
                        <w:p w14:paraId="442BD872" w14:textId="77777777" w:rsidR="00CE79A2" w:rsidRDefault="00CE79A2">
                          <w:pPr>
                            <w:rPr>
                              <w:b/>
                              <w:sz w:val="16"/>
                            </w:rPr>
                          </w:pPr>
                        </w:p>
                        <w:p w14:paraId="611B569E" w14:textId="77777777" w:rsidR="00CE79A2" w:rsidRDefault="00CE79A2">
                          <w:pPr>
                            <w:rPr>
                              <w:b/>
                              <w:sz w:val="16"/>
                            </w:rPr>
                          </w:pPr>
                        </w:p>
                        <w:p w14:paraId="70D6D6FE" w14:textId="77777777" w:rsidR="00CE79A2" w:rsidRDefault="00CE79A2">
                          <w:pPr>
                            <w:rPr>
                              <w:b/>
                              <w:sz w:val="16"/>
                            </w:rPr>
                          </w:pPr>
                          <w:r>
                            <w:rPr>
                              <w:rFonts w:eastAsia="PMingLiU" w:hint="eastAsia"/>
                              <w:b/>
                              <w:sz w:val="20"/>
                              <w:lang w:eastAsia="zh-TW"/>
                            </w:rPr>
                            <w:t xml:space="preserve"> </w:t>
                          </w:r>
                          <w:r>
                            <w:rPr>
                              <w:rFonts w:hint="eastAsia"/>
                              <w:b/>
                              <w:sz w:val="20"/>
                            </w:rPr>
                            <w:t>O</w:t>
                          </w:r>
                        </w:p>
                        <w:p w14:paraId="7D02C82E" w14:textId="77777777" w:rsidR="00CE79A2" w:rsidRDefault="00CE79A2">
                          <w:pPr>
                            <w:rPr>
                              <w:b/>
                              <w:sz w:val="10"/>
                            </w:rPr>
                          </w:pPr>
                        </w:p>
                        <w:p w14:paraId="6EC67AEE" w14:textId="77777777" w:rsidR="00CE79A2" w:rsidRDefault="00CE79A2">
                          <w:pPr>
                            <w:rPr>
                              <w:b/>
                              <w:sz w:val="16"/>
                            </w:rPr>
                          </w:pPr>
                        </w:p>
                        <w:p w14:paraId="4F66DDCB" w14:textId="77777777" w:rsidR="00CE79A2" w:rsidRDefault="00CE79A2">
                          <w:pPr>
                            <w:rPr>
                              <w:b/>
                              <w:sz w:val="16"/>
                            </w:rPr>
                          </w:pPr>
                        </w:p>
                        <w:p w14:paraId="38578CCA" w14:textId="77777777" w:rsidR="00CE79A2" w:rsidRDefault="00CE79A2">
                          <w:pPr>
                            <w:rPr>
                              <w:b/>
                              <w:sz w:val="16"/>
                            </w:rPr>
                          </w:pPr>
                          <w:r>
                            <w:rPr>
                              <w:rFonts w:eastAsia="PMingLiU" w:hint="eastAsia"/>
                              <w:b/>
                              <w:sz w:val="20"/>
                              <w:lang w:eastAsia="zh-TW"/>
                            </w:rPr>
                            <w:t xml:space="preserve"> </w:t>
                          </w:r>
                          <w:r>
                            <w:rPr>
                              <w:rFonts w:hint="eastAsia"/>
                              <w:b/>
                              <w:sz w:val="20"/>
                            </w:rPr>
                            <w:t>P</w:t>
                          </w:r>
                        </w:p>
                        <w:p w14:paraId="11C0E545" w14:textId="77777777" w:rsidR="00CE79A2" w:rsidRDefault="00CE79A2">
                          <w:pPr>
                            <w:rPr>
                              <w:b/>
                              <w:sz w:val="10"/>
                            </w:rPr>
                          </w:pPr>
                        </w:p>
                        <w:p w14:paraId="30285146" w14:textId="77777777" w:rsidR="00CE79A2" w:rsidRDefault="00CE79A2">
                          <w:pPr>
                            <w:rPr>
                              <w:b/>
                              <w:sz w:val="16"/>
                            </w:rPr>
                          </w:pPr>
                        </w:p>
                        <w:p w14:paraId="15C2AFAB" w14:textId="77777777" w:rsidR="00CE79A2" w:rsidRDefault="00CE79A2">
                          <w:pPr>
                            <w:rPr>
                              <w:b/>
                              <w:sz w:val="16"/>
                            </w:rPr>
                          </w:pPr>
                        </w:p>
                        <w:p w14:paraId="68D9E04D" w14:textId="77777777" w:rsidR="00CE79A2" w:rsidRDefault="00CE79A2">
                          <w:pPr>
                            <w:rPr>
                              <w:b/>
                              <w:sz w:val="16"/>
                            </w:rPr>
                          </w:pPr>
                          <w:r>
                            <w:rPr>
                              <w:rFonts w:eastAsia="PMingLiU" w:hint="eastAsia"/>
                              <w:b/>
                              <w:sz w:val="20"/>
                              <w:lang w:eastAsia="zh-TW"/>
                            </w:rPr>
                            <w:t xml:space="preserve"> </w:t>
                          </w:r>
                          <w:r>
                            <w:rPr>
                              <w:rFonts w:hint="eastAsia"/>
                              <w:b/>
                              <w:sz w:val="20"/>
                            </w:rPr>
                            <w:t>Q</w:t>
                          </w:r>
                        </w:p>
                        <w:p w14:paraId="097ED81F" w14:textId="77777777" w:rsidR="00CE79A2" w:rsidRDefault="00CE79A2">
                          <w:pPr>
                            <w:rPr>
                              <w:b/>
                              <w:sz w:val="10"/>
                            </w:rPr>
                          </w:pPr>
                        </w:p>
                        <w:p w14:paraId="6235D12F" w14:textId="77777777" w:rsidR="00CE79A2" w:rsidRDefault="00CE79A2">
                          <w:pPr>
                            <w:rPr>
                              <w:b/>
                              <w:sz w:val="16"/>
                            </w:rPr>
                          </w:pPr>
                        </w:p>
                        <w:p w14:paraId="45A6F38E" w14:textId="77777777" w:rsidR="00CE79A2" w:rsidRDefault="00CE79A2">
                          <w:pPr>
                            <w:rPr>
                              <w:b/>
                              <w:sz w:val="16"/>
                            </w:rPr>
                          </w:pPr>
                        </w:p>
                        <w:p w14:paraId="30DA759D" w14:textId="77777777" w:rsidR="00CE79A2" w:rsidRDefault="00CE79A2">
                          <w:pPr>
                            <w:rPr>
                              <w:b/>
                              <w:sz w:val="16"/>
                            </w:rPr>
                          </w:pPr>
                          <w:r>
                            <w:rPr>
                              <w:rFonts w:eastAsia="PMingLiU" w:hint="eastAsia"/>
                              <w:b/>
                              <w:sz w:val="20"/>
                              <w:lang w:eastAsia="zh-TW"/>
                            </w:rPr>
                            <w:t xml:space="preserve"> </w:t>
                          </w:r>
                          <w:r>
                            <w:rPr>
                              <w:rFonts w:hint="eastAsia"/>
                              <w:b/>
                              <w:sz w:val="20"/>
                            </w:rPr>
                            <w:t>R</w:t>
                          </w:r>
                        </w:p>
                        <w:p w14:paraId="47DED882" w14:textId="77777777" w:rsidR="00CE79A2" w:rsidRDefault="00CE79A2">
                          <w:pPr>
                            <w:rPr>
                              <w:b/>
                              <w:sz w:val="10"/>
                            </w:rPr>
                          </w:pPr>
                        </w:p>
                        <w:p w14:paraId="4B24D036" w14:textId="77777777" w:rsidR="00CE79A2" w:rsidRDefault="00CE79A2">
                          <w:pPr>
                            <w:rPr>
                              <w:b/>
                              <w:sz w:val="16"/>
                            </w:rPr>
                          </w:pPr>
                        </w:p>
                        <w:p w14:paraId="5E54916A" w14:textId="77777777" w:rsidR="00CE79A2" w:rsidRDefault="00CE79A2">
                          <w:pPr>
                            <w:rPr>
                              <w:b/>
                              <w:sz w:val="16"/>
                            </w:rPr>
                          </w:pPr>
                        </w:p>
                        <w:p w14:paraId="6D5B7BA0" w14:textId="77777777" w:rsidR="00CE79A2" w:rsidRDefault="00CE79A2">
                          <w:pPr>
                            <w:rPr>
                              <w:b/>
                              <w:sz w:val="16"/>
                            </w:rPr>
                          </w:pPr>
                          <w:r>
                            <w:rPr>
                              <w:rFonts w:eastAsia="PMingLiU" w:hint="eastAsia"/>
                              <w:b/>
                              <w:sz w:val="20"/>
                              <w:lang w:eastAsia="zh-TW"/>
                            </w:rPr>
                            <w:t xml:space="preserve"> </w:t>
                          </w:r>
                          <w:r>
                            <w:rPr>
                              <w:rFonts w:hint="eastAsia"/>
                              <w:b/>
                              <w:sz w:val="20"/>
                            </w:rPr>
                            <w:t>S</w:t>
                          </w:r>
                        </w:p>
                        <w:p w14:paraId="69A2AD72" w14:textId="77777777" w:rsidR="00CE79A2" w:rsidRDefault="00CE79A2">
                          <w:pPr>
                            <w:rPr>
                              <w:b/>
                              <w:sz w:val="10"/>
                            </w:rPr>
                          </w:pPr>
                        </w:p>
                        <w:p w14:paraId="20E4E63A" w14:textId="77777777" w:rsidR="00CE79A2" w:rsidRDefault="00CE79A2">
                          <w:pPr>
                            <w:rPr>
                              <w:b/>
                              <w:sz w:val="16"/>
                            </w:rPr>
                          </w:pPr>
                        </w:p>
                        <w:p w14:paraId="0861038F" w14:textId="77777777" w:rsidR="00CE79A2" w:rsidRDefault="00CE79A2">
                          <w:pPr>
                            <w:rPr>
                              <w:b/>
                              <w:sz w:val="16"/>
                            </w:rPr>
                          </w:pPr>
                        </w:p>
                        <w:p w14:paraId="0CD2392D" w14:textId="77777777" w:rsidR="00CE79A2" w:rsidRDefault="00CE79A2">
                          <w:pPr>
                            <w:rPr>
                              <w:b/>
                              <w:sz w:val="16"/>
                            </w:rPr>
                          </w:pPr>
                          <w:r>
                            <w:rPr>
                              <w:rFonts w:eastAsia="PMingLiU" w:hint="eastAsia"/>
                              <w:b/>
                              <w:sz w:val="20"/>
                              <w:lang w:eastAsia="zh-TW"/>
                            </w:rPr>
                            <w:t xml:space="preserve"> </w:t>
                          </w:r>
                          <w:r>
                            <w:rPr>
                              <w:rFonts w:hint="eastAsia"/>
                              <w:b/>
                              <w:sz w:val="20"/>
                            </w:rPr>
                            <w:t>T</w:t>
                          </w:r>
                        </w:p>
                        <w:p w14:paraId="77E83DF9" w14:textId="77777777" w:rsidR="00CE79A2" w:rsidRDefault="00CE79A2">
                          <w:pPr>
                            <w:rPr>
                              <w:b/>
                              <w:sz w:val="10"/>
                            </w:rPr>
                          </w:pPr>
                        </w:p>
                        <w:p w14:paraId="239E765D" w14:textId="77777777" w:rsidR="00CE79A2" w:rsidRDefault="00CE79A2">
                          <w:pPr>
                            <w:rPr>
                              <w:b/>
                              <w:sz w:val="16"/>
                            </w:rPr>
                          </w:pPr>
                        </w:p>
                        <w:p w14:paraId="112F9FD6" w14:textId="77777777" w:rsidR="00CE79A2" w:rsidRDefault="00CE79A2">
                          <w:pPr>
                            <w:rPr>
                              <w:b/>
                              <w:sz w:val="16"/>
                            </w:rPr>
                          </w:pPr>
                        </w:p>
                        <w:p w14:paraId="6B13843F" w14:textId="77777777" w:rsidR="00CE79A2" w:rsidRDefault="00CE79A2">
                          <w:pPr>
                            <w:rPr>
                              <w:b/>
                              <w:sz w:val="16"/>
                            </w:rPr>
                          </w:pPr>
                          <w:r>
                            <w:rPr>
                              <w:rFonts w:eastAsia="PMingLiU" w:hint="eastAsia"/>
                              <w:b/>
                              <w:sz w:val="20"/>
                              <w:lang w:eastAsia="zh-TW"/>
                            </w:rPr>
                            <w:t xml:space="preserve"> </w:t>
                          </w:r>
                          <w:r>
                            <w:rPr>
                              <w:rFonts w:hint="eastAsia"/>
                              <w:b/>
                              <w:sz w:val="20"/>
                            </w:rPr>
                            <w:t>U</w:t>
                          </w:r>
                        </w:p>
                        <w:p w14:paraId="66C544DE" w14:textId="77777777" w:rsidR="00CE79A2" w:rsidRDefault="00CE79A2">
                          <w:pPr>
                            <w:rPr>
                              <w:b/>
                              <w:sz w:val="10"/>
                            </w:rPr>
                          </w:pPr>
                        </w:p>
                        <w:p w14:paraId="38EFECB7" w14:textId="77777777" w:rsidR="00CE79A2" w:rsidRDefault="00CE79A2">
                          <w:pPr>
                            <w:rPr>
                              <w:b/>
                              <w:sz w:val="16"/>
                            </w:rPr>
                          </w:pPr>
                        </w:p>
                        <w:p w14:paraId="6758E9D1" w14:textId="77777777" w:rsidR="00CE79A2" w:rsidRDefault="00CE79A2">
                          <w:pPr>
                            <w:rPr>
                              <w:b/>
                              <w:sz w:val="16"/>
                            </w:rPr>
                          </w:pPr>
                        </w:p>
                        <w:p w14:paraId="590EDFC0" w14:textId="77777777" w:rsidR="00CE79A2" w:rsidRDefault="00CE79A2">
                          <w:pPr>
                            <w:pStyle w:val="Heading3"/>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C1FEAE4" id="_x0000_t202" coordsize="21600,21600" o:spt="202" path="m,l,21600r21600,l21600,xe">
              <v:stroke joinstyle="miter"/>
              <v:path gradientshapeok="t" o:connecttype="rect"/>
            </v:shapetype>
            <v:shape id="Text Box 3" o:spid="_x0000_s1026" type="#_x0000_t202" style="position:absolute;left:0;text-align:left;margin-left:464.1pt;margin-top:-41.4pt;width:42pt;height:8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" stroked="f">
              <v:textbox>
                <w:txbxContent>
                  <w:p w14:paraId="727AEB77" w14:textId="77777777" w:rsidR="005C2771" w:rsidRDefault="005C2771">
                    <w:pPr>
                      <w:snapToGrid/>
                      <w:spacing w:line="80" w:lineRule="exact"/>
                      <w:rPr>
                        <w:rFonts w:eastAsia="PMingLiU"/>
                        <w:b/>
                        <w:sz w:val="18"/>
                        <w:lang w:eastAsia="zh-TW"/>
                      </w:rPr>
                    </w:pPr>
                  </w:p>
                  <w:p w14:paraId="70A82106" w14:textId="77777777" w:rsidR="005C2771" w:rsidRDefault="005C2771">
                    <w:pPr>
                      <w:snapToGrid/>
                      <w:spacing w:line="80" w:lineRule="exact"/>
                      <w:rPr>
                        <w:rFonts w:eastAsia="PMingLiU"/>
                        <w:b/>
                        <w:sz w:val="18"/>
                        <w:lang w:eastAsia="zh-TW"/>
                      </w:rPr>
                    </w:pPr>
                  </w:p>
                  <w:p w14:paraId="7D07D97D" w14:textId="77777777" w:rsidR="005C2771" w:rsidRDefault="005C2771">
                    <w:pPr>
                      <w:snapToGrid/>
                      <w:spacing w:line="80" w:lineRule="exact"/>
                      <w:rPr>
                        <w:rFonts w:eastAsia="PMingLiU"/>
                        <w:b/>
                        <w:sz w:val="18"/>
                        <w:lang w:eastAsia="zh-TW"/>
                      </w:rPr>
                    </w:pPr>
                  </w:p>
                  <w:p w14:paraId="312F896C" w14:textId="77777777" w:rsidR="005C2771" w:rsidRDefault="005C2771">
                    <w:pPr>
                      <w:snapToGrid/>
                      <w:spacing w:line="20" w:lineRule="exact"/>
                      <w:rPr>
                        <w:rFonts w:eastAsia="PMingLiU"/>
                        <w:b/>
                        <w:sz w:val="18"/>
                        <w:lang w:eastAsia="zh-TW"/>
                      </w:rPr>
                    </w:pPr>
                  </w:p>
                  <w:p w14:paraId="07B7B533" w14:textId="77777777" w:rsidR="005C2771" w:rsidRDefault="005C2771">
                    <w:pPr>
                      <w:snapToGrid/>
                      <w:spacing w:line="80" w:lineRule="exact"/>
                      <w:rPr>
                        <w:rFonts w:eastAsia="PMingLiU"/>
                        <w:b/>
                        <w:sz w:val="20"/>
                        <w:lang w:eastAsia="zh-TW"/>
                      </w:rPr>
                    </w:pPr>
                  </w:p>
                  <w:p w14:paraId="2DAF2B83" w14:textId="77777777" w:rsidR="005C2771" w:rsidRDefault="005C2771">
                    <w:pPr>
                      <w:snapToGrid/>
                      <w:spacing w:line="180" w:lineRule="exact"/>
                      <w:rPr>
                        <w:rFonts w:eastAsia="PMingLiU"/>
                        <w:b/>
                        <w:sz w:val="20"/>
                        <w:lang w:eastAsia="zh-TW"/>
                      </w:rPr>
                    </w:pPr>
                    <w:r>
                      <w:rPr>
                        <w:rFonts w:eastAsia="PMingLiU" w:hint="eastAsia"/>
                        <w:b/>
                        <w:sz w:val="20"/>
                        <w:lang w:eastAsia="zh-TW"/>
                      </w:rPr>
                      <w:t xml:space="preserve"> </w:t>
                    </w:r>
                  </w:p>
                  <w:p w14:paraId="34250D18" w14:textId="77777777" w:rsidR="005C2771" w:rsidRDefault="005C2771">
                    <w:pPr>
                      <w:snapToGrid/>
                      <w:spacing w:line="160" w:lineRule="exact"/>
                      <w:rPr>
                        <w:rFonts w:eastAsia="PMingLiU"/>
                        <w:b/>
                        <w:sz w:val="20"/>
                        <w:lang w:eastAsia="zh-TW"/>
                      </w:rPr>
                    </w:pPr>
                    <w:r>
                      <w:rPr>
                        <w:rFonts w:eastAsia="PMingLiU" w:hint="eastAsia"/>
                        <w:b/>
                        <w:sz w:val="20"/>
                        <w:lang w:eastAsia="zh-TW"/>
                      </w:rPr>
                      <w:t xml:space="preserve"> </w:t>
                    </w:r>
                  </w:p>
                  <w:p w14:paraId="0C7416A8" w14:textId="77777777" w:rsidR="005C2771" w:rsidRDefault="005C2771">
                    <w:pPr>
                      <w:snapToGrid/>
                      <w:spacing w:line="80" w:lineRule="exact"/>
                      <w:rPr>
                        <w:rFonts w:eastAsia="PMingLiU"/>
                        <w:b/>
                        <w:sz w:val="20"/>
                        <w:lang w:eastAsia="zh-TW"/>
                      </w:rPr>
                    </w:pPr>
                  </w:p>
                  <w:p w14:paraId="5C95E2B4" w14:textId="77777777" w:rsidR="005C2771" w:rsidRDefault="005C2771">
                    <w:pPr>
                      <w:rPr>
                        <w:b/>
                        <w:sz w:val="20"/>
                      </w:rPr>
                    </w:pPr>
                    <w:r>
                      <w:rPr>
                        <w:rFonts w:eastAsia="PMingLiU" w:hint="eastAsia"/>
                        <w:b/>
                        <w:sz w:val="20"/>
                        <w:lang w:eastAsia="zh-TW"/>
                      </w:rPr>
                      <w:t xml:space="preserve"> </w:t>
                    </w:r>
                    <w:r>
                      <w:rPr>
                        <w:rFonts w:hint="eastAsia"/>
                        <w:b/>
                        <w:sz w:val="20"/>
                      </w:rPr>
                      <w:t>A</w:t>
                    </w:r>
                  </w:p>
                  <w:p w14:paraId="7D26EBA7" w14:textId="77777777" w:rsidR="005C2771" w:rsidRDefault="005C2771">
                    <w:pPr>
                      <w:rPr>
                        <w:b/>
                        <w:sz w:val="10"/>
                      </w:rPr>
                    </w:pPr>
                  </w:p>
                  <w:p w14:paraId="592B64D2" w14:textId="77777777" w:rsidR="005C2771" w:rsidRDefault="005C2771">
                    <w:pPr>
                      <w:rPr>
                        <w:b/>
                        <w:sz w:val="16"/>
                      </w:rPr>
                    </w:pPr>
                  </w:p>
                  <w:p w14:paraId="70C7AF91" w14:textId="77777777" w:rsidR="005C2771" w:rsidRDefault="005C2771">
                    <w:pPr>
                      <w:rPr>
                        <w:rFonts w:eastAsia="PMingLiU"/>
                        <w:b/>
                        <w:sz w:val="16"/>
                        <w:lang w:eastAsia="zh-TW"/>
                      </w:rPr>
                    </w:pPr>
                    <w:r>
                      <w:rPr>
                        <w:rFonts w:eastAsia="PMingLiU" w:hint="eastAsia"/>
                        <w:b/>
                        <w:sz w:val="16"/>
                        <w:lang w:eastAsia="zh-TW"/>
                      </w:rPr>
                      <w:t xml:space="preserve"> </w:t>
                    </w:r>
                  </w:p>
                  <w:p w14:paraId="37A7415E" w14:textId="77777777" w:rsidR="005C2771" w:rsidRDefault="005C2771">
                    <w:pPr>
                      <w:rPr>
                        <w:b/>
                        <w:sz w:val="20"/>
                      </w:rPr>
                    </w:pPr>
                    <w:r>
                      <w:rPr>
                        <w:rFonts w:eastAsia="PMingLiU" w:hint="eastAsia"/>
                        <w:b/>
                        <w:sz w:val="20"/>
                        <w:lang w:eastAsia="zh-TW"/>
                      </w:rPr>
                      <w:t xml:space="preserve"> </w:t>
                    </w:r>
                    <w:r>
                      <w:rPr>
                        <w:rFonts w:hint="eastAsia"/>
                        <w:b/>
                        <w:sz w:val="20"/>
                      </w:rPr>
                      <w:t>B</w:t>
                    </w:r>
                  </w:p>
                  <w:p w14:paraId="26837802" w14:textId="77777777" w:rsidR="005C2771" w:rsidRDefault="005C2771">
                    <w:pPr>
                      <w:rPr>
                        <w:b/>
                        <w:sz w:val="10"/>
                      </w:rPr>
                    </w:pPr>
                  </w:p>
                  <w:p w14:paraId="1C9FBBCC" w14:textId="77777777" w:rsidR="005C2771" w:rsidRDefault="005C2771">
                    <w:pPr>
                      <w:rPr>
                        <w:b/>
                        <w:sz w:val="16"/>
                      </w:rPr>
                    </w:pPr>
                  </w:p>
                  <w:p w14:paraId="36F43722" w14:textId="77777777" w:rsidR="005C2771" w:rsidRDefault="005C2771">
                    <w:pPr>
                      <w:rPr>
                        <w:b/>
                        <w:sz w:val="16"/>
                      </w:rPr>
                    </w:pPr>
                  </w:p>
                  <w:p w14:paraId="51F3EBC4" w14:textId="77777777" w:rsidR="005C2771" w:rsidRDefault="005C2771">
                    <w:pPr>
                      <w:rPr>
                        <w:b/>
                        <w:sz w:val="16"/>
                      </w:rPr>
                    </w:pPr>
                    <w:r>
                      <w:rPr>
                        <w:rFonts w:eastAsia="PMingLiU" w:hint="eastAsia"/>
                        <w:b/>
                        <w:sz w:val="20"/>
                        <w:lang w:eastAsia="zh-TW"/>
                      </w:rPr>
                      <w:t xml:space="preserve"> </w:t>
                    </w:r>
                    <w:r>
                      <w:rPr>
                        <w:rFonts w:hint="eastAsia"/>
                        <w:b/>
                        <w:sz w:val="20"/>
                      </w:rPr>
                      <w:t>C</w:t>
                    </w:r>
                  </w:p>
                  <w:p w14:paraId="15A8A4EF" w14:textId="77777777" w:rsidR="005C2771" w:rsidRDefault="005C2771">
                    <w:pPr>
                      <w:rPr>
                        <w:b/>
                        <w:sz w:val="10"/>
                      </w:rPr>
                    </w:pPr>
                  </w:p>
                  <w:p w14:paraId="01CC196E" w14:textId="77777777" w:rsidR="005C2771" w:rsidRDefault="005C2771">
                    <w:pPr>
                      <w:rPr>
                        <w:b/>
                        <w:sz w:val="16"/>
                      </w:rPr>
                    </w:pPr>
                  </w:p>
                  <w:p w14:paraId="0DF831B5" w14:textId="77777777" w:rsidR="005C2771" w:rsidRDefault="005C2771">
                    <w:pPr>
                      <w:rPr>
                        <w:b/>
                        <w:sz w:val="16"/>
                      </w:rPr>
                    </w:pPr>
                  </w:p>
                  <w:p w14:paraId="0597AEB2" w14:textId="77777777" w:rsidR="005C2771" w:rsidRDefault="005C2771">
                    <w:pPr>
                      <w:pStyle w:val="Heading2"/>
                      <w:rPr>
                        <w:sz w:val="16"/>
                      </w:rPr>
                    </w:pPr>
                    <w:r>
                      <w:rPr>
                        <w:rFonts w:eastAsia="PMingLiU" w:hint="eastAsia"/>
                        <w:lang w:eastAsia="zh-TW"/>
                      </w:rPr>
                      <w:t xml:space="preserve"> </w:t>
                    </w:r>
                    <w:r>
                      <w:rPr>
                        <w:rFonts w:hint="eastAsia"/>
                      </w:rPr>
                      <w:t>D</w:t>
                    </w:r>
                  </w:p>
                  <w:p w14:paraId="2715A726" w14:textId="77777777" w:rsidR="005C2771" w:rsidRDefault="005C2771">
                    <w:pPr>
                      <w:rPr>
                        <w:b/>
                        <w:sz w:val="10"/>
                      </w:rPr>
                    </w:pPr>
                  </w:p>
                  <w:p w14:paraId="04BA3766" w14:textId="77777777" w:rsidR="005C2771" w:rsidRDefault="005C2771">
                    <w:pPr>
                      <w:rPr>
                        <w:b/>
                        <w:sz w:val="16"/>
                      </w:rPr>
                    </w:pPr>
                  </w:p>
                  <w:p w14:paraId="76EBE851" w14:textId="77777777" w:rsidR="005C2771" w:rsidRDefault="005C2771">
                    <w:pPr>
                      <w:rPr>
                        <w:b/>
                        <w:sz w:val="16"/>
                      </w:rPr>
                    </w:pPr>
                  </w:p>
                  <w:p w14:paraId="533C6855" w14:textId="77777777" w:rsidR="005C2771" w:rsidRDefault="005C2771">
                    <w:pPr>
                      <w:rPr>
                        <w:b/>
                        <w:sz w:val="16"/>
                      </w:rPr>
                    </w:pPr>
                    <w:r>
                      <w:rPr>
                        <w:rFonts w:eastAsia="PMingLiU" w:hint="eastAsia"/>
                        <w:b/>
                        <w:sz w:val="20"/>
                        <w:lang w:eastAsia="zh-TW"/>
                      </w:rPr>
                      <w:t xml:space="preserve"> </w:t>
                    </w:r>
                    <w:r>
                      <w:rPr>
                        <w:rFonts w:hint="eastAsia"/>
                        <w:b/>
                        <w:sz w:val="20"/>
                      </w:rPr>
                      <w:t>E</w:t>
                    </w:r>
                  </w:p>
                  <w:p w14:paraId="4F7B56ED" w14:textId="77777777" w:rsidR="005C2771" w:rsidRDefault="005C2771">
                    <w:pPr>
                      <w:rPr>
                        <w:b/>
                        <w:sz w:val="10"/>
                      </w:rPr>
                    </w:pPr>
                  </w:p>
                  <w:p w14:paraId="49C297F7" w14:textId="77777777" w:rsidR="005C2771" w:rsidRDefault="005C2771">
                    <w:pPr>
                      <w:rPr>
                        <w:b/>
                        <w:sz w:val="16"/>
                      </w:rPr>
                    </w:pPr>
                  </w:p>
                  <w:p w14:paraId="494CBEB7" w14:textId="77777777" w:rsidR="005C2771" w:rsidRDefault="005C2771">
                    <w:pPr>
                      <w:rPr>
                        <w:b/>
                        <w:sz w:val="16"/>
                      </w:rPr>
                    </w:pPr>
                  </w:p>
                  <w:p w14:paraId="203D401C" w14:textId="77777777" w:rsidR="005C2771" w:rsidRDefault="005C2771">
                    <w:pPr>
                      <w:rPr>
                        <w:b/>
                        <w:sz w:val="20"/>
                      </w:rPr>
                    </w:pPr>
                    <w:r>
                      <w:rPr>
                        <w:rFonts w:eastAsia="PMingLiU" w:hint="eastAsia"/>
                        <w:b/>
                        <w:sz w:val="20"/>
                        <w:lang w:eastAsia="zh-TW"/>
                      </w:rPr>
                      <w:t xml:space="preserve"> </w:t>
                    </w:r>
                    <w:r>
                      <w:rPr>
                        <w:rFonts w:hint="eastAsia"/>
                        <w:b/>
                        <w:sz w:val="20"/>
                      </w:rPr>
                      <w:t>F</w:t>
                    </w:r>
                  </w:p>
                  <w:p w14:paraId="68D12C8A" w14:textId="77777777" w:rsidR="005C2771" w:rsidRDefault="005C2771">
                    <w:pPr>
                      <w:rPr>
                        <w:b/>
                        <w:sz w:val="10"/>
                      </w:rPr>
                    </w:pPr>
                  </w:p>
                  <w:p w14:paraId="3BA69714" w14:textId="77777777" w:rsidR="005C2771" w:rsidRDefault="005C2771">
                    <w:pPr>
                      <w:rPr>
                        <w:b/>
                        <w:sz w:val="16"/>
                      </w:rPr>
                    </w:pPr>
                  </w:p>
                  <w:p w14:paraId="00FEB828" w14:textId="77777777" w:rsidR="005C2771" w:rsidRDefault="005C2771">
                    <w:pPr>
                      <w:rPr>
                        <w:b/>
                        <w:sz w:val="16"/>
                      </w:rPr>
                    </w:pPr>
                  </w:p>
                  <w:p w14:paraId="46EB7A7F" w14:textId="77777777" w:rsidR="005C2771" w:rsidRDefault="005C2771">
                    <w:pPr>
                      <w:rPr>
                        <w:b/>
                        <w:sz w:val="16"/>
                      </w:rPr>
                    </w:pPr>
                    <w:r>
                      <w:rPr>
                        <w:rFonts w:eastAsia="PMingLiU" w:hint="eastAsia"/>
                        <w:b/>
                        <w:sz w:val="20"/>
                        <w:lang w:eastAsia="zh-TW"/>
                      </w:rPr>
                      <w:t xml:space="preserve"> </w:t>
                    </w:r>
                    <w:r>
                      <w:rPr>
                        <w:rFonts w:hint="eastAsia"/>
                        <w:b/>
                        <w:sz w:val="20"/>
                      </w:rPr>
                      <w:t>G</w:t>
                    </w:r>
                  </w:p>
                  <w:p w14:paraId="52C73B2B" w14:textId="77777777" w:rsidR="005C2771" w:rsidRDefault="005C2771">
                    <w:pPr>
                      <w:rPr>
                        <w:b/>
                        <w:sz w:val="10"/>
                      </w:rPr>
                    </w:pPr>
                  </w:p>
                  <w:p w14:paraId="4035CE8B" w14:textId="77777777" w:rsidR="005C2771" w:rsidRDefault="005C2771">
                    <w:pPr>
                      <w:rPr>
                        <w:b/>
                        <w:sz w:val="16"/>
                      </w:rPr>
                    </w:pPr>
                  </w:p>
                  <w:p w14:paraId="6B416FE1" w14:textId="77777777" w:rsidR="005C2771" w:rsidRDefault="005C2771">
                    <w:pPr>
                      <w:rPr>
                        <w:b/>
                        <w:sz w:val="16"/>
                      </w:rPr>
                    </w:pPr>
                  </w:p>
                  <w:p w14:paraId="486DEC38" w14:textId="77777777" w:rsidR="005C2771" w:rsidRDefault="005C2771">
                    <w:pPr>
                      <w:rPr>
                        <w:b/>
                        <w:sz w:val="16"/>
                      </w:rPr>
                    </w:pPr>
                    <w:r>
                      <w:rPr>
                        <w:rFonts w:eastAsia="PMingLiU" w:hint="eastAsia"/>
                        <w:b/>
                        <w:sz w:val="20"/>
                        <w:lang w:eastAsia="zh-TW"/>
                      </w:rPr>
                      <w:t xml:space="preserve"> </w:t>
                    </w:r>
                    <w:r>
                      <w:rPr>
                        <w:rFonts w:hint="eastAsia"/>
                        <w:b/>
                        <w:sz w:val="20"/>
                      </w:rPr>
                      <w:t>H</w:t>
                    </w:r>
                  </w:p>
                  <w:p w14:paraId="3C0C0652" w14:textId="77777777" w:rsidR="005C2771" w:rsidRDefault="005C2771">
                    <w:pPr>
                      <w:rPr>
                        <w:b/>
                        <w:sz w:val="10"/>
                      </w:rPr>
                    </w:pPr>
                  </w:p>
                  <w:p w14:paraId="345B59CC" w14:textId="77777777" w:rsidR="005C2771" w:rsidRDefault="005C2771">
                    <w:pPr>
                      <w:rPr>
                        <w:b/>
                        <w:sz w:val="16"/>
                      </w:rPr>
                    </w:pPr>
                  </w:p>
                  <w:p w14:paraId="2F90B111" w14:textId="77777777" w:rsidR="005C2771" w:rsidRDefault="005C2771">
                    <w:pPr>
                      <w:rPr>
                        <w:b/>
                        <w:sz w:val="16"/>
                      </w:rPr>
                    </w:pPr>
                  </w:p>
                  <w:p w14:paraId="5CE5975D" w14:textId="77777777" w:rsidR="005C2771" w:rsidRDefault="005C2771">
                    <w:pPr>
                      <w:rPr>
                        <w:b/>
                        <w:sz w:val="16"/>
                      </w:rPr>
                    </w:pPr>
                    <w:r>
                      <w:rPr>
                        <w:rFonts w:eastAsia="PMingLiU" w:hint="eastAsia"/>
                        <w:b/>
                        <w:sz w:val="20"/>
                        <w:lang w:eastAsia="zh-TW"/>
                      </w:rPr>
                      <w:t xml:space="preserve"> </w:t>
                    </w:r>
                    <w:r>
                      <w:rPr>
                        <w:rFonts w:hint="eastAsia"/>
                        <w:b/>
                        <w:sz w:val="20"/>
                      </w:rPr>
                      <w:t>I</w:t>
                    </w:r>
                  </w:p>
                  <w:p w14:paraId="6EECC1D8" w14:textId="77777777" w:rsidR="005C2771" w:rsidRDefault="005C2771">
                    <w:pPr>
                      <w:rPr>
                        <w:b/>
                        <w:sz w:val="10"/>
                      </w:rPr>
                    </w:pPr>
                  </w:p>
                  <w:p w14:paraId="0BD56D5D" w14:textId="77777777" w:rsidR="005C2771" w:rsidRDefault="005C2771">
                    <w:pPr>
                      <w:rPr>
                        <w:b/>
                        <w:sz w:val="16"/>
                      </w:rPr>
                    </w:pPr>
                  </w:p>
                  <w:p w14:paraId="15D13FDC" w14:textId="77777777" w:rsidR="005C2771" w:rsidRDefault="005C2771">
                    <w:pPr>
                      <w:rPr>
                        <w:b/>
                        <w:sz w:val="16"/>
                      </w:rPr>
                    </w:pPr>
                  </w:p>
                  <w:p w14:paraId="178BA1CF" w14:textId="77777777" w:rsidR="005C2771" w:rsidRDefault="005C2771">
                    <w:pPr>
                      <w:rPr>
                        <w:b/>
                        <w:sz w:val="16"/>
                      </w:rPr>
                    </w:pPr>
                    <w:r>
                      <w:rPr>
                        <w:rFonts w:eastAsia="PMingLiU" w:hint="eastAsia"/>
                        <w:b/>
                        <w:sz w:val="20"/>
                        <w:lang w:eastAsia="zh-TW"/>
                      </w:rPr>
                      <w:t xml:space="preserve"> </w:t>
                    </w:r>
                    <w:r>
                      <w:rPr>
                        <w:rFonts w:hint="eastAsia"/>
                        <w:b/>
                        <w:sz w:val="20"/>
                      </w:rPr>
                      <w:t>J</w:t>
                    </w:r>
                  </w:p>
                  <w:p w14:paraId="62CB2F3B" w14:textId="77777777" w:rsidR="005C2771" w:rsidRDefault="005C2771">
                    <w:pPr>
                      <w:rPr>
                        <w:b/>
                        <w:sz w:val="10"/>
                      </w:rPr>
                    </w:pPr>
                  </w:p>
                  <w:p w14:paraId="27DFCAA5" w14:textId="77777777" w:rsidR="005C2771" w:rsidRDefault="005C2771">
                    <w:pPr>
                      <w:rPr>
                        <w:b/>
                        <w:sz w:val="16"/>
                      </w:rPr>
                    </w:pPr>
                  </w:p>
                  <w:p w14:paraId="4F6DD81C" w14:textId="77777777" w:rsidR="005C2771" w:rsidRDefault="005C2771">
                    <w:pPr>
                      <w:rPr>
                        <w:b/>
                        <w:sz w:val="16"/>
                      </w:rPr>
                    </w:pPr>
                  </w:p>
                  <w:p w14:paraId="44087E8B" w14:textId="77777777" w:rsidR="005C2771" w:rsidRDefault="005C2771">
                    <w:pPr>
                      <w:rPr>
                        <w:b/>
                        <w:sz w:val="16"/>
                      </w:rPr>
                    </w:pPr>
                    <w:r>
                      <w:rPr>
                        <w:rFonts w:eastAsia="PMingLiU" w:hint="eastAsia"/>
                        <w:b/>
                        <w:sz w:val="20"/>
                        <w:lang w:eastAsia="zh-TW"/>
                      </w:rPr>
                      <w:t xml:space="preserve"> </w:t>
                    </w:r>
                    <w:r>
                      <w:rPr>
                        <w:rFonts w:hint="eastAsia"/>
                        <w:b/>
                        <w:sz w:val="20"/>
                      </w:rPr>
                      <w:t>K</w:t>
                    </w:r>
                  </w:p>
                  <w:p w14:paraId="14EB6235" w14:textId="77777777" w:rsidR="005C2771" w:rsidRDefault="005C2771">
                    <w:pPr>
                      <w:rPr>
                        <w:b/>
                        <w:sz w:val="10"/>
                      </w:rPr>
                    </w:pPr>
                  </w:p>
                  <w:p w14:paraId="25233836" w14:textId="77777777" w:rsidR="005C2771" w:rsidRDefault="005C2771">
                    <w:pPr>
                      <w:rPr>
                        <w:b/>
                        <w:sz w:val="16"/>
                      </w:rPr>
                    </w:pPr>
                  </w:p>
                  <w:p w14:paraId="533048DB" w14:textId="77777777" w:rsidR="005C2771" w:rsidRDefault="005C2771">
                    <w:pPr>
                      <w:rPr>
                        <w:b/>
                        <w:sz w:val="16"/>
                      </w:rPr>
                    </w:pPr>
                  </w:p>
                  <w:p w14:paraId="7E67E035" w14:textId="77777777" w:rsidR="005C2771" w:rsidRDefault="005C2771">
                    <w:pPr>
                      <w:rPr>
                        <w:b/>
                        <w:sz w:val="16"/>
                      </w:rPr>
                    </w:pPr>
                    <w:r>
                      <w:rPr>
                        <w:rFonts w:eastAsia="PMingLiU" w:hint="eastAsia"/>
                        <w:b/>
                        <w:sz w:val="20"/>
                        <w:lang w:eastAsia="zh-TW"/>
                      </w:rPr>
                      <w:t xml:space="preserve"> </w:t>
                    </w:r>
                    <w:r>
                      <w:rPr>
                        <w:rFonts w:hint="eastAsia"/>
                        <w:b/>
                        <w:sz w:val="20"/>
                      </w:rPr>
                      <w:t>L</w:t>
                    </w:r>
                  </w:p>
                  <w:p w14:paraId="72114B9C" w14:textId="77777777" w:rsidR="005C2771" w:rsidRDefault="005C2771">
                    <w:pPr>
                      <w:rPr>
                        <w:b/>
                        <w:sz w:val="10"/>
                      </w:rPr>
                    </w:pPr>
                  </w:p>
                  <w:p w14:paraId="1C8E9157" w14:textId="77777777" w:rsidR="005C2771" w:rsidRDefault="005C2771">
                    <w:pPr>
                      <w:rPr>
                        <w:b/>
                        <w:sz w:val="16"/>
                      </w:rPr>
                    </w:pPr>
                  </w:p>
                  <w:p w14:paraId="246A7F37" w14:textId="77777777" w:rsidR="005C2771" w:rsidRDefault="005C2771">
                    <w:pPr>
                      <w:rPr>
                        <w:b/>
                        <w:sz w:val="16"/>
                      </w:rPr>
                    </w:pPr>
                  </w:p>
                  <w:p w14:paraId="249F14D5" w14:textId="77777777" w:rsidR="005C2771" w:rsidRDefault="005C2771">
                    <w:pPr>
                      <w:rPr>
                        <w:b/>
                        <w:sz w:val="16"/>
                      </w:rPr>
                    </w:pPr>
                    <w:r>
                      <w:rPr>
                        <w:rFonts w:eastAsia="PMingLiU" w:hint="eastAsia"/>
                        <w:b/>
                        <w:sz w:val="20"/>
                        <w:lang w:eastAsia="zh-TW"/>
                      </w:rPr>
                      <w:t xml:space="preserve"> </w:t>
                    </w:r>
                    <w:r>
                      <w:rPr>
                        <w:rFonts w:hint="eastAsia"/>
                        <w:b/>
                        <w:sz w:val="20"/>
                      </w:rPr>
                      <w:t>M</w:t>
                    </w:r>
                  </w:p>
                  <w:p w14:paraId="05EEFD88" w14:textId="77777777" w:rsidR="005C2771" w:rsidRDefault="005C2771">
                    <w:pPr>
                      <w:rPr>
                        <w:b/>
                        <w:sz w:val="10"/>
                      </w:rPr>
                    </w:pPr>
                  </w:p>
                  <w:p w14:paraId="3C810F31" w14:textId="77777777" w:rsidR="005C2771" w:rsidRDefault="005C2771">
                    <w:pPr>
                      <w:rPr>
                        <w:b/>
                        <w:sz w:val="16"/>
                      </w:rPr>
                    </w:pPr>
                  </w:p>
                  <w:p w14:paraId="3E309AE6" w14:textId="77777777" w:rsidR="005C2771" w:rsidRDefault="005C2771">
                    <w:pPr>
                      <w:rPr>
                        <w:b/>
                        <w:sz w:val="16"/>
                      </w:rPr>
                    </w:pPr>
                  </w:p>
                  <w:p w14:paraId="69B34A0F" w14:textId="77777777" w:rsidR="005C2771" w:rsidRDefault="005C2771">
                    <w:pPr>
                      <w:rPr>
                        <w:b/>
                        <w:sz w:val="16"/>
                      </w:rPr>
                    </w:pPr>
                    <w:r>
                      <w:rPr>
                        <w:rFonts w:eastAsia="PMingLiU" w:hint="eastAsia"/>
                        <w:b/>
                        <w:sz w:val="20"/>
                        <w:lang w:eastAsia="zh-TW"/>
                      </w:rPr>
                      <w:t xml:space="preserve"> </w:t>
                    </w:r>
                    <w:r>
                      <w:rPr>
                        <w:rFonts w:hint="eastAsia"/>
                        <w:b/>
                        <w:sz w:val="20"/>
                      </w:rPr>
                      <w:t>N</w:t>
                    </w:r>
                  </w:p>
                  <w:p w14:paraId="1E2D1FDB" w14:textId="77777777" w:rsidR="005C2771" w:rsidRDefault="005C2771">
                    <w:pPr>
                      <w:rPr>
                        <w:b/>
                        <w:sz w:val="10"/>
                      </w:rPr>
                    </w:pPr>
                  </w:p>
                  <w:p w14:paraId="442BD872" w14:textId="77777777" w:rsidR="005C2771" w:rsidRDefault="005C2771">
                    <w:pPr>
                      <w:rPr>
                        <w:b/>
                        <w:sz w:val="16"/>
                      </w:rPr>
                    </w:pPr>
                  </w:p>
                  <w:p w14:paraId="611B569E" w14:textId="77777777" w:rsidR="005C2771" w:rsidRDefault="005C2771">
                    <w:pPr>
                      <w:rPr>
                        <w:b/>
                        <w:sz w:val="16"/>
                      </w:rPr>
                    </w:pPr>
                  </w:p>
                  <w:p w14:paraId="70D6D6FE" w14:textId="77777777" w:rsidR="005C2771" w:rsidRDefault="005C2771">
                    <w:pPr>
                      <w:rPr>
                        <w:b/>
                        <w:sz w:val="16"/>
                      </w:rPr>
                    </w:pPr>
                    <w:r>
                      <w:rPr>
                        <w:rFonts w:eastAsia="PMingLiU" w:hint="eastAsia"/>
                        <w:b/>
                        <w:sz w:val="20"/>
                        <w:lang w:eastAsia="zh-TW"/>
                      </w:rPr>
                      <w:t xml:space="preserve"> </w:t>
                    </w:r>
                    <w:r>
                      <w:rPr>
                        <w:rFonts w:hint="eastAsia"/>
                        <w:b/>
                        <w:sz w:val="20"/>
                      </w:rPr>
                      <w:t>O</w:t>
                    </w:r>
                  </w:p>
                  <w:p w14:paraId="7D02C82E" w14:textId="77777777" w:rsidR="005C2771" w:rsidRDefault="005C2771">
                    <w:pPr>
                      <w:rPr>
                        <w:b/>
                        <w:sz w:val="10"/>
                      </w:rPr>
                    </w:pPr>
                  </w:p>
                  <w:p w14:paraId="6EC67AEE" w14:textId="77777777" w:rsidR="005C2771" w:rsidRDefault="005C2771">
                    <w:pPr>
                      <w:rPr>
                        <w:b/>
                        <w:sz w:val="16"/>
                      </w:rPr>
                    </w:pPr>
                  </w:p>
                  <w:p w14:paraId="4F66DDCB" w14:textId="77777777" w:rsidR="005C2771" w:rsidRDefault="005C2771">
                    <w:pPr>
                      <w:rPr>
                        <w:b/>
                        <w:sz w:val="16"/>
                      </w:rPr>
                    </w:pPr>
                  </w:p>
                  <w:p w14:paraId="38578CCA" w14:textId="77777777" w:rsidR="005C2771" w:rsidRDefault="005C2771">
                    <w:pPr>
                      <w:rPr>
                        <w:b/>
                        <w:sz w:val="16"/>
                      </w:rPr>
                    </w:pPr>
                    <w:r>
                      <w:rPr>
                        <w:rFonts w:eastAsia="PMingLiU" w:hint="eastAsia"/>
                        <w:b/>
                        <w:sz w:val="20"/>
                        <w:lang w:eastAsia="zh-TW"/>
                      </w:rPr>
                      <w:t xml:space="preserve"> </w:t>
                    </w:r>
                    <w:r>
                      <w:rPr>
                        <w:rFonts w:hint="eastAsia"/>
                        <w:b/>
                        <w:sz w:val="20"/>
                      </w:rPr>
                      <w:t>P</w:t>
                    </w:r>
                  </w:p>
                  <w:p w14:paraId="11C0E545" w14:textId="77777777" w:rsidR="005C2771" w:rsidRDefault="005C2771">
                    <w:pPr>
                      <w:rPr>
                        <w:b/>
                        <w:sz w:val="10"/>
                      </w:rPr>
                    </w:pPr>
                  </w:p>
                  <w:p w14:paraId="30285146" w14:textId="77777777" w:rsidR="005C2771" w:rsidRDefault="005C2771">
                    <w:pPr>
                      <w:rPr>
                        <w:b/>
                        <w:sz w:val="16"/>
                      </w:rPr>
                    </w:pPr>
                  </w:p>
                  <w:p w14:paraId="15C2AFAB" w14:textId="77777777" w:rsidR="005C2771" w:rsidRDefault="005C2771">
                    <w:pPr>
                      <w:rPr>
                        <w:b/>
                        <w:sz w:val="16"/>
                      </w:rPr>
                    </w:pPr>
                  </w:p>
                  <w:p w14:paraId="68D9E04D" w14:textId="77777777" w:rsidR="005C2771" w:rsidRDefault="005C2771">
                    <w:pPr>
                      <w:rPr>
                        <w:b/>
                        <w:sz w:val="16"/>
                      </w:rPr>
                    </w:pPr>
                    <w:r>
                      <w:rPr>
                        <w:rFonts w:eastAsia="PMingLiU" w:hint="eastAsia"/>
                        <w:b/>
                        <w:sz w:val="20"/>
                        <w:lang w:eastAsia="zh-TW"/>
                      </w:rPr>
                      <w:t xml:space="preserve"> </w:t>
                    </w:r>
                    <w:r>
                      <w:rPr>
                        <w:rFonts w:hint="eastAsia"/>
                        <w:b/>
                        <w:sz w:val="20"/>
                      </w:rPr>
                      <w:t>Q</w:t>
                    </w:r>
                  </w:p>
                  <w:p w14:paraId="097ED81F" w14:textId="77777777" w:rsidR="005C2771" w:rsidRDefault="005C2771">
                    <w:pPr>
                      <w:rPr>
                        <w:b/>
                        <w:sz w:val="10"/>
                      </w:rPr>
                    </w:pPr>
                  </w:p>
                  <w:p w14:paraId="6235D12F" w14:textId="77777777" w:rsidR="005C2771" w:rsidRDefault="005C2771">
                    <w:pPr>
                      <w:rPr>
                        <w:b/>
                        <w:sz w:val="16"/>
                      </w:rPr>
                    </w:pPr>
                  </w:p>
                  <w:p w14:paraId="45A6F38E" w14:textId="77777777" w:rsidR="005C2771" w:rsidRDefault="005C2771">
                    <w:pPr>
                      <w:rPr>
                        <w:b/>
                        <w:sz w:val="16"/>
                      </w:rPr>
                    </w:pPr>
                  </w:p>
                  <w:p w14:paraId="30DA759D" w14:textId="77777777" w:rsidR="005C2771" w:rsidRDefault="005C2771">
                    <w:pPr>
                      <w:rPr>
                        <w:b/>
                        <w:sz w:val="16"/>
                      </w:rPr>
                    </w:pPr>
                    <w:r>
                      <w:rPr>
                        <w:rFonts w:eastAsia="PMingLiU" w:hint="eastAsia"/>
                        <w:b/>
                        <w:sz w:val="20"/>
                        <w:lang w:eastAsia="zh-TW"/>
                      </w:rPr>
                      <w:t xml:space="preserve"> </w:t>
                    </w:r>
                    <w:r>
                      <w:rPr>
                        <w:rFonts w:hint="eastAsia"/>
                        <w:b/>
                        <w:sz w:val="20"/>
                      </w:rPr>
                      <w:t>R</w:t>
                    </w:r>
                  </w:p>
                  <w:p w14:paraId="47DED882" w14:textId="77777777" w:rsidR="005C2771" w:rsidRDefault="005C2771">
                    <w:pPr>
                      <w:rPr>
                        <w:b/>
                        <w:sz w:val="10"/>
                      </w:rPr>
                    </w:pPr>
                  </w:p>
                  <w:p w14:paraId="4B24D036" w14:textId="77777777" w:rsidR="005C2771" w:rsidRDefault="005C2771">
                    <w:pPr>
                      <w:rPr>
                        <w:b/>
                        <w:sz w:val="16"/>
                      </w:rPr>
                    </w:pPr>
                  </w:p>
                  <w:p w14:paraId="5E54916A" w14:textId="77777777" w:rsidR="005C2771" w:rsidRDefault="005C2771">
                    <w:pPr>
                      <w:rPr>
                        <w:b/>
                        <w:sz w:val="16"/>
                      </w:rPr>
                    </w:pPr>
                  </w:p>
                  <w:p w14:paraId="6D5B7BA0" w14:textId="77777777" w:rsidR="005C2771" w:rsidRDefault="005C2771">
                    <w:pPr>
                      <w:rPr>
                        <w:b/>
                        <w:sz w:val="16"/>
                      </w:rPr>
                    </w:pPr>
                    <w:r>
                      <w:rPr>
                        <w:rFonts w:eastAsia="PMingLiU" w:hint="eastAsia"/>
                        <w:b/>
                        <w:sz w:val="20"/>
                        <w:lang w:eastAsia="zh-TW"/>
                      </w:rPr>
                      <w:t xml:space="preserve"> </w:t>
                    </w:r>
                    <w:r>
                      <w:rPr>
                        <w:rFonts w:hint="eastAsia"/>
                        <w:b/>
                        <w:sz w:val="20"/>
                      </w:rPr>
                      <w:t>S</w:t>
                    </w:r>
                  </w:p>
                  <w:p w14:paraId="69A2AD72" w14:textId="77777777" w:rsidR="005C2771" w:rsidRDefault="005C2771">
                    <w:pPr>
                      <w:rPr>
                        <w:b/>
                        <w:sz w:val="10"/>
                      </w:rPr>
                    </w:pPr>
                  </w:p>
                  <w:p w14:paraId="20E4E63A" w14:textId="77777777" w:rsidR="005C2771" w:rsidRDefault="005C2771">
                    <w:pPr>
                      <w:rPr>
                        <w:b/>
                        <w:sz w:val="16"/>
                      </w:rPr>
                    </w:pPr>
                  </w:p>
                  <w:p w14:paraId="0861038F" w14:textId="77777777" w:rsidR="005C2771" w:rsidRDefault="005C2771">
                    <w:pPr>
                      <w:rPr>
                        <w:b/>
                        <w:sz w:val="16"/>
                      </w:rPr>
                    </w:pPr>
                  </w:p>
                  <w:p w14:paraId="0CD2392D" w14:textId="77777777" w:rsidR="005C2771" w:rsidRDefault="005C2771">
                    <w:pPr>
                      <w:rPr>
                        <w:b/>
                        <w:sz w:val="16"/>
                      </w:rPr>
                    </w:pPr>
                    <w:r>
                      <w:rPr>
                        <w:rFonts w:eastAsia="PMingLiU" w:hint="eastAsia"/>
                        <w:b/>
                        <w:sz w:val="20"/>
                        <w:lang w:eastAsia="zh-TW"/>
                      </w:rPr>
                      <w:t xml:space="preserve"> </w:t>
                    </w:r>
                    <w:r>
                      <w:rPr>
                        <w:rFonts w:hint="eastAsia"/>
                        <w:b/>
                        <w:sz w:val="20"/>
                      </w:rPr>
                      <w:t>T</w:t>
                    </w:r>
                  </w:p>
                  <w:p w14:paraId="77E83DF9" w14:textId="77777777" w:rsidR="005C2771" w:rsidRDefault="005C2771">
                    <w:pPr>
                      <w:rPr>
                        <w:b/>
                        <w:sz w:val="10"/>
                      </w:rPr>
                    </w:pPr>
                  </w:p>
                  <w:p w14:paraId="239E765D" w14:textId="77777777" w:rsidR="005C2771" w:rsidRDefault="005C2771">
                    <w:pPr>
                      <w:rPr>
                        <w:b/>
                        <w:sz w:val="16"/>
                      </w:rPr>
                    </w:pPr>
                  </w:p>
                  <w:p w14:paraId="112F9FD6" w14:textId="77777777" w:rsidR="005C2771" w:rsidRDefault="005C2771">
                    <w:pPr>
                      <w:rPr>
                        <w:b/>
                        <w:sz w:val="16"/>
                      </w:rPr>
                    </w:pPr>
                  </w:p>
                  <w:p w14:paraId="6B13843F" w14:textId="77777777" w:rsidR="005C2771" w:rsidRDefault="005C2771">
                    <w:pPr>
                      <w:rPr>
                        <w:b/>
                        <w:sz w:val="16"/>
                      </w:rPr>
                    </w:pPr>
                    <w:r>
                      <w:rPr>
                        <w:rFonts w:eastAsia="PMingLiU" w:hint="eastAsia"/>
                        <w:b/>
                        <w:sz w:val="20"/>
                        <w:lang w:eastAsia="zh-TW"/>
                      </w:rPr>
                      <w:t xml:space="preserve"> </w:t>
                    </w:r>
                    <w:r>
                      <w:rPr>
                        <w:rFonts w:hint="eastAsia"/>
                        <w:b/>
                        <w:sz w:val="20"/>
                      </w:rPr>
                      <w:t>U</w:t>
                    </w:r>
                  </w:p>
                  <w:p w14:paraId="66C544DE" w14:textId="77777777" w:rsidR="005C2771" w:rsidRDefault="005C2771">
                    <w:pPr>
                      <w:rPr>
                        <w:b/>
                        <w:sz w:val="10"/>
                      </w:rPr>
                    </w:pPr>
                  </w:p>
                  <w:p w14:paraId="38EFECB7" w14:textId="77777777" w:rsidR="005C2771" w:rsidRDefault="005C2771">
                    <w:pPr>
                      <w:rPr>
                        <w:b/>
                        <w:sz w:val="16"/>
                      </w:rPr>
                    </w:pPr>
                  </w:p>
                  <w:p w14:paraId="6758E9D1" w14:textId="77777777" w:rsidR="005C2771" w:rsidRDefault="005C2771">
                    <w:pPr>
                      <w:rPr>
                        <w:b/>
                        <w:sz w:val="16"/>
                      </w:rPr>
                    </w:pPr>
                  </w:p>
                  <w:p w14:paraId="590EDFC0" w14:textId="77777777" w:rsidR="005C2771" w:rsidRDefault="005C2771">
                    <w:pPr>
                      <w:pStyle w:val="Heading3"/>
                      <w:jc w:val="left"/>
                    </w:pPr>
                    <w:r>
                      <w:rPr>
                        <w:rFonts w:eastAsia="PMingLiU" w:hint="eastAsia"/>
                        <w:lang w:eastAsia="zh-TW"/>
                      </w:rPr>
                      <w:t xml:space="preserve"> </w:t>
                    </w:r>
                    <w:r>
                      <w:rPr>
                        <w:rFonts w:hint="eastAsia"/>
                      </w:rPr>
                      <w:t>V</w:t>
                    </w:r>
                  </w:p>
                </w:txbxContent>
              </v:textbox>
            </v:shape>
          </w:pict>
        </mc:Fallback>
      </mc:AlternateContent>
    </w:r>
    <w:r w:rsidRPr="00EF42F1">
      <w:rPr>
        <w:noProof/>
        <w:sz w:val="28"/>
        <w:szCs w:val="28"/>
        <w:lang w:val="en-US" w:eastAsia="zh-CN"/>
      </w:rPr>
      <mc:AlternateContent>
        <mc:Choice Requires="wps">
          <w:drawing>
            <wp:anchor distT="0" distB="0" distL="114300" distR="114300" simplePos="0" relativeHeight="251659264" behindDoc="0" locked="0" layoutInCell="1" allowOverlap="1" wp14:anchorId="1D1468CB" wp14:editId="3304E8CC">
              <wp:simplePos x="0" y="0"/>
              <wp:positionH relativeFrom="column">
                <wp:posOffset>-1040130</wp:posOffset>
              </wp:positionH>
              <wp:positionV relativeFrom="paragraph">
                <wp:posOffset>-525780</wp:posOffset>
              </wp:positionV>
              <wp:extent cx="533400" cy="10375900"/>
              <wp:effectExtent l="0" t="0" r="190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37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5E4E5" w14:textId="77777777" w:rsidR="00CE79A2" w:rsidRDefault="00CE79A2">
                          <w:pPr>
                            <w:rPr>
                              <w:rFonts w:eastAsia="PMingLiU"/>
                              <w:b/>
                              <w:sz w:val="18"/>
                              <w:lang w:eastAsia="zh-TW"/>
                            </w:rPr>
                          </w:pPr>
                          <w:r>
                            <w:rPr>
                              <w:rFonts w:eastAsia="PMingLiU" w:hint="eastAsia"/>
                              <w:b/>
                              <w:sz w:val="18"/>
                              <w:lang w:eastAsia="zh-TW"/>
                            </w:rPr>
                            <w:t xml:space="preserve">  </w:t>
                          </w:r>
                        </w:p>
                        <w:p w14:paraId="7BBB17FA" w14:textId="77777777" w:rsidR="00CE79A2" w:rsidRDefault="00CE79A2">
                          <w:pPr>
                            <w:rPr>
                              <w:rFonts w:eastAsia="PMingLiU"/>
                              <w:b/>
                              <w:sz w:val="18"/>
                              <w:lang w:eastAsia="zh-TW"/>
                            </w:rPr>
                          </w:pPr>
                          <w:r>
                            <w:rPr>
                              <w:rFonts w:eastAsia="PMingLiU" w:hint="eastAsia"/>
                              <w:b/>
                              <w:sz w:val="18"/>
                              <w:lang w:eastAsia="zh-TW"/>
                            </w:rPr>
                            <w:t xml:space="preserve">  </w:t>
                          </w:r>
                        </w:p>
                        <w:p w14:paraId="5393DC83" w14:textId="77777777" w:rsidR="00CE79A2" w:rsidRDefault="00CE79A2">
                          <w:pPr>
                            <w:spacing w:line="320" w:lineRule="exact"/>
                            <w:rPr>
                              <w:rFonts w:eastAsia="PMingLiU"/>
                              <w:b/>
                              <w:sz w:val="18"/>
                              <w:lang w:eastAsia="zh-TW"/>
                            </w:rPr>
                          </w:pPr>
                        </w:p>
                        <w:p w14:paraId="6A7F6FD2" w14:textId="77777777" w:rsidR="00CE79A2" w:rsidRDefault="00CE79A2">
                          <w:pPr>
                            <w:ind w:left="-140" w:firstLine="280"/>
                            <w:rPr>
                              <w:b/>
                              <w:sz w:val="20"/>
                            </w:rPr>
                          </w:pPr>
                          <w:r>
                            <w:rPr>
                              <w:rFonts w:eastAsia="PMingLiU" w:hint="eastAsia"/>
                              <w:b/>
                              <w:sz w:val="20"/>
                              <w:lang w:eastAsia="zh-TW"/>
                            </w:rPr>
                            <w:t xml:space="preserve"> </w:t>
                          </w:r>
                          <w:r>
                            <w:rPr>
                              <w:rFonts w:hint="eastAsia"/>
                              <w:b/>
                              <w:sz w:val="20"/>
                            </w:rPr>
                            <w:t>A</w:t>
                          </w:r>
                        </w:p>
                        <w:p w14:paraId="35F1AA26" w14:textId="77777777" w:rsidR="00CE79A2" w:rsidRDefault="00CE79A2">
                          <w:pPr>
                            <w:ind w:left="-140" w:firstLine="280"/>
                            <w:rPr>
                              <w:b/>
                              <w:sz w:val="10"/>
                            </w:rPr>
                          </w:pPr>
                        </w:p>
                        <w:p w14:paraId="13194C00" w14:textId="77777777" w:rsidR="00CE79A2" w:rsidRDefault="00CE79A2">
                          <w:pPr>
                            <w:ind w:left="-140" w:firstLine="280"/>
                            <w:rPr>
                              <w:b/>
                              <w:sz w:val="16"/>
                            </w:rPr>
                          </w:pPr>
                        </w:p>
                        <w:p w14:paraId="4C854775" w14:textId="77777777" w:rsidR="00CE79A2" w:rsidRDefault="00CE79A2">
                          <w:pPr>
                            <w:ind w:left="-140" w:firstLine="280"/>
                            <w:rPr>
                              <w:rFonts w:eastAsia="PMingLiU"/>
                              <w:b/>
                              <w:sz w:val="16"/>
                              <w:lang w:eastAsia="zh-TW"/>
                            </w:rPr>
                          </w:pPr>
                          <w:r>
                            <w:rPr>
                              <w:rFonts w:eastAsia="PMingLiU" w:hint="eastAsia"/>
                              <w:b/>
                              <w:sz w:val="16"/>
                              <w:lang w:eastAsia="zh-TW"/>
                            </w:rPr>
                            <w:t xml:space="preserve"> </w:t>
                          </w:r>
                        </w:p>
                        <w:p w14:paraId="30133AD5" w14:textId="77777777" w:rsidR="00CE79A2" w:rsidRDefault="00CE79A2">
                          <w:pPr>
                            <w:snapToGrid/>
                            <w:ind w:left="-142" w:firstLine="278"/>
                            <w:rPr>
                              <w:b/>
                              <w:sz w:val="20"/>
                            </w:rPr>
                          </w:pPr>
                          <w:r>
                            <w:rPr>
                              <w:rFonts w:eastAsia="PMingLiU" w:hint="eastAsia"/>
                              <w:b/>
                              <w:sz w:val="20"/>
                              <w:lang w:eastAsia="zh-TW"/>
                            </w:rPr>
                            <w:t xml:space="preserve"> </w:t>
                          </w:r>
                          <w:r>
                            <w:rPr>
                              <w:rFonts w:hint="eastAsia"/>
                              <w:b/>
                              <w:sz w:val="20"/>
                            </w:rPr>
                            <w:t>B</w:t>
                          </w:r>
                        </w:p>
                        <w:p w14:paraId="6CC4C35C" w14:textId="77777777" w:rsidR="00CE79A2" w:rsidRDefault="00CE79A2">
                          <w:pPr>
                            <w:snapToGrid/>
                            <w:ind w:left="-142" w:firstLine="278"/>
                            <w:rPr>
                              <w:b/>
                              <w:sz w:val="10"/>
                            </w:rPr>
                          </w:pPr>
                        </w:p>
                        <w:p w14:paraId="53879349" w14:textId="77777777" w:rsidR="00CE79A2" w:rsidRDefault="00CE79A2">
                          <w:pPr>
                            <w:snapToGrid/>
                            <w:ind w:left="-142" w:firstLine="278"/>
                            <w:rPr>
                              <w:b/>
                              <w:sz w:val="16"/>
                            </w:rPr>
                          </w:pPr>
                        </w:p>
                        <w:p w14:paraId="132A42E5" w14:textId="77777777" w:rsidR="00CE79A2" w:rsidRDefault="00CE79A2">
                          <w:pPr>
                            <w:snapToGrid/>
                            <w:ind w:left="-142" w:firstLine="278"/>
                            <w:rPr>
                              <w:b/>
                              <w:sz w:val="16"/>
                            </w:rPr>
                          </w:pPr>
                        </w:p>
                        <w:p w14:paraId="575509D5" w14:textId="77777777" w:rsidR="00CE79A2" w:rsidRDefault="00CE79A2">
                          <w:pPr>
                            <w:snapToGrid/>
                            <w:ind w:left="-142" w:firstLine="278"/>
                            <w:rPr>
                              <w:b/>
                              <w:sz w:val="16"/>
                            </w:rPr>
                          </w:pPr>
                          <w:r>
                            <w:rPr>
                              <w:rFonts w:eastAsia="PMingLiU" w:hint="eastAsia"/>
                              <w:b/>
                              <w:sz w:val="20"/>
                              <w:lang w:eastAsia="zh-TW"/>
                            </w:rPr>
                            <w:t xml:space="preserve"> </w:t>
                          </w:r>
                          <w:r>
                            <w:rPr>
                              <w:rFonts w:hint="eastAsia"/>
                              <w:b/>
                              <w:sz w:val="20"/>
                            </w:rPr>
                            <w:t>C</w:t>
                          </w:r>
                        </w:p>
                        <w:p w14:paraId="74670485" w14:textId="77777777" w:rsidR="00CE79A2" w:rsidRDefault="00CE79A2">
                          <w:pPr>
                            <w:ind w:left="-140" w:firstLine="280"/>
                            <w:rPr>
                              <w:b/>
                              <w:sz w:val="10"/>
                            </w:rPr>
                          </w:pPr>
                        </w:p>
                        <w:p w14:paraId="2F2561D9" w14:textId="77777777" w:rsidR="00CE79A2" w:rsidRDefault="00CE79A2">
                          <w:pPr>
                            <w:ind w:left="-140" w:firstLine="280"/>
                            <w:rPr>
                              <w:b/>
                              <w:sz w:val="16"/>
                            </w:rPr>
                          </w:pPr>
                        </w:p>
                        <w:p w14:paraId="48277B4D" w14:textId="77777777" w:rsidR="00CE79A2" w:rsidRDefault="00CE79A2">
                          <w:pPr>
                            <w:ind w:left="-140" w:firstLine="280"/>
                            <w:rPr>
                              <w:b/>
                              <w:sz w:val="16"/>
                            </w:rPr>
                          </w:pPr>
                        </w:p>
                        <w:p w14:paraId="2DB21F07" w14:textId="77777777" w:rsidR="00CE79A2" w:rsidRDefault="00CE79A2">
                          <w:pPr>
                            <w:pStyle w:val="Heading2"/>
                            <w:ind w:left="-140" w:firstLine="280"/>
                            <w:rPr>
                              <w:sz w:val="16"/>
                            </w:rPr>
                          </w:pPr>
                          <w:r>
                            <w:rPr>
                              <w:rFonts w:eastAsia="PMingLiU" w:hint="eastAsia"/>
                              <w:lang w:eastAsia="zh-TW"/>
                            </w:rPr>
                            <w:t xml:space="preserve"> </w:t>
                          </w:r>
                          <w:r>
                            <w:rPr>
                              <w:rFonts w:hint="eastAsia"/>
                            </w:rPr>
                            <w:t>D</w:t>
                          </w:r>
                        </w:p>
                        <w:p w14:paraId="255D1228" w14:textId="77777777" w:rsidR="00CE79A2" w:rsidRDefault="00CE79A2">
                          <w:pPr>
                            <w:ind w:left="-140" w:firstLine="280"/>
                            <w:rPr>
                              <w:b/>
                              <w:sz w:val="10"/>
                            </w:rPr>
                          </w:pPr>
                        </w:p>
                        <w:p w14:paraId="7E8E4E5C" w14:textId="77777777" w:rsidR="00CE79A2" w:rsidRDefault="00CE79A2">
                          <w:pPr>
                            <w:ind w:left="-140" w:firstLine="280"/>
                            <w:rPr>
                              <w:b/>
                              <w:sz w:val="16"/>
                            </w:rPr>
                          </w:pPr>
                        </w:p>
                        <w:p w14:paraId="34612AB7" w14:textId="77777777" w:rsidR="00CE79A2" w:rsidRDefault="00CE79A2">
                          <w:pPr>
                            <w:ind w:left="-140" w:firstLine="280"/>
                            <w:rPr>
                              <w:b/>
                              <w:sz w:val="16"/>
                            </w:rPr>
                          </w:pPr>
                        </w:p>
                        <w:p w14:paraId="0EB07BBC"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E</w:t>
                          </w:r>
                        </w:p>
                        <w:p w14:paraId="23879931" w14:textId="77777777" w:rsidR="00CE79A2" w:rsidRDefault="00CE79A2">
                          <w:pPr>
                            <w:ind w:left="-140" w:firstLine="280"/>
                            <w:rPr>
                              <w:b/>
                              <w:sz w:val="10"/>
                            </w:rPr>
                          </w:pPr>
                        </w:p>
                        <w:p w14:paraId="240CA1A1" w14:textId="77777777" w:rsidR="00CE79A2" w:rsidRDefault="00CE79A2">
                          <w:pPr>
                            <w:ind w:left="-140" w:firstLine="280"/>
                            <w:rPr>
                              <w:b/>
                              <w:sz w:val="16"/>
                            </w:rPr>
                          </w:pPr>
                        </w:p>
                        <w:p w14:paraId="13A15324" w14:textId="77777777" w:rsidR="00CE79A2" w:rsidRDefault="00CE79A2">
                          <w:pPr>
                            <w:ind w:left="-140" w:firstLine="280"/>
                            <w:rPr>
                              <w:b/>
                              <w:sz w:val="16"/>
                            </w:rPr>
                          </w:pPr>
                        </w:p>
                        <w:p w14:paraId="2EFF41A7" w14:textId="77777777" w:rsidR="00CE79A2" w:rsidRDefault="00CE79A2">
                          <w:pPr>
                            <w:ind w:left="-140" w:firstLine="280"/>
                            <w:rPr>
                              <w:b/>
                              <w:sz w:val="20"/>
                            </w:rPr>
                          </w:pPr>
                          <w:r>
                            <w:rPr>
                              <w:rFonts w:eastAsia="PMingLiU" w:hint="eastAsia"/>
                              <w:b/>
                              <w:sz w:val="20"/>
                              <w:lang w:eastAsia="zh-TW"/>
                            </w:rPr>
                            <w:t xml:space="preserve"> </w:t>
                          </w:r>
                          <w:r>
                            <w:rPr>
                              <w:rFonts w:hint="eastAsia"/>
                              <w:b/>
                              <w:sz w:val="20"/>
                            </w:rPr>
                            <w:t>F</w:t>
                          </w:r>
                        </w:p>
                        <w:p w14:paraId="118678A4" w14:textId="77777777" w:rsidR="00CE79A2" w:rsidRDefault="00CE79A2">
                          <w:pPr>
                            <w:ind w:left="-140" w:firstLine="280"/>
                            <w:rPr>
                              <w:b/>
                              <w:sz w:val="10"/>
                            </w:rPr>
                          </w:pPr>
                        </w:p>
                        <w:p w14:paraId="6ECEDE4D" w14:textId="77777777" w:rsidR="00CE79A2" w:rsidRDefault="00CE79A2">
                          <w:pPr>
                            <w:ind w:left="-140" w:firstLine="280"/>
                            <w:rPr>
                              <w:b/>
                              <w:sz w:val="16"/>
                            </w:rPr>
                          </w:pPr>
                        </w:p>
                        <w:p w14:paraId="11332F0E" w14:textId="77777777" w:rsidR="00CE79A2" w:rsidRDefault="00CE79A2">
                          <w:pPr>
                            <w:ind w:left="-140" w:firstLine="280"/>
                            <w:rPr>
                              <w:b/>
                              <w:sz w:val="16"/>
                            </w:rPr>
                          </w:pPr>
                        </w:p>
                        <w:p w14:paraId="73A0E1F5"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G</w:t>
                          </w:r>
                        </w:p>
                        <w:p w14:paraId="7E0964D8" w14:textId="77777777" w:rsidR="00CE79A2" w:rsidRDefault="00CE79A2">
                          <w:pPr>
                            <w:ind w:left="-140" w:firstLine="280"/>
                            <w:rPr>
                              <w:b/>
                              <w:sz w:val="10"/>
                            </w:rPr>
                          </w:pPr>
                        </w:p>
                        <w:p w14:paraId="496EA196" w14:textId="77777777" w:rsidR="00CE79A2" w:rsidRDefault="00CE79A2">
                          <w:pPr>
                            <w:ind w:left="-140" w:firstLine="280"/>
                            <w:rPr>
                              <w:b/>
                              <w:sz w:val="16"/>
                            </w:rPr>
                          </w:pPr>
                        </w:p>
                        <w:p w14:paraId="3439DFB8" w14:textId="77777777" w:rsidR="00CE79A2" w:rsidRDefault="00CE79A2">
                          <w:pPr>
                            <w:ind w:left="-140" w:firstLine="280"/>
                            <w:rPr>
                              <w:b/>
                              <w:sz w:val="16"/>
                            </w:rPr>
                          </w:pPr>
                        </w:p>
                        <w:p w14:paraId="2B4862B9"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H</w:t>
                          </w:r>
                        </w:p>
                        <w:p w14:paraId="1300149F" w14:textId="77777777" w:rsidR="00CE79A2" w:rsidRDefault="00CE79A2">
                          <w:pPr>
                            <w:ind w:left="-140" w:firstLine="280"/>
                            <w:rPr>
                              <w:b/>
                              <w:sz w:val="10"/>
                            </w:rPr>
                          </w:pPr>
                        </w:p>
                        <w:p w14:paraId="0523E132" w14:textId="77777777" w:rsidR="00CE79A2" w:rsidRDefault="00CE79A2">
                          <w:pPr>
                            <w:ind w:left="-140" w:firstLine="280"/>
                            <w:rPr>
                              <w:b/>
                              <w:sz w:val="16"/>
                            </w:rPr>
                          </w:pPr>
                        </w:p>
                        <w:p w14:paraId="4C82EEF0" w14:textId="77777777" w:rsidR="00CE79A2" w:rsidRDefault="00CE79A2">
                          <w:pPr>
                            <w:ind w:left="-140" w:firstLine="280"/>
                            <w:rPr>
                              <w:b/>
                              <w:sz w:val="16"/>
                            </w:rPr>
                          </w:pPr>
                        </w:p>
                        <w:p w14:paraId="56155ABB"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I</w:t>
                          </w:r>
                        </w:p>
                        <w:p w14:paraId="0C46A735" w14:textId="77777777" w:rsidR="00CE79A2" w:rsidRDefault="00CE79A2">
                          <w:pPr>
                            <w:ind w:left="-140" w:firstLine="280"/>
                            <w:rPr>
                              <w:b/>
                              <w:sz w:val="10"/>
                            </w:rPr>
                          </w:pPr>
                        </w:p>
                        <w:p w14:paraId="0D89459E" w14:textId="77777777" w:rsidR="00CE79A2" w:rsidRDefault="00CE79A2">
                          <w:pPr>
                            <w:ind w:left="-140" w:firstLine="280"/>
                            <w:rPr>
                              <w:b/>
                              <w:sz w:val="16"/>
                            </w:rPr>
                          </w:pPr>
                        </w:p>
                        <w:p w14:paraId="66407C10" w14:textId="77777777" w:rsidR="00CE79A2" w:rsidRDefault="00CE79A2">
                          <w:pPr>
                            <w:ind w:left="-140" w:firstLine="280"/>
                            <w:rPr>
                              <w:b/>
                              <w:sz w:val="16"/>
                            </w:rPr>
                          </w:pPr>
                        </w:p>
                        <w:p w14:paraId="52E45E75"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J</w:t>
                          </w:r>
                        </w:p>
                        <w:p w14:paraId="1E0896E2" w14:textId="77777777" w:rsidR="00CE79A2" w:rsidRDefault="00CE79A2">
                          <w:pPr>
                            <w:ind w:left="-140" w:firstLine="280"/>
                            <w:rPr>
                              <w:b/>
                              <w:sz w:val="10"/>
                            </w:rPr>
                          </w:pPr>
                        </w:p>
                        <w:p w14:paraId="4A91108D" w14:textId="77777777" w:rsidR="00CE79A2" w:rsidRDefault="00CE79A2">
                          <w:pPr>
                            <w:ind w:left="-140" w:firstLine="280"/>
                            <w:rPr>
                              <w:b/>
                              <w:sz w:val="16"/>
                            </w:rPr>
                          </w:pPr>
                        </w:p>
                        <w:p w14:paraId="3A34D0C2" w14:textId="77777777" w:rsidR="00CE79A2" w:rsidRDefault="00CE79A2">
                          <w:pPr>
                            <w:ind w:left="-140" w:firstLine="280"/>
                            <w:rPr>
                              <w:b/>
                              <w:sz w:val="16"/>
                            </w:rPr>
                          </w:pPr>
                        </w:p>
                        <w:p w14:paraId="17396CA9"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K</w:t>
                          </w:r>
                        </w:p>
                        <w:p w14:paraId="110A3C21" w14:textId="77777777" w:rsidR="00CE79A2" w:rsidRDefault="00CE79A2">
                          <w:pPr>
                            <w:ind w:left="-140" w:firstLine="280"/>
                            <w:rPr>
                              <w:b/>
                              <w:sz w:val="10"/>
                            </w:rPr>
                          </w:pPr>
                        </w:p>
                        <w:p w14:paraId="50B18252" w14:textId="77777777" w:rsidR="00CE79A2" w:rsidRDefault="00CE79A2">
                          <w:pPr>
                            <w:ind w:left="-140" w:firstLine="280"/>
                            <w:rPr>
                              <w:b/>
                              <w:sz w:val="16"/>
                            </w:rPr>
                          </w:pPr>
                        </w:p>
                        <w:p w14:paraId="44E176CE" w14:textId="77777777" w:rsidR="00CE79A2" w:rsidRDefault="00CE79A2">
                          <w:pPr>
                            <w:ind w:left="-140" w:firstLine="280"/>
                            <w:rPr>
                              <w:b/>
                              <w:sz w:val="16"/>
                            </w:rPr>
                          </w:pPr>
                        </w:p>
                        <w:p w14:paraId="18978FB6"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L</w:t>
                          </w:r>
                        </w:p>
                        <w:p w14:paraId="0970E88D" w14:textId="77777777" w:rsidR="00CE79A2" w:rsidRDefault="00CE79A2">
                          <w:pPr>
                            <w:ind w:left="-140" w:firstLine="280"/>
                            <w:rPr>
                              <w:b/>
                              <w:sz w:val="10"/>
                            </w:rPr>
                          </w:pPr>
                        </w:p>
                        <w:p w14:paraId="4B961BE0" w14:textId="77777777" w:rsidR="00CE79A2" w:rsidRDefault="00CE79A2">
                          <w:pPr>
                            <w:ind w:left="-140" w:firstLine="280"/>
                            <w:rPr>
                              <w:b/>
                              <w:sz w:val="16"/>
                            </w:rPr>
                          </w:pPr>
                        </w:p>
                        <w:p w14:paraId="58B8321F" w14:textId="77777777" w:rsidR="00CE79A2" w:rsidRDefault="00CE79A2">
                          <w:pPr>
                            <w:ind w:left="-140" w:firstLine="280"/>
                            <w:rPr>
                              <w:b/>
                              <w:sz w:val="16"/>
                            </w:rPr>
                          </w:pPr>
                        </w:p>
                        <w:p w14:paraId="2D67AF9F"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M</w:t>
                          </w:r>
                        </w:p>
                        <w:p w14:paraId="7DC930DD" w14:textId="77777777" w:rsidR="00CE79A2" w:rsidRDefault="00CE79A2">
                          <w:pPr>
                            <w:ind w:left="-140" w:firstLine="280"/>
                            <w:rPr>
                              <w:b/>
                              <w:sz w:val="10"/>
                            </w:rPr>
                          </w:pPr>
                        </w:p>
                        <w:p w14:paraId="2A6480C7" w14:textId="77777777" w:rsidR="00CE79A2" w:rsidRDefault="00CE79A2">
                          <w:pPr>
                            <w:ind w:left="-140" w:firstLine="280"/>
                            <w:rPr>
                              <w:b/>
                              <w:sz w:val="16"/>
                            </w:rPr>
                          </w:pPr>
                        </w:p>
                        <w:p w14:paraId="6CAD1ABF" w14:textId="77777777" w:rsidR="00CE79A2" w:rsidRDefault="00CE79A2">
                          <w:pPr>
                            <w:ind w:left="-140" w:firstLine="280"/>
                            <w:rPr>
                              <w:b/>
                              <w:sz w:val="16"/>
                            </w:rPr>
                          </w:pPr>
                        </w:p>
                        <w:p w14:paraId="47E80407"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N</w:t>
                          </w:r>
                        </w:p>
                        <w:p w14:paraId="2AEF5716" w14:textId="77777777" w:rsidR="00CE79A2" w:rsidRDefault="00CE79A2">
                          <w:pPr>
                            <w:ind w:left="-140" w:firstLine="280"/>
                            <w:rPr>
                              <w:b/>
                              <w:sz w:val="10"/>
                            </w:rPr>
                          </w:pPr>
                        </w:p>
                        <w:p w14:paraId="3AECB8F7" w14:textId="77777777" w:rsidR="00CE79A2" w:rsidRDefault="00CE79A2">
                          <w:pPr>
                            <w:ind w:left="-140" w:firstLine="280"/>
                            <w:rPr>
                              <w:b/>
                              <w:sz w:val="16"/>
                            </w:rPr>
                          </w:pPr>
                        </w:p>
                        <w:p w14:paraId="2680AAA2" w14:textId="77777777" w:rsidR="00CE79A2" w:rsidRDefault="00CE79A2">
                          <w:pPr>
                            <w:ind w:left="-140" w:firstLine="280"/>
                            <w:rPr>
                              <w:b/>
                              <w:sz w:val="16"/>
                            </w:rPr>
                          </w:pPr>
                        </w:p>
                        <w:p w14:paraId="311EC698"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O</w:t>
                          </w:r>
                        </w:p>
                        <w:p w14:paraId="04B58279" w14:textId="77777777" w:rsidR="00CE79A2" w:rsidRDefault="00CE79A2">
                          <w:pPr>
                            <w:ind w:left="-140" w:firstLine="280"/>
                            <w:rPr>
                              <w:b/>
                              <w:sz w:val="10"/>
                            </w:rPr>
                          </w:pPr>
                        </w:p>
                        <w:p w14:paraId="425B19D9" w14:textId="77777777" w:rsidR="00CE79A2" w:rsidRDefault="00CE79A2">
                          <w:pPr>
                            <w:ind w:left="-140" w:firstLine="280"/>
                            <w:rPr>
                              <w:b/>
                              <w:sz w:val="16"/>
                            </w:rPr>
                          </w:pPr>
                        </w:p>
                        <w:p w14:paraId="3BFB7505" w14:textId="77777777" w:rsidR="00CE79A2" w:rsidRDefault="00CE79A2">
                          <w:pPr>
                            <w:ind w:left="-140" w:firstLine="280"/>
                            <w:rPr>
                              <w:b/>
                              <w:sz w:val="16"/>
                            </w:rPr>
                          </w:pPr>
                        </w:p>
                        <w:p w14:paraId="38C51CD4"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P</w:t>
                          </w:r>
                        </w:p>
                        <w:p w14:paraId="7CEFCCF3" w14:textId="77777777" w:rsidR="00CE79A2" w:rsidRDefault="00CE79A2">
                          <w:pPr>
                            <w:ind w:left="-140" w:firstLine="280"/>
                            <w:rPr>
                              <w:b/>
                              <w:sz w:val="10"/>
                            </w:rPr>
                          </w:pPr>
                        </w:p>
                        <w:p w14:paraId="1696819D" w14:textId="77777777" w:rsidR="00CE79A2" w:rsidRDefault="00CE79A2">
                          <w:pPr>
                            <w:ind w:left="-140" w:firstLine="280"/>
                            <w:rPr>
                              <w:b/>
                              <w:sz w:val="16"/>
                            </w:rPr>
                          </w:pPr>
                        </w:p>
                        <w:p w14:paraId="26F716EA" w14:textId="77777777" w:rsidR="00CE79A2" w:rsidRDefault="00CE79A2">
                          <w:pPr>
                            <w:ind w:left="-140" w:firstLine="280"/>
                            <w:rPr>
                              <w:b/>
                              <w:sz w:val="16"/>
                            </w:rPr>
                          </w:pPr>
                        </w:p>
                        <w:p w14:paraId="7036CF4B"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Q</w:t>
                          </w:r>
                        </w:p>
                        <w:p w14:paraId="01BB6A9C" w14:textId="77777777" w:rsidR="00CE79A2" w:rsidRDefault="00CE79A2">
                          <w:pPr>
                            <w:ind w:left="-140" w:firstLine="280"/>
                            <w:rPr>
                              <w:b/>
                              <w:sz w:val="10"/>
                            </w:rPr>
                          </w:pPr>
                        </w:p>
                        <w:p w14:paraId="0DF5879D" w14:textId="77777777" w:rsidR="00CE79A2" w:rsidRDefault="00CE79A2">
                          <w:pPr>
                            <w:ind w:left="-140" w:firstLine="280"/>
                            <w:rPr>
                              <w:b/>
                              <w:sz w:val="16"/>
                            </w:rPr>
                          </w:pPr>
                        </w:p>
                        <w:p w14:paraId="1F605A92" w14:textId="77777777" w:rsidR="00CE79A2" w:rsidRDefault="00CE79A2">
                          <w:pPr>
                            <w:ind w:left="-140" w:firstLine="280"/>
                            <w:rPr>
                              <w:b/>
                              <w:sz w:val="16"/>
                            </w:rPr>
                          </w:pPr>
                        </w:p>
                        <w:p w14:paraId="4E7F56EC"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R</w:t>
                          </w:r>
                        </w:p>
                        <w:p w14:paraId="06368B4E" w14:textId="77777777" w:rsidR="00CE79A2" w:rsidRDefault="00CE79A2">
                          <w:pPr>
                            <w:ind w:left="-140" w:firstLine="280"/>
                            <w:rPr>
                              <w:b/>
                              <w:sz w:val="10"/>
                            </w:rPr>
                          </w:pPr>
                        </w:p>
                        <w:p w14:paraId="758AF491" w14:textId="77777777" w:rsidR="00CE79A2" w:rsidRDefault="00CE79A2">
                          <w:pPr>
                            <w:ind w:left="-140" w:firstLine="280"/>
                            <w:rPr>
                              <w:b/>
                              <w:sz w:val="16"/>
                            </w:rPr>
                          </w:pPr>
                        </w:p>
                        <w:p w14:paraId="6ED55895" w14:textId="77777777" w:rsidR="00CE79A2" w:rsidRDefault="00CE79A2">
                          <w:pPr>
                            <w:ind w:left="-140" w:firstLine="280"/>
                            <w:rPr>
                              <w:b/>
                              <w:sz w:val="16"/>
                            </w:rPr>
                          </w:pPr>
                        </w:p>
                        <w:p w14:paraId="09B43A5A"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S</w:t>
                          </w:r>
                        </w:p>
                        <w:p w14:paraId="622F49AA" w14:textId="77777777" w:rsidR="00CE79A2" w:rsidRDefault="00CE79A2">
                          <w:pPr>
                            <w:ind w:left="-140" w:firstLine="280"/>
                            <w:rPr>
                              <w:b/>
                              <w:sz w:val="10"/>
                            </w:rPr>
                          </w:pPr>
                        </w:p>
                        <w:p w14:paraId="4B29D6B9" w14:textId="77777777" w:rsidR="00CE79A2" w:rsidRDefault="00CE79A2">
                          <w:pPr>
                            <w:ind w:left="-140" w:firstLine="280"/>
                            <w:rPr>
                              <w:b/>
                              <w:sz w:val="16"/>
                            </w:rPr>
                          </w:pPr>
                        </w:p>
                        <w:p w14:paraId="1F1F5A7D" w14:textId="77777777" w:rsidR="00CE79A2" w:rsidRDefault="00CE79A2">
                          <w:pPr>
                            <w:ind w:left="-140" w:firstLine="280"/>
                            <w:rPr>
                              <w:b/>
                              <w:sz w:val="16"/>
                            </w:rPr>
                          </w:pPr>
                        </w:p>
                        <w:p w14:paraId="10DF3ABD"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T</w:t>
                          </w:r>
                        </w:p>
                        <w:p w14:paraId="5EDD2985" w14:textId="77777777" w:rsidR="00CE79A2" w:rsidRDefault="00CE79A2">
                          <w:pPr>
                            <w:ind w:left="-140" w:firstLine="280"/>
                            <w:rPr>
                              <w:b/>
                              <w:sz w:val="10"/>
                            </w:rPr>
                          </w:pPr>
                        </w:p>
                        <w:p w14:paraId="658EAA62" w14:textId="77777777" w:rsidR="00CE79A2" w:rsidRDefault="00CE79A2">
                          <w:pPr>
                            <w:ind w:left="-140" w:firstLine="280"/>
                            <w:rPr>
                              <w:b/>
                              <w:sz w:val="16"/>
                            </w:rPr>
                          </w:pPr>
                        </w:p>
                        <w:p w14:paraId="2D2B4DFD" w14:textId="77777777" w:rsidR="00CE79A2" w:rsidRDefault="00CE79A2">
                          <w:pPr>
                            <w:ind w:left="-140" w:firstLine="280"/>
                            <w:rPr>
                              <w:b/>
                              <w:sz w:val="16"/>
                            </w:rPr>
                          </w:pPr>
                        </w:p>
                        <w:p w14:paraId="715BBB53" w14:textId="77777777" w:rsidR="00CE79A2" w:rsidRDefault="00CE79A2">
                          <w:pPr>
                            <w:ind w:left="-140" w:firstLine="280"/>
                            <w:rPr>
                              <w:b/>
                              <w:sz w:val="16"/>
                            </w:rPr>
                          </w:pPr>
                          <w:r>
                            <w:rPr>
                              <w:rFonts w:eastAsia="PMingLiU" w:hint="eastAsia"/>
                              <w:b/>
                              <w:sz w:val="20"/>
                              <w:lang w:eastAsia="zh-TW"/>
                            </w:rPr>
                            <w:t xml:space="preserve"> </w:t>
                          </w:r>
                          <w:r>
                            <w:rPr>
                              <w:rFonts w:hint="eastAsia"/>
                              <w:b/>
                              <w:sz w:val="20"/>
                            </w:rPr>
                            <w:t>U</w:t>
                          </w:r>
                        </w:p>
                        <w:p w14:paraId="672E45E1" w14:textId="77777777" w:rsidR="00CE79A2" w:rsidRDefault="00CE79A2">
                          <w:pPr>
                            <w:ind w:left="-140" w:firstLine="280"/>
                            <w:rPr>
                              <w:b/>
                              <w:sz w:val="10"/>
                            </w:rPr>
                          </w:pPr>
                        </w:p>
                        <w:p w14:paraId="753BA3C6" w14:textId="77777777" w:rsidR="00CE79A2" w:rsidRDefault="00CE79A2">
                          <w:pPr>
                            <w:ind w:left="-140" w:firstLine="280"/>
                            <w:rPr>
                              <w:b/>
                              <w:sz w:val="16"/>
                            </w:rPr>
                          </w:pPr>
                        </w:p>
                        <w:p w14:paraId="0C06D75F" w14:textId="77777777" w:rsidR="00CE79A2" w:rsidRDefault="00CE79A2">
                          <w:pPr>
                            <w:ind w:left="-140" w:firstLine="280"/>
                            <w:rPr>
                              <w:b/>
                              <w:sz w:val="16"/>
                            </w:rPr>
                          </w:pPr>
                        </w:p>
                        <w:p w14:paraId="7D811579" w14:textId="77777777" w:rsidR="00CE79A2" w:rsidRDefault="00CE79A2">
                          <w:pPr>
                            <w:pStyle w:val="Heading3"/>
                            <w:ind w:left="-140" w:firstLine="280"/>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1468CB" id="Text Box 4" o:spid="_x0000_s1027" type="#_x0000_t202" style="position:absolute;left:0;text-align:left;margin-left:-81.9pt;margin-top:-41.4pt;width:42pt;height:8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" stroked="f">
              <v:textbox>
                <w:txbxContent>
                  <w:p w14:paraId="6FD5E4E5" w14:textId="77777777" w:rsidR="005C2771" w:rsidRDefault="005C2771">
                    <w:pPr>
                      <w:rPr>
                        <w:rFonts w:eastAsia="PMingLiU"/>
                        <w:b/>
                        <w:sz w:val="18"/>
                        <w:lang w:eastAsia="zh-TW"/>
                      </w:rPr>
                    </w:pPr>
                    <w:r>
                      <w:rPr>
                        <w:rFonts w:eastAsia="PMingLiU" w:hint="eastAsia"/>
                        <w:b/>
                        <w:sz w:val="18"/>
                        <w:lang w:eastAsia="zh-TW"/>
                      </w:rPr>
                      <w:t xml:space="preserve">  </w:t>
                    </w:r>
                  </w:p>
                  <w:p w14:paraId="7BBB17FA" w14:textId="77777777" w:rsidR="005C2771" w:rsidRDefault="005C2771">
                    <w:pPr>
                      <w:rPr>
                        <w:rFonts w:eastAsia="PMingLiU"/>
                        <w:b/>
                        <w:sz w:val="18"/>
                        <w:lang w:eastAsia="zh-TW"/>
                      </w:rPr>
                    </w:pPr>
                    <w:r>
                      <w:rPr>
                        <w:rFonts w:eastAsia="PMingLiU" w:hint="eastAsia"/>
                        <w:b/>
                        <w:sz w:val="18"/>
                        <w:lang w:eastAsia="zh-TW"/>
                      </w:rPr>
                      <w:t xml:space="preserve">  </w:t>
                    </w:r>
                  </w:p>
                  <w:p w14:paraId="5393DC83" w14:textId="77777777" w:rsidR="005C2771" w:rsidRDefault="005C2771">
                    <w:pPr>
                      <w:spacing w:line="320" w:lineRule="exact"/>
                      <w:rPr>
                        <w:rFonts w:eastAsia="PMingLiU"/>
                        <w:b/>
                        <w:sz w:val="18"/>
                        <w:lang w:eastAsia="zh-TW"/>
                      </w:rPr>
                    </w:pPr>
                  </w:p>
                  <w:p w14:paraId="6A7F6FD2" w14:textId="77777777" w:rsidR="005C2771" w:rsidRDefault="005C2771">
                    <w:pPr>
                      <w:ind w:left="-140" w:firstLine="280"/>
                      <w:rPr>
                        <w:b/>
                        <w:sz w:val="20"/>
                      </w:rPr>
                    </w:pPr>
                    <w:r>
                      <w:rPr>
                        <w:rFonts w:eastAsia="PMingLiU" w:hint="eastAsia"/>
                        <w:b/>
                        <w:sz w:val="20"/>
                        <w:lang w:eastAsia="zh-TW"/>
                      </w:rPr>
                      <w:t xml:space="preserve"> </w:t>
                    </w:r>
                    <w:r>
                      <w:rPr>
                        <w:rFonts w:hint="eastAsia"/>
                        <w:b/>
                        <w:sz w:val="20"/>
                      </w:rPr>
                      <w:t>A</w:t>
                    </w:r>
                  </w:p>
                  <w:p w14:paraId="35F1AA26" w14:textId="77777777" w:rsidR="005C2771" w:rsidRDefault="005C2771">
                    <w:pPr>
                      <w:ind w:left="-140" w:firstLine="280"/>
                      <w:rPr>
                        <w:b/>
                        <w:sz w:val="10"/>
                      </w:rPr>
                    </w:pPr>
                  </w:p>
                  <w:p w14:paraId="13194C00" w14:textId="77777777" w:rsidR="005C2771" w:rsidRDefault="005C2771">
                    <w:pPr>
                      <w:ind w:left="-140" w:firstLine="280"/>
                      <w:rPr>
                        <w:b/>
                        <w:sz w:val="16"/>
                      </w:rPr>
                    </w:pPr>
                  </w:p>
                  <w:p w14:paraId="4C854775" w14:textId="77777777" w:rsidR="005C2771" w:rsidRDefault="005C2771">
                    <w:pPr>
                      <w:ind w:left="-140" w:firstLine="280"/>
                      <w:rPr>
                        <w:rFonts w:eastAsia="PMingLiU"/>
                        <w:b/>
                        <w:sz w:val="16"/>
                        <w:lang w:eastAsia="zh-TW"/>
                      </w:rPr>
                    </w:pPr>
                    <w:r>
                      <w:rPr>
                        <w:rFonts w:eastAsia="PMingLiU" w:hint="eastAsia"/>
                        <w:b/>
                        <w:sz w:val="16"/>
                        <w:lang w:eastAsia="zh-TW"/>
                      </w:rPr>
                      <w:t xml:space="preserve"> </w:t>
                    </w:r>
                  </w:p>
                  <w:p w14:paraId="30133AD5" w14:textId="77777777" w:rsidR="005C2771" w:rsidRDefault="005C2771">
                    <w:pPr>
                      <w:snapToGrid/>
                      <w:ind w:left="-142" w:firstLine="278"/>
                      <w:rPr>
                        <w:b/>
                        <w:sz w:val="20"/>
                      </w:rPr>
                    </w:pPr>
                    <w:r>
                      <w:rPr>
                        <w:rFonts w:eastAsia="PMingLiU" w:hint="eastAsia"/>
                        <w:b/>
                        <w:sz w:val="20"/>
                        <w:lang w:eastAsia="zh-TW"/>
                      </w:rPr>
                      <w:t xml:space="preserve"> </w:t>
                    </w:r>
                    <w:r>
                      <w:rPr>
                        <w:rFonts w:hint="eastAsia"/>
                        <w:b/>
                        <w:sz w:val="20"/>
                      </w:rPr>
                      <w:t>B</w:t>
                    </w:r>
                  </w:p>
                  <w:p w14:paraId="6CC4C35C" w14:textId="77777777" w:rsidR="005C2771" w:rsidRDefault="005C2771">
                    <w:pPr>
                      <w:snapToGrid/>
                      <w:ind w:left="-142" w:firstLine="278"/>
                      <w:rPr>
                        <w:b/>
                        <w:sz w:val="10"/>
                      </w:rPr>
                    </w:pPr>
                  </w:p>
                  <w:p w14:paraId="53879349" w14:textId="77777777" w:rsidR="005C2771" w:rsidRDefault="005C2771">
                    <w:pPr>
                      <w:snapToGrid/>
                      <w:ind w:left="-142" w:firstLine="278"/>
                      <w:rPr>
                        <w:b/>
                        <w:sz w:val="16"/>
                      </w:rPr>
                    </w:pPr>
                  </w:p>
                  <w:p w14:paraId="132A42E5" w14:textId="77777777" w:rsidR="005C2771" w:rsidRDefault="005C2771">
                    <w:pPr>
                      <w:snapToGrid/>
                      <w:ind w:left="-142" w:firstLine="278"/>
                      <w:rPr>
                        <w:b/>
                        <w:sz w:val="16"/>
                      </w:rPr>
                    </w:pPr>
                  </w:p>
                  <w:p w14:paraId="575509D5" w14:textId="77777777" w:rsidR="005C2771" w:rsidRDefault="005C2771">
                    <w:pPr>
                      <w:snapToGrid/>
                      <w:ind w:left="-142" w:firstLine="278"/>
                      <w:rPr>
                        <w:b/>
                        <w:sz w:val="16"/>
                      </w:rPr>
                    </w:pPr>
                    <w:r>
                      <w:rPr>
                        <w:rFonts w:eastAsia="PMingLiU" w:hint="eastAsia"/>
                        <w:b/>
                        <w:sz w:val="20"/>
                        <w:lang w:eastAsia="zh-TW"/>
                      </w:rPr>
                      <w:t xml:space="preserve"> </w:t>
                    </w:r>
                    <w:r>
                      <w:rPr>
                        <w:rFonts w:hint="eastAsia"/>
                        <w:b/>
                        <w:sz w:val="20"/>
                      </w:rPr>
                      <w:t>C</w:t>
                    </w:r>
                  </w:p>
                  <w:p w14:paraId="74670485" w14:textId="77777777" w:rsidR="005C2771" w:rsidRDefault="005C2771">
                    <w:pPr>
                      <w:ind w:left="-140" w:firstLine="280"/>
                      <w:rPr>
                        <w:b/>
                        <w:sz w:val="10"/>
                      </w:rPr>
                    </w:pPr>
                  </w:p>
                  <w:p w14:paraId="2F2561D9" w14:textId="77777777" w:rsidR="005C2771" w:rsidRDefault="005C2771">
                    <w:pPr>
                      <w:ind w:left="-140" w:firstLine="280"/>
                      <w:rPr>
                        <w:b/>
                        <w:sz w:val="16"/>
                      </w:rPr>
                    </w:pPr>
                  </w:p>
                  <w:p w14:paraId="48277B4D" w14:textId="77777777" w:rsidR="005C2771" w:rsidRDefault="005C2771">
                    <w:pPr>
                      <w:ind w:left="-140" w:firstLine="280"/>
                      <w:rPr>
                        <w:b/>
                        <w:sz w:val="16"/>
                      </w:rPr>
                    </w:pPr>
                  </w:p>
                  <w:p w14:paraId="2DB21F07" w14:textId="77777777" w:rsidR="005C2771" w:rsidRDefault="005C2771">
                    <w:pPr>
                      <w:pStyle w:val="Heading2"/>
                      <w:ind w:left="-140" w:firstLine="280"/>
                      <w:rPr>
                        <w:sz w:val="16"/>
                      </w:rPr>
                    </w:pPr>
                    <w:r>
                      <w:rPr>
                        <w:rFonts w:eastAsia="PMingLiU" w:hint="eastAsia"/>
                        <w:lang w:eastAsia="zh-TW"/>
                      </w:rPr>
                      <w:t xml:space="preserve"> </w:t>
                    </w:r>
                    <w:r>
                      <w:rPr>
                        <w:rFonts w:hint="eastAsia"/>
                      </w:rPr>
                      <w:t>D</w:t>
                    </w:r>
                  </w:p>
                  <w:p w14:paraId="255D1228" w14:textId="77777777" w:rsidR="005C2771" w:rsidRDefault="005C2771">
                    <w:pPr>
                      <w:ind w:left="-140" w:firstLine="280"/>
                      <w:rPr>
                        <w:b/>
                        <w:sz w:val="10"/>
                      </w:rPr>
                    </w:pPr>
                  </w:p>
                  <w:p w14:paraId="7E8E4E5C" w14:textId="77777777" w:rsidR="005C2771" w:rsidRDefault="005C2771">
                    <w:pPr>
                      <w:ind w:left="-140" w:firstLine="280"/>
                      <w:rPr>
                        <w:b/>
                        <w:sz w:val="16"/>
                      </w:rPr>
                    </w:pPr>
                  </w:p>
                  <w:p w14:paraId="34612AB7" w14:textId="77777777" w:rsidR="005C2771" w:rsidRDefault="005C2771">
                    <w:pPr>
                      <w:ind w:left="-140" w:firstLine="280"/>
                      <w:rPr>
                        <w:b/>
                        <w:sz w:val="16"/>
                      </w:rPr>
                    </w:pPr>
                  </w:p>
                  <w:p w14:paraId="0EB07BBC"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E</w:t>
                    </w:r>
                  </w:p>
                  <w:p w14:paraId="23879931" w14:textId="77777777" w:rsidR="005C2771" w:rsidRDefault="005C2771">
                    <w:pPr>
                      <w:ind w:left="-140" w:firstLine="280"/>
                      <w:rPr>
                        <w:b/>
                        <w:sz w:val="10"/>
                      </w:rPr>
                    </w:pPr>
                  </w:p>
                  <w:p w14:paraId="240CA1A1" w14:textId="77777777" w:rsidR="005C2771" w:rsidRDefault="005C2771">
                    <w:pPr>
                      <w:ind w:left="-140" w:firstLine="280"/>
                      <w:rPr>
                        <w:b/>
                        <w:sz w:val="16"/>
                      </w:rPr>
                    </w:pPr>
                  </w:p>
                  <w:p w14:paraId="13A15324" w14:textId="77777777" w:rsidR="005C2771" w:rsidRDefault="005C2771">
                    <w:pPr>
                      <w:ind w:left="-140" w:firstLine="280"/>
                      <w:rPr>
                        <w:b/>
                        <w:sz w:val="16"/>
                      </w:rPr>
                    </w:pPr>
                  </w:p>
                  <w:p w14:paraId="2EFF41A7" w14:textId="77777777" w:rsidR="005C2771" w:rsidRDefault="005C2771">
                    <w:pPr>
                      <w:ind w:left="-140" w:firstLine="280"/>
                      <w:rPr>
                        <w:b/>
                        <w:sz w:val="20"/>
                      </w:rPr>
                    </w:pPr>
                    <w:r>
                      <w:rPr>
                        <w:rFonts w:eastAsia="PMingLiU" w:hint="eastAsia"/>
                        <w:b/>
                        <w:sz w:val="20"/>
                        <w:lang w:eastAsia="zh-TW"/>
                      </w:rPr>
                      <w:t xml:space="preserve"> </w:t>
                    </w:r>
                    <w:r>
                      <w:rPr>
                        <w:rFonts w:hint="eastAsia"/>
                        <w:b/>
                        <w:sz w:val="20"/>
                      </w:rPr>
                      <w:t>F</w:t>
                    </w:r>
                  </w:p>
                  <w:p w14:paraId="118678A4" w14:textId="77777777" w:rsidR="005C2771" w:rsidRDefault="005C2771">
                    <w:pPr>
                      <w:ind w:left="-140" w:firstLine="280"/>
                      <w:rPr>
                        <w:b/>
                        <w:sz w:val="10"/>
                      </w:rPr>
                    </w:pPr>
                  </w:p>
                  <w:p w14:paraId="6ECEDE4D" w14:textId="77777777" w:rsidR="005C2771" w:rsidRDefault="005C2771">
                    <w:pPr>
                      <w:ind w:left="-140" w:firstLine="280"/>
                      <w:rPr>
                        <w:b/>
                        <w:sz w:val="16"/>
                      </w:rPr>
                    </w:pPr>
                  </w:p>
                  <w:p w14:paraId="11332F0E" w14:textId="77777777" w:rsidR="005C2771" w:rsidRDefault="005C2771">
                    <w:pPr>
                      <w:ind w:left="-140" w:firstLine="280"/>
                      <w:rPr>
                        <w:b/>
                        <w:sz w:val="16"/>
                      </w:rPr>
                    </w:pPr>
                  </w:p>
                  <w:p w14:paraId="73A0E1F5"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G</w:t>
                    </w:r>
                  </w:p>
                  <w:p w14:paraId="7E0964D8" w14:textId="77777777" w:rsidR="005C2771" w:rsidRDefault="005C2771">
                    <w:pPr>
                      <w:ind w:left="-140" w:firstLine="280"/>
                      <w:rPr>
                        <w:b/>
                        <w:sz w:val="10"/>
                      </w:rPr>
                    </w:pPr>
                  </w:p>
                  <w:p w14:paraId="496EA196" w14:textId="77777777" w:rsidR="005C2771" w:rsidRDefault="005C2771">
                    <w:pPr>
                      <w:ind w:left="-140" w:firstLine="280"/>
                      <w:rPr>
                        <w:b/>
                        <w:sz w:val="16"/>
                      </w:rPr>
                    </w:pPr>
                  </w:p>
                  <w:p w14:paraId="3439DFB8" w14:textId="77777777" w:rsidR="005C2771" w:rsidRDefault="005C2771">
                    <w:pPr>
                      <w:ind w:left="-140" w:firstLine="280"/>
                      <w:rPr>
                        <w:b/>
                        <w:sz w:val="16"/>
                      </w:rPr>
                    </w:pPr>
                  </w:p>
                  <w:p w14:paraId="2B4862B9"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H</w:t>
                    </w:r>
                  </w:p>
                  <w:p w14:paraId="1300149F" w14:textId="77777777" w:rsidR="005C2771" w:rsidRDefault="005C2771">
                    <w:pPr>
                      <w:ind w:left="-140" w:firstLine="280"/>
                      <w:rPr>
                        <w:b/>
                        <w:sz w:val="10"/>
                      </w:rPr>
                    </w:pPr>
                  </w:p>
                  <w:p w14:paraId="0523E132" w14:textId="77777777" w:rsidR="005C2771" w:rsidRDefault="005C2771">
                    <w:pPr>
                      <w:ind w:left="-140" w:firstLine="280"/>
                      <w:rPr>
                        <w:b/>
                        <w:sz w:val="16"/>
                      </w:rPr>
                    </w:pPr>
                  </w:p>
                  <w:p w14:paraId="4C82EEF0" w14:textId="77777777" w:rsidR="005C2771" w:rsidRDefault="005C2771">
                    <w:pPr>
                      <w:ind w:left="-140" w:firstLine="280"/>
                      <w:rPr>
                        <w:b/>
                        <w:sz w:val="16"/>
                      </w:rPr>
                    </w:pPr>
                  </w:p>
                  <w:p w14:paraId="56155ABB"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I</w:t>
                    </w:r>
                  </w:p>
                  <w:p w14:paraId="0C46A735" w14:textId="77777777" w:rsidR="005C2771" w:rsidRDefault="005C2771">
                    <w:pPr>
                      <w:ind w:left="-140" w:firstLine="280"/>
                      <w:rPr>
                        <w:b/>
                        <w:sz w:val="10"/>
                      </w:rPr>
                    </w:pPr>
                  </w:p>
                  <w:p w14:paraId="0D89459E" w14:textId="77777777" w:rsidR="005C2771" w:rsidRDefault="005C2771">
                    <w:pPr>
                      <w:ind w:left="-140" w:firstLine="280"/>
                      <w:rPr>
                        <w:b/>
                        <w:sz w:val="16"/>
                      </w:rPr>
                    </w:pPr>
                  </w:p>
                  <w:p w14:paraId="66407C10" w14:textId="77777777" w:rsidR="005C2771" w:rsidRDefault="005C2771">
                    <w:pPr>
                      <w:ind w:left="-140" w:firstLine="280"/>
                      <w:rPr>
                        <w:b/>
                        <w:sz w:val="16"/>
                      </w:rPr>
                    </w:pPr>
                  </w:p>
                  <w:p w14:paraId="52E45E75"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J</w:t>
                    </w:r>
                  </w:p>
                  <w:p w14:paraId="1E0896E2" w14:textId="77777777" w:rsidR="005C2771" w:rsidRDefault="005C2771">
                    <w:pPr>
                      <w:ind w:left="-140" w:firstLine="280"/>
                      <w:rPr>
                        <w:b/>
                        <w:sz w:val="10"/>
                      </w:rPr>
                    </w:pPr>
                  </w:p>
                  <w:p w14:paraId="4A91108D" w14:textId="77777777" w:rsidR="005C2771" w:rsidRDefault="005C2771">
                    <w:pPr>
                      <w:ind w:left="-140" w:firstLine="280"/>
                      <w:rPr>
                        <w:b/>
                        <w:sz w:val="16"/>
                      </w:rPr>
                    </w:pPr>
                  </w:p>
                  <w:p w14:paraId="3A34D0C2" w14:textId="77777777" w:rsidR="005C2771" w:rsidRDefault="005C2771">
                    <w:pPr>
                      <w:ind w:left="-140" w:firstLine="280"/>
                      <w:rPr>
                        <w:b/>
                        <w:sz w:val="16"/>
                      </w:rPr>
                    </w:pPr>
                  </w:p>
                  <w:p w14:paraId="17396CA9"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K</w:t>
                    </w:r>
                  </w:p>
                  <w:p w14:paraId="110A3C21" w14:textId="77777777" w:rsidR="005C2771" w:rsidRDefault="005C2771">
                    <w:pPr>
                      <w:ind w:left="-140" w:firstLine="280"/>
                      <w:rPr>
                        <w:b/>
                        <w:sz w:val="10"/>
                      </w:rPr>
                    </w:pPr>
                  </w:p>
                  <w:p w14:paraId="50B18252" w14:textId="77777777" w:rsidR="005C2771" w:rsidRDefault="005C2771">
                    <w:pPr>
                      <w:ind w:left="-140" w:firstLine="280"/>
                      <w:rPr>
                        <w:b/>
                        <w:sz w:val="16"/>
                      </w:rPr>
                    </w:pPr>
                  </w:p>
                  <w:p w14:paraId="44E176CE" w14:textId="77777777" w:rsidR="005C2771" w:rsidRDefault="005C2771">
                    <w:pPr>
                      <w:ind w:left="-140" w:firstLine="280"/>
                      <w:rPr>
                        <w:b/>
                        <w:sz w:val="16"/>
                      </w:rPr>
                    </w:pPr>
                  </w:p>
                  <w:p w14:paraId="18978FB6"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L</w:t>
                    </w:r>
                  </w:p>
                  <w:p w14:paraId="0970E88D" w14:textId="77777777" w:rsidR="005C2771" w:rsidRDefault="005C2771">
                    <w:pPr>
                      <w:ind w:left="-140" w:firstLine="280"/>
                      <w:rPr>
                        <w:b/>
                        <w:sz w:val="10"/>
                      </w:rPr>
                    </w:pPr>
                  </w:p>
                  <w:p w14:paraId="4B961BE0" w14:textId="77777777" w:rsidR="005C2771" w:rsidRDefault="005C2771">
                    <w:pPr>
                      <w:ind w:left="-140" w:firstLine="280"/>
                      <w:rPr>
                        <w:b/>
                        <w:sz w:val="16"/>
                      </w:rPr>
                    </w:pPr>
                  </w:p>
                  <w:p w14:paraId="58B8321F" w14:textId="77777777" w:rsidR="005C2771" w:rsidRDefault="005C2771">
                    <w:pPr>
                      <w:ind w:left="-140" w:firstLine="280"/>
                      <w:rPr>
                        <w:b/>
                        <w:sz w:val="16"/>
                      </w:rPr>
                    </w:pPr>
                  </w:p>
                  <w:p w14:paraId="2D67AF9F"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M</w:t>
                    </w:r>
                  </w:p>
                  <w:p w14:paraId="7DC930DD" w14:textId="77777777" w:rsidR="005C2771" w:rsidRDefault="005C2771">
                    <w:pPr>
                      <w:ind w:left="-140" w:firstLine="280"/>
                      <w:rPr>
                        <w:b/>
                        <w:sz w:val="10"/>
                      </w:rPr>
                    </w:pPr>
                  </w:p>
                  <w:p w14:paraId="2A6480C7" w14:textId="77777777" w:rsidR="005C2771" w:rsidRDefault="005C2771">
                    <w:pPr>
                      <w:ind w:left="-140" w:firstLine="280"/>
                      <w:rPr>
                        <w:b/>
                        <w:sz w:val="16"/>
                      </w:rPr>
                    </w:pPr>
                  </w:p>
                  <w:p w14:paraId="6CAD1ABF" w14:textId="77777777" w:rsidR="005C2771" w:rsidRDefault="005C2771">
                    <w:pPr>
                      <w:ind w:left="-140" w:firstLine="280"/>
                      <w:rPr>
                        <w:b/>
                        <w:sz w:val="16"/>
                      </w:rPr>
                    </w:pPr>
                  </w:p>
                  <w:p w14:paraId="47E80407"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N</w:t>
                    </w:r>
                  </w:p>
                  <w:p w14:paraId="2AEF5716" w14:textId="77777777" w:rsidR="005C2771" w:rsidRDefault="005C2771">
                    <w:pPr>
                      <w:ind w:left="-140" w:firstLine="280"/>
                      <w:rPr>
                        <w:b/>
                        <w:sz w:val="10"/>
                      </w:rPr>
                    </w:pPr>
                  </w:p>
                  <w:p w14:paraId="3AECB8F7" w14:textId="77777777" w:rsidR="005C2771" w:rsidRDefault="005C2771">
                    <w:pPr>
                      <w:ind w:left="-140" w:firstLine="280"/>
                      <w:rPr>
                        <w:b/>
                        <w:sz w:val="16"/>
                      </w:rPr>
                    </w:pPr>
                  </w:p>
                  <w:p w14:paraId="2680AAA2" w14:textId="77777777" w:rsidR="005C2771" w:rsidRDefault="005C2771">
                    <w:pPr>
                      <w:ind w:left="-140" w:firstLine="280"/>
                      <w:rPr>
                        <w:b/>
                        <w:sz w:val="16"/>
                      </w:rPr>
                    </w:pPr>
                  </w:p>
                  <w:p w14:paraId="311EC698"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O</w:t>
                    </w:r>
                  </w:p>
                  <w:p w14:paraId="04B58279" w14:textId="77777777" w:rsidR="005C2771" w:rsidRDefault="005C2771">
                    <w:pPr>
                      <w:ind w:left="-140" w:firstLine="280"/>
                      <w:rPr>
                        <w:b/>
                        <w:sz w:val="10"/>
                      </w:rPr>
                    </w:pPr>
                  </w:p>
                  <w:p w14:paraId="425B19D9" w14:textId="77777777" w:rsidR="005C2771" w:rsidRDefault="005C2771">
                    <w:pPr>
                      <w:ind w:left="-140" w:firstLine="280"/>
                      <w:rPr>
                        <w:b/>
                        <w:sz w:val="16"/>
                      </w:rPr>
                    </w:pPr>
                  </w:p>
                  <w:p w14:paraId="3BFB7505" w14:textId="77777777" w:rsidR="005C2771" w:rsidRDefault="005C2771">
                    <w:pPr>
                      <w:ind w:left="-140" w:firstLine="280"/>
                      <w:rPr>
                        <w:b/>
                        <w:sz w:val="16"/>
                      </w:rPr>
                    </w:pPr>
                  </w:p>
                  <w:p w14:paraId="38C51CD4"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P</w:t>
                    </w:r>
                  </w:p>
                  <w:p w14:paraId="7CEFCCF3" w14:textId="77777777" w:rsidR="005C2771" w:rsidRDefault="005C2771">
                    <w:pPr>
                      <w:ind w:left="-140" w:firstLine="280"/>
                      <w:rPr>
                        <w:b/>
                        <w:sz w:val="10"/>
                      </w:rPr>
                    </w:pPr>
                  </w:p>
                  <w:p w14:paraId="1696819D" w14:textId="77777777" w:rsidR="005C2771" w:rsidRDefault="005C2771">
                    <w:pPr>
                      <w:ind w:left="-140" w:firstLine="280"/>
                      <w:rPr>
                        <w:b/>
                        <w:sz w:val="16"/>
                      </w:rPr>
                    </w:pPr>
                  </w:p>
                  <w:p w14:paraId="26F716EA" w14:textId="77777777" w:rsidR="005C2771" w:rsidRDefault="005C2771">
                    <w:pPr>
                      <w:ind w:left="-140" w:firstLine="280"/>
                      <w:rPr>
                        <w:b/>
                        <w:sz w:val="16"/>
                      </w:rPr>
                    </w:pPr>
                  </w:p>
                  <w:p w14:paraId="7036CF4B"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Q</w:t>
                    </w:r>
                  </w:p>
                  <w:p w14:paraId="01BB6A9C" w14:textId="77777777" w:rsidR="005C2771" w:rsidRDefault="005C2771">
                    <w:pPr>
                      <w:ind w:left="-140" w:firstLine="280"/>
                      <w:rPr>
                        <w:b/>
                        <w:sz w:val="10"/>
                      </w:rPr>
                    </w:pPr>
                  </w:p>
                  <w:p w14:paraId="0DF5879D" w14:textId="77777777" w:rsidR="005C2771" w:rsidRDefault="005C2771">
                    <w:pPr>
                      <w:ind w:left="-140" w:firstLine="280"/>
                      <w:rPr>
                        <w:b/>
                        <w:sz w:val="16"/>
                      </w:rPr>
                    </w:pPr>
                  </w:p>
                  <w:p w14:paraId="1F605A92" w14:textId="77777777" w:rsidR="005C2771" w:rsidRDefault="005C2771">
                    <w:pPr>
                      <w:ind w:left="-140" w:firstLine="280"/>
                      <w:rPr>
                        <w:b/>
                        <w:sz w:val="16"/>
                      </w:rPr>
                    </w:pPr>
                  </w:p>
                  <w:p w14:paraId="4E7F56EC"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R</w:t>
                    </w:r>
                  </w:p>
                  <w:p w14:paraId="06368B4E" w14:textId="77777777" w:rsidR="005C2771" w:rsidRDefault="005C2771">
                    <w:pPr>
                      <w:ind w:left="-140" w:firstLine="280"/>
                      <w:rPr>
                        <w:b/>
                        <w:sz w:val="10"/>
                      </w:rPr>
                    </w:pPr>
                  </w:p>
                  <w:p w14:paraId="758AF491" w14:textId="77777777" w:rsidR="005C2771" w:rsidRDefault="005C2771">
                    <w:pPr>
                      <w:ind w:left="-140" w:firstLine="280"/>
                      <w:rPr>
                        <w:b/>
                        <w:sz w:val="16"/>
                      </w:rPr>
                    </w:pPr>
                  </w:p>
                  <w:p w14:paraId="6ED55895" w14:textId="77777777" w:rsidR="005C2771" w:rsidRDefault="005C2771">
                    <w:pPr>
                      <w:ind w:left="-140" w:firstLine="280"/>
                      <w:rPr>
                        <w:b/>
                        <w:sz w:val="16"/>
                      </w:rPr>
                    </w:pPr>
                  </w:p>
                  <w:p w14:paraId="09B43A5A"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S</w:t>
                    </w:r>
                  </w:p>
                  <w:p w14:paraId="622F49AA" w14:textId="77777777" w:rsidR="005C2771" w:rsidRDefault="005C2771">
                    <w:pPr>
                      <w:ind w:left="-140" w:firstLine="280"/>
                      <w:rPr>
                        <w:b/>
                        <w:sz w:val="10"/>
                      </w:rPr>
                    </w:pPr>
                  </w:p>
                  <w:p w14:paraId="4B29D6B9" w14:textId="77777777" w:rsidR="005C2771" w:rsidRDefault="005C2771">
                    <w:pPr>
                      <w:ind w:left="-140" w:firstLine="280"/>
                      <w:rPr>
                        <w:b/>
                        <w:sz w:val="16"/>
                      </w:rPr>
                    </w:pPr>
                  </w:p>
                  <w:p w14:paraId="1F1F5A7D" w14:textId="77777777" w:rsidR="005C2771" w:rsidRDefault="005C2771">
                    <w:pPr>
                      <w:ind w:left="-140" w:firstLine="280"/>
                      <w:rPr>
                        <w:b/>
                        <w:sz w:val="16"/>
                      </w:rPr>
                    </w:pPr>
                  </w:p>
                  <w:p w14:paraId="10DF3ABD"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T</w:t>
                    </w:r>
                  </w:p>
                  <w:p w14:paraId="5EDD2985" w14:textId="77777777" w:rsidR="005C2771" w:rsidRDefault="005C2771">
                    <w:pPr>
                      <w:ind w:left="-140" w:firstLine="280"/>
                      <w:rPr>
                        <w:b/>
                        <w:sz w:val="10"/>
                      </w:rPr>
                    </w:pPr>
                  </w:p>
                  <w:p w14:paraId="658EAA62" w14:textId="77777777" w:rsidR="005C2771" w:rsidRDefault="005C2771">
                    <w:pPr>
                      <w:ind w:left="-140" w:firstLine="280"/>
                      <w:rPr>
                        <w:b/>
                        <w:sz w:val="16"/>
                      </w:rPr>
                    </w:pPr>
                  </w:p>
                  <w:p w14:paraId="2D2B4DFD" w14:textId="77777777" w:rsidR="005C2771" w:rsidRDefault="005C2771">
                    <w:pPr>
                      <w:ind w:left="-140" w:firstLine="280"/>
                      <w:rPr>
                        <w:b/>
                        <w:sz w:val="16"/>
                      </w:rPr>
                    </w:pPr>
                  </w:p>
                  <w:p w14:paraId="715BBB53" w14:textId="77777777" w:rsidR="005C2771" w:rsidRDefault="005C2771">
                    <w:pPr>
                      <w:ind w:left="-140" w:firstLine="280"/>
                      <w:rPr>
                        <w:b/>
                        <w:sz w:val="16"/>
                      </w:rPr>
                    </w:pPr>
                    <w:r>
                      <w:rPr>
                        <w:rFonts w:eastAsia="PMingLiU" w:hint="eastAsia"/>
                        <w:b/>
                        <w:sz w:val="20"/>
                        <w:lang w:eastAsia="zh-TW"/>
                      </w:rPr>
                      <w:t xml:space="preserve"> </w:t>
                    </w:r>
                    <w:r>
                      <w:rPr>
                        <w:rFonts w:hint="eastAsia"/>
                        <w:b/>
                        <w:sz w:val="20"/>
                      </w:rPr>
                      <w:t>U</w:t>
                    </w:r>
                  </w:p>
                  <w:p w14:paraId="672E45E1" w14:textId="77777777" w:rsidR="005C2771" w:rsidRDefault="005C2771">
                    <w:pPr>
                      <w:ind w:left="-140" w:firstLine="280"/>
                      <w:rPr>
                        <w:b/>
                        <w:sz w:val="10"/>
                      </w:rPr>
                    </w:pPr>
                  </w:p>
                  <w:p w14:paraId="753BA3C6" w14:textId="77777777" w:rsidR="005C2771" w:rsidRDefault="005C2771">
                    <w:pPr>
                      <w:ind w:left="-140" w:firstLine="280"/>
                      <w:rPr>
                        <w:b/>
                        <w:sz w:val="16"/>
                      </w:rPr>
                    </w:pPr>
                  </w:p>
                  <w:p w14:paraId="0C06D75F" w14:textId="77777777" w:rsidR="005C2771" w:rsidRDefault="005C2771">
                    <w:pPr>
                      <w:ind w:left="-140" w:firstLine="280"/>
                      <w:rPr>
                        <w:b/>
                        <w:sz w:val="16"/>
                      </w:rPr>
                    </w:pPr>
                  </w:p>
                  <w:p w14:paraId="7D811579" w14:textId="77777777" w:rsidR="005C2771" w:rsidRDefault="005C2771">
                    <w:pPr>
                      <w:pStyle w:val="Heading3"/>
                      <w:ind w:left="-140" w:firstLine="280"/>
                      <w:jc w:val="left"/>
                    </w:pPr>
                    <w:r>
                      <w:rPr>
                        <w:rFonts w:eastAsia="PMingLiU" w:hint="eastAsia"/>
                        <w:lang w:eastAsia="zh-TW"/>
                      </w:rPr>
                      <w:t xml:space="preserve"> </w:t>
                    </w:r>
                    <w:r>
                      <w:rPr>
                        <w:rFonts w:hint="eastAsia"/>
                      </w:rPr>
                      <w:t>V</w:t>
                    </w:r>
                  </w:p>
                </w:txbxContent>
              </v:textbox>
            </v:shape>
          </w:pict>
        </mc:Fallback>
      </mc:AlternateContent>
    </w:r>
    <w:r w:rsidRPr="00EF42F1">
      <w:rPr>
        <w:rFonts w:hint="eastAsia"/>
        <w:sz w:val="28"/>
        <w:szCs w:val="28"/>
      </w:rPr>
      <w:t xml:space="preserve"> </w:t>
    </w:r>
    <w:r w:rsidRPr="00EF42F1">
      <w:rPr>
        <w:rStyle w:val="PageNumber"/>
        <w:sz w:val="28"/>
        <w:szCs w:val="28"/>
      </w:rPr>
      <w:fldChar w:fldCharType="begin"/>
    </w:r>
    <w:r w:rsidRPr="00EF42F1">
      <w:rPr>
        <w:rStyle w:val="PageNumber"/>
        <w:sz w:val="28"/>
        <w:szCs w:val="28"/>
      </w:rPr>
      <w:instrText xml:space="preserve"> PAGE </w:instrText>
    </w:r>
    <w:r w:rsidRPr="00EF42F1">
      <w:rPr>
        <w:rStyle w:val="PageNumber"/>
        <w:sz w:val="28"/>
        <w:szCs w:val="28"/>
      </w:rPr>
      <w:fldChar w:fldCharType="separate"/>
    </w:r>
    <w:r w:rsidR="00FD1A44">
      <w:rPr>
        <w:rStyle w:val="PageNumber"/>
        <w:noProof/>
        <w:sz w:val="28"/>
        <w:szCs w:val="28"/>
      </w:rPr>
      <w:t>- 20 -</w:t>
    </w:r>
    <w:r w:rsidRPr="00EF42F1">
      <w:rPr>
        <w:rStyle w:val="PageNumber"/>
        <w:sz w:val="28"/>
        <w:szCs w:val="28"/>
      </w:rPr>
      <w:fldChar w:fldCharType="end"/>
    </w:r>
    <w:r w:rsidRPr="00EF42F1">
      <w:rPr>
        <w:rStyle w:val="PageNumber"/>
        <w:rFonts w:hint="eastAsia"/>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7B7D7" w14:textId="77777777" w:rsidR="00CE79A2" w:rsidRPr="00D353CE" w:rsidRDefault="00CE79A2" w:rsidP="00730D1A">
    <w:pPr>
      <w:pStyle w:val="Header"/>
      <w:tabs>
        <w:tab w:val="clear" w:pos="1440"/>
        <w:tab w:val="clear" w:pos="4153"/>
        <w:tab w:val="clear" w:pos="4320"/>
        <w:tab w:val="clear" w:pos="8306"/>
        <w:tab w:val="clear" w:pos="9072"/>
      </w:tabs>
      <w:rPr>
        <w:sz w:val="28"/>
        <w:szCs w:val="28"/>
      </w:rPr>
    </w:pPr>
    <w:r w:rsidRPr="00D353CE">
      <w:rPr>
        <w:noProof/>
        <w:sz w:val="28"/>
        <w:szCs w:val="28"/>
        <w:lang w:val="en-US" w:eastAsia="zh-CN"/>
      </w:rPr>
      <mc:AlternateContent>
        <mc:Choice Requires="wps">
          <w:drawing>
            <wp:anchor distT="0" distB="0" distL="114300" distR="114300" simplePos="0" relativeHeight="251657216" behindDoc="0" locked="0" layoutInCell="1" allowOverlap="1" wp14:anchorId="5E63A4A9" wp14:editId="2FB0DD55">
              <wp:simplePos x="0" y="0"/>
              <wp:positionH relativeFrom="column">
                <wp:posOffset>5902960</wp:posOffset>
              </wp:positionH>
              <wp:positionV relativeFrom="paragraph">
                <wp:posOffset>-525780</wp:posOffset>
              </wp:positionV>
              <wp:extent cx="533400" cy="10255250"/>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25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87DF5D" w14:textId="77777777" w:rsidR="00CE79A2" w:rsidRDefault="00CE79A2">
                          <w:pPr>
                            <w:snapToGrid/>
                            <w:spacing w:line="80" w:lineRule="exact"/>
                            <w:rPr>
                              <w:rFonts w:eastAsia="PMingLiU"/>
                              <w:b/>
                              <w:sz w:val="18"/>
                              <w:lang w:eastAsia="zh-TW"/>
                            </w:rPr>
                          </w:pPr>
                        </w:p>
                        <w:p w14:paraId="5290B6AB" w14:textId="77777777" w:rsidR="00CE79A2" w:rsidRDefault="00CE79A2">
                          <w:pPr>
                            <w:snapToGrid/>
                            <w:spacing w:line="80" w:lineRule="exact"/>
                            <w:rPr>
                              <w:rFonts w:eastAsia="PMingLiU"/>
                              <w:b/>
                              <w:sz w:val="18"/>
                              <w:lang w:eastAsia="zh-TW"/>
                            </w:rPr>
                          </w:pPr>
                        </w:p>
                        <w:p w14:paraId="14BCADB1" w14:textId="77777777" w:rsidR="00CE79A2" w:rsidRDefault="00CE79A2">
                          <w:pPr>
                            <w:snapToGrid/>
                            <w:spacing w:line="120" w:lineRule="exact"/>
                            <w:rPr>
                              <w:rFonts w:eastAsia="PMingLiU"/>
                              <w:b/>
                              <w:sz w:val="18"/>
                              <w:lang w:eastAsia="zh-TW"/>
                            </w:rPr>
                          </w:pPr>
                        </w:p>
                        <w:p w14:paraId="25602489" w14:textId="77777777" w:rsidR="00CE79A2" w:rsidRDefault="00CE79A2">
                          <w:pPr>
                            <w:snapToGrid/>
                            <w:spacing w:line="80" w:lineRule="exact"/>
                            <w:rPr>
                              <w:rFonts w:eastAsia="PMingLiU"/>
                              <w:b/>
                              <w:sz w:val="18"/>
                              <w:lang w:eastAsia="zh-TW"/>
                            </w:rPr>
                          </w:pPr>
                        </w:p>
                        <w:p w14:paraId="74666F50" w14:textId="77777777" w:rsidR="00CE79A2" w:rsidRDefault="00CE79A2">
                          <w:pPr>
                            <w:snapToGrid/>
                            <w:spacing w:line="120" w:lineRule="exact"/>
                            <w:rPr>
                              <w:rFonts w:eastAsia="PMingLiU"/>
                              <w:b/>
                              <w:sz w:val="20"/>
                              <w:lang w:eastAsia="zh-TW"/>
                            </w:rPr>
                          </w:pPr>
                        </w:p>
                        <w:p w14:paraId="18C93E36" w14:textId="77777777" w:rsidR="00CE79A2" w:rsidRDefault="00CE79A2">
                          <w:pPr>
                            <w:snapToGrid/>
                            <w:spacing w:line="200" w:lineRule="exact"/>
                            <w:rPr>
                              <w:rFonts w:eastAsia="PMingLiU"/>
                              <w:b/>
                              <w:sz w:val="20"/>
                              <w:lang w:eastAsia="zh-TW"/>
                            </w:rPr>
                          </w:pPr>
                          <w:r>
                            <w:rPr>
                              <w:rFonts w:eastAsia="PMingLiU" w:hint="eastAsia"/>
                              <w:b/>
                              <w:sz w:val="20"/>
                              <w:lang w:eastAsia="zh-TW"/>
                            </w:rPr>
                            <w:t xml:space="preserve"> </w:t>
                          </w:r>
                        </w:p>
                        <w:p w14:paraId="7B6451B0" w14:textId="77777777" w:rsidR="00CE79A2" w:rsidRDefault="00CE79A2">
                          <w:pPr>
                            <w:snapToGrid/>
                            <w:spacing w:line="80" w:lineRule="exact"/>
                            <w:rPr>
                              <w:rFonts w:eastAsia="PMingLiU"/>
                              <w:b/>
                              <w:sz w:val="20"/>
                              <w:lang w:eastAsia="zh-TW"/>
                            </w:rPr>
                          </w:pPr>
                          <w:r>
                            <w:rPr>
                              <w:rFonts w:eastAsia="PMingLiU" w:hint="eastAsia"/>
                              <w:b/>
                              <w:sz w:val="20"/>
                              <w:lang w:eastAsia="zh-TW"/>
                            </w:rPr>
                            <w:t xml:space="preserve"> </w:t>
                          </w:r>
                        </w:p>
                        <w:p w14:paraId="529ED65B" w14:textId="77777777" w:rsidR="00CE79A2" w:rsidRDefault="00CE79A2">
                          <w:pPr>
                            <w:snapToGrid/>
                            <w:spacing w:line="80" w:lineRule="exact"/>
                            <w:rPr>
                              <w:rFonts w:eastAsia="PMingLiU"/>
                              <w:b/>
                              <w:sz w:val="20"/>
                              <w:lang w:eastAsia="zh-TW"/>
                            </w:rPr>
                          </w:pPr>
                        </w:p>
                        <w:p w14:paraId="32923FFE" w14:textId="77777777" w:rsidR="00CE79A2" w:rsidRDefault="00CE79A2">
                          <w:pPr>
                            <w:rPr>
                              <w:b/>
                              <w:sz w:val="20"/>
                            </w:rPr>
                          </w:pPr>
                          <w:r>
                            <w:rPr>
                              <w:rFonts w:eastAsia="PMingLiU" w:hint="eastAsia"/>
                              <w:b/>
                              <w:sz w:val="20"/>
                              <w:lang w:eastAsia="zh-TW"/>
                            </w:rPr>
                            <w:t xml:space="preserve"> </w:t>
                          </w:r>
                          <w:r>
                            <w:rPr>
                              <w:rFonts w:hint="eastAsia"/>
                              <w:b/>
                              <w:sz w:val="20"/>
                            </w:rPr>
                            <w:t>A</w:t>
                          </w:r>
                        </w:p>
                        <w:p w14:paraId="2FADD26F" w14:textId="77777777" w:rsidR="00CE79A2" w:rsidRDefault="00CE79A2">
                          <w:pPr>
                            <w:rPr>
                              <w:b/>
                              <w:sz w:val="10"/>
                            </w:rPr>
                          </w:pPr>
                        </w:p>
                        <w:p w14:paraId="3A6EBA07" w14:textId="77777777" w:rsidR="00CE79A2" w:rsidRDefault="00CE79A2">
                          <w:pPr>
                            <w:rPr>
                              <w:b/>
                              <w:sz w:val="16"/>
                            </w:rPr>
                          </w:pPr>
                        </w:p>
                        <w:p w14:paraId="44E35FE1" w14:textId="77777777" w:rsidR="00CE79A2" w:rsidRDefault="00CE79A2">
                          <w:pPr>
                            <w:rPr>
                              <w:rFonts w:eastAsia="PMingLiU"/>
                              <w:b/>
                              <w:sz w:val="16"/>
                              <w:lang w:eastAsia="zh-TW"/>
                            </w:rPr>
                          </w:pPr>
                          <w:r>
                            <w:rPr>
                              <w:rFonts w:eastAsia="PMingLiU" w:hint="eastAsia"/>
                              <w:b/>
                              <w:sz w:val="16"/>
                              <w:lang w:eastAsia="zh-TW"/>
                            </w:rPr>
                            <w:t xml:space="preserve"> </w:t>
                          </w:r>
                        </w:p>
                        <w:p w14:paraId="61E22390" w14:textId="77777777" w:rsidR="00CE79A2" w:rsidRDefault="00CE79A2">
                          <w:pPr>
                            <w:rPr>
                              <w:b/>
                              <w:sz w:val="20"/>
                            </w:rPr>
                          </w:pPr>
                          <w:r>
                            <w:rPr>
                              <w:rFonts w:eastAsia="PMingLiU" w:hint="eastAsia"/>
                              <w:b/>
                              <w:sz w:val="20"/>
                              <w:lang w:eastAsia="zh-TW"/>
                            </w:rPr>
                            <w:t xml:space="preserve"> </w:t>
                          </w:r>
                          <w:r>
                            <w:rPr>
                              <w:rFonts w:hint="eastAsia"/>
                              <w:b/>
                              <w:sz w:val="20"/>
                            </w:rPr>
                            <w:t>B</w:t>
                          </w:r>
                        </w:p>
                        <w:p w14:paraId="3B7B2993" w14:textId="77777777" w:rsidR="00CE79A2" w:rsidRDefault="00CE79A2">
                          <w:pPr>
                            <w:rPr>
                              <w:b/>
                              <w:sz w:val="10"/>
                            </w:rPr>
                          </w:pPr>
                        </w:p>
                        <w:p w14:paraId="7EF6B335" w14:textId="77777777" w:rsidR="00CE79A2" w:rsidRDefault="00CE79A2">
                          <w:pPr>
                            <w:rPr>
                              <w:b/>
                              <w:sz w:val="16"/>
                            </w:rPr>
                          </w:pPr>
                        </w:p>
                        <w:p w14:paraId="5945EB0B" w14:textId="77777777" w:rsidR="00CE79A2" w:rsidRDefault="00CE79A2">
                          <w:pPr>
                            <w:rPr>
                              <w:b/>
                              <w:sz w:val="16"/>
                            </w:rPr>
                          </w:pPr>
                        </w:p>
                        <w:p w14:paraId="6A56E953" w14:textId="77777777" w:rsidR="00CE79A2" w:rsidRDefault="00CE79A2">
                          <w:pPr>
                            <w:rPr>
                              <w:b/>
                              <w:sz w:val="16"/>
                            </w:rPr>
                          </w:pPr>
                          <w:r>
                            <w:rPr>
                              <w:rFonts w:eastAsia="PMingLiU" w:hint="eastAsia"/>
                              <w:b/>
                              <w:sz w:val="20"/>
                              <w:lang w:eastAsia="zh-TW"/>
                            </w:rPr>
                            <w:t xml:space="preserve"> </w:t>
                          </w:r>
                          <w:r>
                            <w:rPr>
                              <w:rFonts w:hint="eastAsia"/>
                              <w:b/>
                              <w:sz w:val="20"/>
                            </w:rPr>
                            <w:t>C</w:t>
                          </w:r>
                        </w:p>
                        <w:p w14:paraId="2341F74F" w14:textId="77777777" w:rsidR="00CE79A2" w:rsidRDefault="00CE79A2">
                          <w:pPr>
                            <w:rPr>
                              <w:b/>
                              <w:sz w:val="10"/>
                            </w:rPr>
                          </w:pPr>
                        </w:p>
                        <w:p w14:paraId="34B96997" w14:textId="77777777" w:rsidR="00CE79A2" w:rsidRDefault="00CE79A2">
                          <w:pPr>
                            <w:rPr>
                              <w:b/>
                              <w:sz w:val="16"/>
                            </w:rPr>
                          </w:pPr>
                        </w:p>
                        <w:p w14:paraId="4814A22B" w14:textId="77777777" w:rsidR="00CE79A2" w:rsidRDefault="00CE79A2">
                          <w:pPr>
                            <w:rPr>
                              <w:b/>
                              <w:sz w:val="16"/>
                            </w:rPr>
                          </w:pPr>
                        </w:p>
                        <w:p w14:paraId="5A9E1D11" w14:textId="77777777" w:rsidR="00CE79A2" w:rsidRDefault="00CE79A2">
                          <w:pPr>
                            <w:pStyle w:val="Heading2"/>
                            <w:rPr>
                              <w:sz w:val="16"/>
                            </w:rPr>
                          </w:pPr>
                          <w:r>
                            <w:rPr>
                              <w:rFonts w:eastAsia="PMingLiU" w:hint="eastAsia"/>
                              <w:lang w:eastAsia="zh-TW"/>
                            </w:rPr>
                            <w:t xml:space="preserve"> </w:t>
                          </w:r>
                          <w:r>
                            <w:rPr>
                              <w:rFonts w:hint="eastAsia"/>
                            </w:rPr>
                            <w:t>D</w:t>
                          </w:r>
                        </w:p>
                        <w:p w14:paraId="7ECE0005" w14:textId="77777777" w:rsidR="00CE79A2" w:rsidRDefault="00CE79A2">
                          <w:pPr>
                            <w:rPr>
                              <w:b/>
                              <w:sz w:val="10"/>
                            </w:rPr>
                          </w:pPr>
                        </w:p>
                        <w:p w14:paraId="3FE3C0C5" w14:textId="77777777" w:rsidR="00CE79A2" w:rsidRDefault="00CE79A2">
                          <w:pPr>
                            <w:rPr>
                              <w:b/>
                              <w:sz w:val="16"/>
                            </w:rPr>
                          </w:pPr>
                        </w:p>
                        <w:p w14:paraId="1F671046" w14:textId="77777777" w:rsidR="00CE79A2" w:rsidRDefault="00CE79A2">
                          <w:pPr>
                            <w:rPr>
                              <w:b/>
                              <w:sz w:val="16"/>
                            </w:rPr>
                          </w:pPr>
                        </w:p>
                        <w:p w14:paraId="4FE80494" w14:textId="77777777" w:rsidR="00CE79A2" w:rsidRDefault="00CE79A2">
                          <w:pPr>
                            <w:rPr>
                              <w:b/>
                              <w:sz w:val="16"/>
                            </w:rPr>
                          </w:pPr>
                          <w:r>
                            <w:rPr>
                              <w:rFonts w:eastAsia="PMingLiU" w:hint="eastAsia"/>
                              <w:b/>
                              <w:sz w:val="20"/>
                              <w:lang w:eastAsia="zh-TW"/>
                            </w:rPr>
                            <w:t xml:space="preserve"> </w:t>
                          </w:r>
                          <w:r>
                            <w:rPr>
                              <w:rFonts w:hint="eastAsia"/>
                              <w:b/>
                              <w:sz w:val="20"/>
                            </w:rPr>
                            <w:t>E</w:t>
                          </w:r>
                        </w:p>
                        <w:p w14:paraId="13046F9F" w14:textId="77777777" w:rsidR="00CE79A2" w:rsidRDefault="00CE79A2">
                          <w:pPr>
                            <w:rPr>
                              <w:b/>
                              <w:sz w:val="10"/>
                            </w:rPr>
                          </w:pPr>
                        </w:p>
                        <w:p w14:paraId="2C3ACFAD" w14:textId="77777777" w:rsidR="00CE79A2" w:rsidRDefault="00CE79A2">
                          <w:pPr>
                            <w:rPr>
                              <w:b/>
                              <w:sz w:val="16"/>
                            </w:rPr>
                          </w:pPr>
                        </w:p>
                        <w:p w14:paraId="673DDA11" w14:textId="77777777" w:rsidR="00CE79A2" w:rsidRDefault="00CE79A2">
                          <w:pPr>
                            <w:rPr>
                              <w:b/>
                              <w:sz w:val="16"/>
                            </w:rPr>
                          </w:pPr>
                        </w:p>
                        <w:p w14:paraId="4AE39D2F" w14:textId="77777777" w:rsidR="00CE79A2" w:rsidRDefault="00CE79A2">
                          <w:pPr>
                            <w:rPr>
                              <w:b/>
                              <w:sz w:val="20"/>
                            </w:rPr>
                          </w:pPr>
                          <w:r>
                            <w:rPr>
                              <w:rFonts w:eastAsia="PMingLiU" w:hint="eastAsia"/>
                              <w:b/>
                              <w:sz w:val="20"/>
                              <w:lang w:eastAsia="zh-TW"/>
                            </w:rPr>
                            <w:t xml:space="preserve"> </w:t>
                          </w:r>
                          <w:r>
                            <w:rPr>
                              <w:rFonts w:hint="eastAsia"/>
                              <w:b/>
                              <w:sz w:val="20"/>
                            </w:rPr>
                            <w:t>F</w:t>
                          </w:r>
                        </w:p>
                        <w:p w14:paraId="1911FA34" w14:textId="77777777" w:rsidR="00CE79A2" w:rsidRDefault="00CE79A2">
                          <w:pPr>
                            <w:rPr>
                              <w:b/>
                              <w:sz w:val="10"/>
                            </w:rPr>
                          </w:pPr>
                        </w:p>
                        <w:p w14:paraId="61B86678" w14:textId="77777777" w:rsidR="00CE79A2" w:rsidRDefault="00CE79A2">
                          <w:pPr>
                            <w:rPr>
                              <w:b/>
                              <w:sz w:val="16"/>
                            </w:rPr>
                          </w:pPr>
                        </w:p>
                        <w:p w14:paraId="7A3FF1AA" w14:textId="77777777" w:rsidR="00CE79A2" w:rsidRDefault="00CE79A2">
                          <w:pPr>
                            <w:rPr>
                              <w:b/>
                              <w:sz w:val="16"/>
                            </w:rPr>
                          </w:pPr>
                        </w:p>
                        <w:p w14:paraId="0227126E" w14:textId="77777777" w:rsidR="00CE79A2" w:rsidRDefault="00CE79A2">
                          <w:pPr>
                            <w:rPr>
                              <w:b/>
                              <w:sz w:val="16"/>
                            </w:rPr>
                          </w:pPr>
                          <w:r>
                            <w:rPr>
                              <w:rFonts w:eastAsia="PMingLiU" w:hint="eastAsia"/>
                              <w:b/>
                              <w:sz w:val="20"/>
                              <w:lang w:eastAsia="zh-TW"/>
                            </w:rPr>
                            <w:t xml:space="preserve"> </w:t>
                          </w:r>
                          <w:r>
                            <w:rPr>
                              <w:rFonts w:hint="eastAsia"/>
                              <w:b/>
                              <w:sz w:val="20"/>
                            </w:rPr>
                            <w:t>G</w:t>
                          </w:r>
                        </w:p>
                        <w:p w14:paraId="2FFAA941" w14:textId="77777777" w:rsidR="00CE79A2" w:rsidRDefault="00CE79A2">
                          <w:pPr>
                            <w:rPr>
                              <w:b/>
                              <w:sz w:val="10"/>
                            </w:rPr>
                          </w:pPr>
                        </w:p>
                        <w:p w14:paraId="3E3BEB4C" w14:textId="77777777" w:rsidR="00CE79A2" w:rsidRDefault="00CE79A2">
                          <w:pPr>
                            <w:rPr>
                              <w:b/>
                              <w:sz w:val="16"/>
                            </w:rPr>
                          </w:pPr>
                        </w:p>
                        <w:p w14:paraId="1BBE946F" w14:textId="77777777" w:rsidR="00CE79A2" w:rsidRDefault="00CE79A2">
                          <w:pPr>
                            <w:rPr>
                              <w:b/>
                              <w:sz w:val="16"/>
                            </w:rPr>
                          </w:pPr>
                        </w:p>
                        <w:p w14:paraId="79512749" w14:textId="77777777" w:rsidR="00CE79A2" w:rsidRDefault="00CE79A2">
                          <w:pPr>
                            <w:rPr>
                              <w:b/>
                              <w:sz w:val="16"/>
                            </w:rPr>
                          </w:pPr>
                          <w:r>
                            <w:rPr>
                              <w:rFonts w:eastAsia="PMingLiU" w:hint="eastAsia"/>
                              <w:b/>
                              <w:sz w:val="20"/>
                              <w:lang w:eastAsia="zh-TW"/>
                            </w:rPr>
                            <w:t xml:space="preserve"> </w:t>
                          </w:r>
                          <w:r>
                            <w:rPr>
                              <w:rFonts w:hint="eastAsia"/>
                              <w:b/>
                              <w:sz w:val="20"/>
                            </w:rPr>
                            <w:t>H</w:t>
                          </w:r>
                        </w:p>
                        <w:p w14:paraId="395D07DE" w14:textId="77777777" w:rsidR="00CE79A2" w:rsidRDefault="00CE79A2">
                          <w:pPr>
                            <w:rPr>
                              <w:b/>
                              <w:sz w:val="10"/>
                            </w:rPr>
                          </w:pPr>
                        </w:p>
                        <w:p w14:paraId="41039C4D" w14:textId="77777777" w:rsidR="00CE79A2" w:rsidRDefault="00CE79A2">
                          <w:pPr>
                            <w:rPr>
                              <w:b/>
                              <w:sz w:val="16"/>
                            </w:rPr>
                          </w:pPr>
                        </w:p>
                        <w:p w14:paraId="429008D8" w14:textId="77777777" w:rsidR="00CE79A2" w:rsidRDefault="00CE79A2">
                          <w:pPr>
                            <w:rPr>
                              <w:b/>
                              <w:sz w:val="16"/>
                            </w:rPr>
                          </w:pPr>
                        </w:p>
                        <w:p w14:paraId="2AB01C43" w14:textId="77777777" w:rsidR="00CE79A2" w:rsidRDefault="00CE79A2">
                          <w:pPr>
                            <w:rPr>
                              <w:b/>
                              <w:sz w:val="16"/>
                            </w:rPr>
                          </w:pPr>
                          <w:r>
                            <w:rPr>
                              <w:rFonts w:eastAsia="PMingLiU" w:hint="eastAsia"/>
                              <w:b/>
                              <w:sz w:val="20"/>
                              <w:lang w:eastAsia="zh-TW"/>
                            </w:rPr>
                            <w:t xml:space="preserve"> </w:t>
                          </w:r>
                          <w:r>
                            <w:rPr>
                              <w:rFonts w:hint="eastAsia"/>
                              <w:b/>
                              <w:sz w:val="20"/>
                            </w:rPr>
                            <w:t>I</w:t>
                          </w:r>
                        </w:p>
                        <w:p w14:paraId="41390F5B" w14:textId="77777777" w:rsidR="00CE79A2" w:rsidRDefault="00CE79A2">
                          <w:pPr>
                            <w:rPr>
                              <w:b/>
                              <w:sz w:val="10"/>
                            </w:rPr>
                          </w:pPr>
                        </w:p>
                        <w:p w14:paraId="450EE7CE" w14:textId="77777777" w:rsidR="00CE79A2" w:rsidRDefault="00CE79A2">
                          <w:pPr>
                            <w:rPr>
                              <w:b/>
                              <w:sz w:val="16"/>
                            </w:rPr>
                          </w:pPr>
                        </w:p>
                        <w:p w14:paraId="67DFAA31" w14:textId="77777777" w:rsidR="00CE79A2" w:rsidRDefault="00CE79A2">
                          <w:pPr>
                            <w:rPr>
                              <w:b/>
                              <w:sz w:val="16"/>
                            </w:rPr>
                          </w:pPr>
                        </w:p>
                        <w:p w14:paraId="0A910A46" w14:textId="77777777" w:rsidR="00CE79A2" w:rsidRDefault="00CE79A2">
                          <w:pPr>
                            <w:rPr>
                              <w:b/>
                              <w:sz w:val="16"/>
                            </w:rPr>
                          </w:pPr>
                          <w:r>
                            <w:rPr>
                              <w:rFonts w:eastAsia="PMingLiU" w:hint="eastAsia"/>
                              <w:b/>
                              <w:sz w:val="20"/>
                              <w:lang w:eastAsia="zh-TW"/>
                            </w:rPr>
                            <w:t xml:space="preserve"> </w:t>
                          </w:r>
                          <w:r>
                            <w:rPr>
                              <w:rFonts w:hint="eastAsia"/>
                              <w:b/>
                              <w:sz w:val="20"/>
                            </w:rPr>
                            <w:t>J</w:t>
                          </w:r>
                        </w:p>
                        <w:p w14:paraId="7943C531" w14:textId="77777777" w:rsidR="00CE79A2" w:rsidRDefault="00CE79A2">
                          <w:pPr>
                            <w:rPr>
                              <w:b/>
                              <w:sz w:val="10"/>
                            </w:rPr>
                          </w:pPr>
                        </w:p>
                        <w:p w14:paraId="37F0D79F" w14:textId="77777777" w:rsidR="00CE79A2" w:rsidRDefault="00CE79A2">
                          <w:pPr>
                            <w:rPr>
                              <w:b/>
                              <w:sz w:val="16"/>
                            </w:rPr>
                          </w:pPr>
                        </w:p>
                        <w:p w14:paraId="2D8CBB1D" w14:textId="77777777" w:rsidR="00CE79A2" w:rsidRDefault="00CE79A2">
                          <w:pPr>
                            <w:rPr>
                              <w:b/>
                              <w:sz w:val="16"/>
                            </w:rPr>
                          </w:pPr>
                        </w:p>
                        <w:p w14:paraId="0AF324E6" w14:textId="77777777" w:rsidR="00CE79A2" w:rsidRDefault="00CE79A2">
                          <w:pPr>
                            <w:rPr>
                              <w:b/>
                              <w:sz w:val="16"/>
                            </w:rPr>
                          </w:pPr>
                          <w:r>
                            <w:rPr>
                              <w:rFonts w:eastAsia="PMingLiU" w:hint="eastAsia"/>
                              <w:b/>
                              <w:sz w:val="20"/>
                              <w:lang w:eastAsia="zh-TW"/>
                            </w:rPr>
                            <w:t xml:space="preserve"> </w:t>
                          </w:r>
                          <w:r>
                            <w:rPr>
                              <w:rFonts w:hint="eastAsia"/>
                              <w:b/>
                              <w:sz w:val="20"/>
                            </w:rPr>
                            <w:t>K</w:t>
                          </w:r>
                        </w:p>
                        <w:p w14:paraId="2CDB4B78" w14:textId="77777777" w:rsidR="00CE79A2" w:rsidRDefault="00CE79A2">
                          <w:pPr>
                            <w:rPr>
                              <w:b/>
                              <w:sz w:val="10"/>
                            </w:rPr>
                          </w:pPr>
                        </w:p>
                        <w:p w14:paraId="73EB121B" w14:textId="77777777" w:rsidR="00CE79A2" w:rsidRDefault="00CE79A2">
                          <w:pPr>
                            <w:rPr>
                              <w:b/>
                              <w:sz w:val="16"/>
                            </w:rPr>
                          </w:pPr>
                        </w:p>
                        <w:p w14:paraId="1C229C02" w14:textId="77777777" w:rsidR="00CE79A2" w:rsidRDefault="00CE79A2">
                          <w:pPr>
                            <w:rPr>
                              <w:b/>
                              <w:sz w:val="16"/>
                            </w:rPr>
                          </w:pPr>
                        </w:p>
                        <w:p w14:paraId="76C7B87D" w14:textId="77777777" w:rsidR="00CE79A2" w:rsidRDefault="00CE79A2">
                          <w:pPr>
                            <w:rPr>
                              <w:b/>
                              <w:sz w:val="16"/>
                            </w:rPr>
                          </w:pPr>
                          <w:r>
                            <w:rPr>
                              <w:rFonts w:eastAsia="PMingLiU" w:hint="eastAsia"/>
                              <w:b/>
                              <w:sz w:val="20"/>
                              <w:lang w:eastAsia="zh-TW"/>
                            </w:rPr>
                            <w:t xml:space="preserve"> </w:t>
                          </w:r>
                          <w:r>
                            <w:rPr>
                              <w:rFonts w:hint="eastAsia"/>
                              <w:b/>
                              <w:sz w:val="20"/>
                            </w:rPr>
                            <w:t>L</w:t>
                          </w:r>
                        </w:p>
                        <w:p w14:paraId="66FD835A" w14:textId="77777777" w:rsidR="00CE79A2" w:rsidRDefault="00CE79A2">
                          <w:pPr>
                            <w:rPr>
                              <w:b/>
                              <w:sz w:val="10"/>
                            </w:rPr>
                          </w:pPr>
                        </w:p>
                        <w:p w14:paraId="26A4FBEC" w14:textId="77777777" w:rsidR="00CE79A2" w:rsidRDefault="00CE79A2">
                          <w:pPr>
                            <w:rPr>
                              <w:b/>
                              <w:sz w:val="16"/>
                            </w:rPr>
                          </w:pPr>
                        </w:p>
                        <w:p w14:paraId="2261599D" w14:textId="77777777" w:rsidR="00CE79A2" w:rsidRDefault="00CE79A2">
                          <w:pPr>
                            <w:rPr>
                              <w:b/>
                              <w:sz w:val="16"/>
                            </w:rPr>
                          </w:pPr>
                        </w:p>
                        <w:p w14:paraId="0BB79D73" w14:textId="77777777" w:rsidR="00CE79A2" w:rsidRDefault="00CE79A2">
                          <w:pPr>
                            <w:rPr>
                              <w:b/>
                              <w:sz w:val="16"/>
                            </w:rPr>
                          </w:pPr>
                          <w:r>
                            <w:rPr>
                              <w:rFonts w:eastAsia="PMingLiU" w:hint="eastAsia"/>
                              <w:b/>
                              <w:sz w:val="20"/>
                              <w:lang w:eastAsia="zh-TW"/>
                            </w:rPr>
                            <w:t xml:space="preserve"> </w:t>
                          </w:r>
                          <w:r>
                            <w:rPr>
                              <w:rFonts w:hint="eastAsia"/>
                              <w:b/>
                              <w:sz w:val="20"/>
                            </w:rPr>
                            <w:t>M</w:t>
                          </w:r>
                        </w:p>
                        <w:p w14:paraId="1E200E36" w14:textId="77777777" w:rsidR="00CE79A2" w:rsidRDefault="00CE79A2">
                          <w:pPr>
                            <w:rPr>
                              <w:b/>
                              <w:sz w:val="10"/>
                            </w:rPr>
                          </w:pPr>
                        </w:p>
                        <w:p w14:paraId="4ECDE164" w14:textId="77777777" w:rsidR="00CE79A2" w:rsidRDefault="00CE79A2">
                          <w:pPr>
                            <w:rPr>
                              <w:b/>
                              <w:sz w:val="16"/>
                            </w:rPr>
                          </w:pPr>
                        </w:p>
                        <w:p w14:paraId="4B4CA6DF" w14:textId="77777777" w:rsidR="00CE79A2" w:rsidRDefault="00CE79A2">
                          <w:pPr>
                            <w:rPr>
                              <w:b/>
                              <w:sz w:val="16"/>
                            </w:rPr>
                          </w:pPr>
                        </w:p>
                        <w:p w14:paraId="56AAA847" w14:textId="77777777" w:rsidR="00CE79A2" w:rsidRDefault="00CE79A2">
                          <w:pPr>
                            <w:rPr>
                              <w:b/>
                              <w:sz w:val="16"/>
                            </w:rPr>
                          </w:pPr>
                          <w:r>
                            <w:rPr>
                              <w:rFonts w:eastAsia="PMingLiU" w:hint="eastAsia"/>
                              <w:b/>
                              <w:sz w:val="20"/>
                              <w:lang w:eastAsia="zh-TW"/>
                            </w:rPr>
                            <w:t xml:space="preserve"> </w:t>
                          </w:r>
                          <w:r>
                            <w:rPr>
                              <w:rFonts w:hint="eastAsia"/>
                              <w:b/>
                              <w:sz w:val="20"/>
                            </w:rPr>
                            <w:t>N</w:t>
                          </w:r>
                        </w:p>
                        <w:p w14:paraId="6C06A1E1" w14:textId="77777777" w:rsidR="00CE79A2" w:rsidRDefault="00CE79A2">
                          <w:pPr>
                            <w:rPr>
                              <w:b/>
                              <w:sz w:val="10"/>
                            </w:rPr>
                          </w:pPr>
                        </w:p>
                        <w:p w14:paraId="557D18C4" w14:textId="77777777" w:rsidR="00CE79A2" w:rsidRDefault="00CE79A2">
                          <w:pPr>
                            <w:rPr>
                              <w:b/>
                              <w:sz w:val="16"/>
                            </w:rPr>
                          </w:pPr>
                        </w:p>
                        <w:p w14:paraId="3B2C03ED" w14:textId="77777777" w:rsidR="00CE79A2" w:rsidRDefault="00CE79A2">
                          <w:pPr>
                            <w:rPr>
                              <w:b/>
                              <w:sz w:val="16"/>
                            </w:rPr>
                          </w:pPr>
                        </w:p>
                        <w:p w14:paraId="229F6414" w14:textId="77777777" w:rsidR="00CE79A2" w:rsidRDefault="00CE79A2">
                          <w:pPr>
                            <w:rPr>
                              <w:b/>
                              <w:sz w:val="16"/>
                            </w:rPr>
                          </w:pPr>
                          <w:r>
                            <w:rPr>
                              <w:rFonts w:eastAsia="PMingLiU" w:hint="eastAsia"/>
                              <w:b/>
                              <w:sz w:val="20"/>
                              <w:lang w:eastAsia="zh-TW"/>
                            </w:rPr>
                            <w:t xml:space="preserve"> </w:t>
                          </w:r>
                          <w:r>
                            <w:rPr>
                              <w:rFonts w:hint="eastAsia"/>
                              <w:b/>
                              <w:sz w:val="20"/>
                            </w:rPr>
                            <w:t>O</w:t>
                          </w:r>
                        </w:p>
                        <w:p w14:paraId="57CF29F5" w14:textId="77777777" w:rsidR="00CE79A2" w:rsidRDefault="00CE79A2">
                          <w:pPr>
                            <w:rPr>
                              <w:b/>
                              <w:sz w:val="10"/>
                            </w:rPr>
                          </w:pPr>
                        </w:p>
                        <w:p w14:paraId="41897BEA" w14:textId="77777777" w:rsidR="00CE79A2" w:rsidRDefault="00CE79A2">
                          <w:pPr>
                            <w:rPr>
                              <w:b/>
                              <w:sz w:val="16"/>
                            </w:rPr>
                          </w:pPr>
                        </w:p>
                        <w:p w14:paraId="526386AA" w14:textId="77777777" w:rsidR="00CE79A2" w:rsidRDefault="00CE79A2">
                          <w:pPr>
                            <w:rPr>
                              <w:b/>
                              <w:sz w:val="16"/>
                            </w:rPr>
                          </w:pPr>
                        </w:p>
                        <w:p w14:paraId="4F320C9C" w14:textId="77777777" w:rsidR="00CE79A2" w:rsidRDefault="00CE79A2">
                          <w:pPr>
                            <w:rPr>
                              <w:b/>
                              <w:sz w:val="16"/>
                            </w:rPr>
                          </w:pPr>
                          <w:r>
                            <w:rPr>
                              <w:rFonts w:eastAsia="PMingLiU" w:hint="eastAsia"/>
                              <w:b/>
                              <w:sz w:val="20"/>
                              <w:lang w:eastAsia="zh-TW"/>
                            </w:rPr>
                            <w:t xml:space="preserve"> </w:t>
                          </w:r>
                          <w:r>
                            <w:rPr>
                              <w:rFonts w:hint="eastAsia"/>
                              <w:b/>
                              <w:sz w:val="20"/>
                            </w:rPr>
                            <w:t>P</w:t>
                          </w:r>
                        </w:p>
                        <w:p w14:paraId="4E1AA93E" w14:textId="77777777" w:rsidR="00CE79A2" w:rsidRDefault="00CE79A2">
                          <w:pPr>
                            <w:rPr>
                              <w:b/>
                              <w:sz w:val="10"/>
                            </w:rPr>
                          </w:pPr>
                        </w:p>
                        <w:p w14:paraId="6FDB90ED" w14:textId="77777777" w:rsidR="00CE79A2" w:rsidRDefault="00CE79A2">
                          <w:pPr>
                            <w:rPr>
                              <w:b/>
                              <w:sz w:val="16"/>
                            </w:rPr>
                          </w:pPr>
                        </w:p>
                        <w:p w14:paraId="5553D965" w14:textId="77777777" w:rsidR="00CE79A2" w:rsidRDefault="00CE79A2">
                          <w:pPr>
                            <w:rPr>
                              <w:b/>
                              <w:sz w:val="16"/>
                            </w:rPr>
                          </w:pPr>
                        </w:p>
                        <w:p w14:paraId="0CC7D6EE" w14:textId="77777777" w:rsidR="00CE79A2" w:rsidRDefault="00CE79A2">
                          <w:pPr>
                            <w:rPr>
                              <w:b/>
                              <w:sz w:val="16"/>
                            </w:rPr>
                          </w:pPr>
                          <w:r>
                            <w:rPr>
                              <w:rFonts w:eastAsia="PMingLiU" w:hint="eastAsia"/>
                              <w:b/>
                              <w:sz w:val="20"/>
                              <w:lang w:eastAsia="zh-TW"/>
                            </w:rPr>
                            <w:t xml:space="preserve"> </w:t>
                          </w:r>
                          <w:r>
                            <w:rPr>
                              <w:rFonts w:hint="eastAsia"/>
                              <w:b/>
                              <w:sz w:val="20"/>
                            </w:rPr>
                            <w:t>Q</w:t>
                          </w:r>
                        </w:p>
                        <w:p w14:paraId="698D16C4" w14:textId="77777777" w:rsidR="00CE79A2" w:rsidRDefault="00CE79A2">
                          <w:pPr>
                            <w:rPr>
                              <w:b/>
                              <w:sz w:val="10"/>
                            </w:rPr>
                          </w:pPr>
                        </w:p>
                        <w:p w14:paraId="64AF40C8" w14:textId="77777777" w:rsidR="00CE79A2" w:rsidRDefault="00CE79A2">
                          <w:pPr>
                            <w:rPr>
                              <w:b/>
                              <w:sz w:val="16"/>
                            </w:rPr>
                          </w:pPr>
                        </w:p>
                        <w:p w14:paraId="325521DB" w14:textId="77777777" w:rsidR="00CE79A2" w:rsidRDefault="00CE79A2">
                          <w:pPr>
                            <w:rPr>
                              <w:b/>
                              <w:sz w:val="16"/>
                            </w:rPr>
                          </w:pPr>
                        </w:p>
                        <w:p w14:paraId="0700A94D" w14:textId="77777777" w:rsidR="00CE79A2" w:rsidRDefault="00CE79A2">
                          <w:pPr>
                            <w:rPr>
                              <w:b/>
                              <w:sz w:val="16"/>
                            </w:rPr>
                          </w:pPr>
                          <w:r>
                            <w:rPr>
                              <w:rFonts w:eastAsia="PMingLiU" w:hint="eastAsia"/>
                              <w:b/>
                              <w:sz w:val="20"/>
                              <w:lang w:eastAsia="zh-TW"/>
                            </w:rPr>
                            <w:t xml:space="preserve"> </w:t>
                          </w:r>
                          <w:r>
                            <w:rPr>
                              <w:rFonts w:hint="eastAsia"/>
                              <w:b/>
                              <w:sz w:val="20"/>
                            </w:rPr>
                            <w:t>R</w:t>
                          </w:r>
                        </w:p>
                        <w:p w14:paraId="3F6BA12D" w14:textId="77777777" w:rsidR="00CE79A2" w:rsidRDefault="00CE79A2">
                          <w:pPr>
                            <w:rPr>
                              <w:b/>
                              <w:sz w:val="10"/>
                            </w:rPr>
                          </w:pPr>
                        </w:p>
                        <w:p w14:paraId="1F1309A6" w14:textId="77777777" w:rsidR="00CE79A2" w:rsidRDefault="00CE79A2">
                          <w:pPr>
                            <w:rPr>
                              <w:b/>
                              <w:sz w:val="16"/>
                            </w:rPr>
                          </w:pPr>
                        </w:p>
                        <w:p w14:paraId="3865F807" w14:textId="77777777" w:rsidR="00CE79A2" w:rsidRDefault="00CE79A2">
                          <w:pPr>
                            <w:rPr>
                              <w:b/>
                              <w:sz w:val="16"/>
                            </w:rPr>
                          </w:pPr>
                        </w:p>
                        <w:p w14:paraId="3AE8EC66" w14:textId="77777777" w:rsidR="00CE79A2" w:rsidRDefault="00CE79A2">
                          <w:pPr>
                            <w:rPr>
                              <w:b/>
                              <w:sz w:val="16"/>
                            </w:rPr>
                          </w:pPr>
                          <w:r>
                            <w:rPr>
                              <w:rFonts w:eastAsia="PMingLiU" w:hint="eastAsia"/>
                              <w:b/>
                              <w:sz w:val="20"/>
                              <w:lang w:eastAsia="zh-TW"/>
                            </w:rPr>
                            <w:t xml:space="preserve"> </w:t>
                          </w:r>
                          <w:r>
                            <w:rPr>
                              <w:rFonts w:hint="eastAsia"/>
                              <w:b/>
                              <w:sz w:val="20"/>
                            </w:rPr>
                            <w:t>S</w:t>
                          </w:r>
                        </w:p>
                        <w:p w14:paraId="14C1E651" w14:textId="77777777" w:rsidR="00CE79A2" w:rsidRDefault="00CE79A2">
                          <w:pPr>
                            <w:rPr>
                              <w:b/>
                              <w:sz w:val="10"/>
                            </w:rPr>
                          </w:pPr>
                        </w:p>
                        <w:p w14:paraId="6DAD5C0F" w14:textId="77777777" w:rsidR="00CE79A2" w:rsidRDefault="00CE79A2">
                          <w:pPr>
                            <w:rPr>
                              <w:b/>
                              <w:sz w:val="16"/>
                            </w:rPr>
                          </w:pPr>
                        </w:p>
                        <w:p w14:paraId="2EB192DA" w14:textId="77777777" w:rsidR="00CE79A2" w:rsidRDefault="00CE79A2">
                          <w:pPr>
                            <w:rPr>
                              <w:b/>
                              <w:sz w:val="16"/>
                            </w:rPr>
                          </w:pPr>
                        </w:p>
                        <w:p w14:paraId="6D5B8225" w14:textId="77777777" w:rsidR="00CE79A2" w:rsidRDefault="00CE79A2">
                          <w:pPr>
                            <w:rPr>
                              <w:b/>
                              <w:sz w:val="16"/>
                            </w:rPr>
                          </w:pPr>
                          <w:r>
                            <w:rPr>
                              <w:rFonts w:eastAsia="PMingLiU" w:hint="eastAsia"/>
                              <w:b/>
                              <w:sz w:val="20"/>
                              <w:lang w:eastAsia="zh-TW"/>
                            </w:rPr>
                            <w:t xml:space="preserve"> </w:t>
                          </w:r>
                          <w:r>
                            <w:rPr>
                              <w:rFonts w:hint="eastAsia"/>
                              <w:b/>
                              <w:sz w:val="20"/>
                            </w:rPr>
                            <w:t>T</w:t>
                          </w:r>
                        </w:p>
                        <w:p w14:paraId="6A9CB42F" w14:textId="77777777" w:rsidR="00CE79A2" w:rsidRDefault="00CE79A2">
                          <w:pPr>
                            <w:rPr>
                              <w:b/>
                              <w:sz w:val="10"/>
                            </w:rPr>
                          </w:pPr>
                        </w:p>
                        <w:p w14:paraId="18B95AE6" w14:textId="77777777" w:rsidR="00CE79A2" w:rsidRDefault="00CE79A2">
                          <w:pPr>
                            <w:rPr>
                              <w:b/>
                              <w:sz w:val="16"/>
                            </w:rPr>
                          </w:pPr>
                        </w:p>
                        <w:p w14:paraId="19E0EBA5" w14:textId="77777777" w:rsidR="00CE79A2" w:rsidRDefault="00CE79A2">
                          <w:pPr>
                            <w:rPr>
                              <w:b/>
                              <w:sz w:val="16"/>
                            </w:rPr>
                          </w:pPr>
                        </w:p>
                        <w:p w14:paraId="64BCD45C" w14:textId="77777777" w:rsidR="00CE79A2" w:rsidRDefault="00CE79A2">
                          <w:pPr>
                            <w:rPr>
                              <w:b/>
                              <w:sz w:val="16"/>
                            </w:rPr>
                          </w:pPr>
                          <w:r>
                            <w:rPr>
                              <w:rFonts w:eastAsia="PMingLiU" w:hint="eastAsia"/>
                              <w:b/>
                              <w:sz w:val="20"/>
                              <w:lang w:eastAsia="zh-TW"/>
                            </w:rPr>
                            <w:t xml:space="preserve"> </w:t>
                          </w:r>
                          <w:r>
                            <w:rPr>
                              <w:rFonts w:hint="eastAsia"/>
                              <w:b/>
                              <w:sz w:val="20"/>
                            </w:rPr>
                            <w:t>U</w:t>
                          </w:r>
                        </w:p>
                        <w:p w14:paraId="3B2BA8D6" w14:textId="77777777" w:rsidR="00CE79A2" w:rsidRDefault="00CE79A2">
                          <w:pPr>
                            <w:rPr>
                              <w:b/>
                              <w:sz w:val="10"/>
                            </w:rPr>
                          </w:pPr>
                        </w:p>
                        <w:p w14:paraId="14F8E44C" w14:textId="77777777" w:rsidR="00CE79A2" w:rsidRDefault="00CE79A2">
                          <w:pPr>
                            <w:rPr>
                              <w:b/>
                              <w:sz w:val="16"/>
                            </w:rPr>
                          </w:pPr>
                        </w:p>
                        <w:p w14:paraId="2B5B072F" w14:textId="77777777" w:rsidR="00CE79A2" w:rsidRDefault="00CE79A2">
                          <w:pPr>
                            <w:rPr>
                              <w:b/>
                              <w:sz w:val="16"/>
                            </w:rPr>
                          </w:pPr>
                        </w:p>
                        <w:p w14:paraId="5E2F6C2A" w14:textId="77777777" w:rsidR="00CE79A2" w:rsidRDefault="00CE79A2">
                          <w:pPr>
                            <w:pStyle w:val="Heading3"/>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63A4A9" id="_x0000_t202" coordsize="21600,21600" o:spt="202" path="m,l,21600r21600,l21600,xe">
              <v:stroke joinstyle="miter"/>
              <v:path gradientshapeok="t" o:connecttype="rect"/>
            </v:shapetype>
            <v:shape id="Text Box 2" o:spid="_x0000_s1028" type="#_x0000_t202" style="position:absolute;left:0;text-align:left;margin-left:464.8pt;margin-top:-41.4pt;width:42pt;height:8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" stroked="f">
              <v:textbox>
                <w:txbxContent>
                  <w:p w14:paraId="1787DF5D" w14:textId="77777777" w:rsidR="005C2771" w:rsidRDefault="005C2771">
                    <w:pPr>
                      <w:snapToGrid/>
                      <w:spacing w:line="80" w:lineRule="exact"/>
                      <w:rPr>
                        <w:rFonts w:eastAsia="PMingLiU"/>
                        <w:b/>
                        <w:sz w:val="18"/>
                        <w:lang w:eastAsia="zh-TW"/>
                      </w:rPr>
                    </w:pPr>
                  </w:p>
                  <w:p w14:paraId="5290B6AB" w14:textId="77777777" w:rsidR="005C2771" w:rsidRDefault="005C2771">
                    <w:pPr>
                      <w:snapToGrid/>
                      <w:spacing w:line="80" w:lineRule="exact"/>
                      <w:rPr>
                        <w:rFonts w:eastAsia="PMingLiU"/>
                        <w:b/>
                        <w:sz w:val="18"/>
                        <w:lang w:eastAsia="zh-TW"/>
                      </w:rPr>
                    </w:pPr>
                  </w:p>
                  <w:p w14:paraId="14BCADB1" w14:textId="77777777" w:rsidR="005C2771" w:rsidRDefault="005C2771">
                    <w:pPr>
                      <w:snapToGrid/>
                      <w:spacing w:line="120" w:lineRule="exact"/>
                      <w:rPr>
                        <w:rFonts w:eastAsia="PMingLiU"/>
                        <w:b/>
                        <w:sz w:val="18"/>
                        <w:lang w:eastAsia="zh-TW"/>
                      </w:rPr>
                    </w:pPr>
                  </w:p>
                  <w:p w14:paraId="25602489" w14:textId="77777777" w:rsidR="005C2771" w:rsidRDefault="005C2771">
                    <w:pPr>
                      <w:snapToGrid/>
                      <w:spacing w:line="80" w:lineRule="exact"/>
                      <w:rPr>
                        <w:rFonts w:eastAsia="PMingLiU"/>
                        <w:b/>
                        <w:sz w:val="18"/>
                        <w:lang w:eastAsia="zh-TW"/>
                      </w:rPr>
                    </w:pPr>
                  </w:p>
                  <w:p w14:paraId="74666F50" w14:textId="77777777" w:rsidR="005C2771" w:rsidRDefault="005C2771">
                    <w:pPr>
                      <w:snapToGrid/>
                      <w:spacing w:line="120" w:lineRule="exact"/>
                      <w:rPr>
                        <w:rFonts w:eastAsia="PMingLiU"/>
                        <w:b/>
                        <w:sz w:val="20"/>
                        <w:lang w:eastAsia="zh-TW"/>
                      </w:rPr>
                    </w:pPr>
                  </w:p>
                  <w:p w14:paraId="18C93E36" w14:textId="77777777" w:rsidR="005C2771" w:rsidRDefault="005C2771">
                    <w:pPr>
                      <w:snapToGrid/>
                      <w:spacing w:line="200" w:lineRule="exact"/>
                      <w:rPr>
                        <w:rFonts w:eastAsia="PMingLiU"/>
                        <w:b/>
                        <w:sz w:val="20"/>
                        <w:lang w:eastAsia="zh-TW"/>
                      </w:rPr>
                    </w:pPr>
                    <w:r>
                      <w:rPr>
                        <w:rFonts w:eastAsia="PMingLiU" w:hint="eastAsia"/>
                        <w:b/>
                        <w:sz w:val="20"/>
                        <w:lang w:eastAsia="zh-TW"/>
                      </w:rPr>
                      <w:t xml:space="preserve"> </w:t>
                    </w:r>
                  </w:p>
                  <w:p w14:paraId="7B6451B0" w14:textId="77777777" w:rsidR="005C2771" w:rsidRDefault="005C2771">
                    <w:pPr>
                      <w:snapToGrid/>
                      <w:spacing w:line="80" w:lineRule="exact"/>
                      <w:rPr>
                        <w:rFonts w:eastAsia="PMingLiU"/>
                        <w:b/>
                        <w:sz w:val="20"/>
                        <w:lang w:eastAsia="zh-TW"/>
                      </w:rPr>
                    </w:pPr>
                    <w:r>
                      <w:rPr>
                        <w:rFonts w:eastAsia="PMingLiU" w:hint="eastAsia"/>
                        <w:b/>
                        <w:sz w:val="20"/>
                        <w:lang w:eastAsia="zh-TW"/>
                      </w:rPr>
                      <w:t xml:space="preserve"> </w:t>
                    </w:r>
                  </w:p>
                  <w:p w14:paraId="529ED65B" w14:textId="77777777" w:rsidR="005C2771" w:rsidRDefault="005C2771">
                    <w:pPr>
                      <w:snapToGrid/>
                      <w:spacing w:line="80" w:lineRule="exact"/>
                      <w:rPr>
                        <w:rFonts w:eastAsia="PMingLiU"/>
                        <w:b/>
                        <w:sz w:val="20"/>
                        <w:lang w:eastAsia="zh-TW"/>
                      </w:rPr>
                    </w:pPr>
                  </w:p>
                  <w:p w14:paraId="32923FFE" w14:textId="77777777" w:rsidR="005C2771" w:rsidRDefault="005C2771">
                    <w:pPr>
                      <w:rPr>
                        <w:b/>
                        <w:sz w:val="20"/>
                      </w:rPr>
                    </w:pPr>
                    <w:r>
                      <w:rPr>
                        <w:rFonts w:eastAsia="PMingLiU" w:hint="eastAsia"/>
                        <w:b/>
                        <w:sz w:val="20"/>
                        <w:lang w:eastAsia="zh-TW"/>
                      </w:rPr>
                      <w:t xml:space="preserve"> </w:t>
                    </w:r>
                    <w:r>
                      <w:rPr>
                        <w:rFonts w:hint="eastAsia"/>
                        <w:b/>
                        <w:sz w:val="20"/>
                      </w:rPr>
                      <w:t>A</w:t>
                    </w:r>
                  </w:p>
                  <w:p w14:paraId="2FADD26F" w14:textId="77777777" w:rsidR="005C2771" w:rsidRDefault="005C2771">
                    <w:pPr>
                      <w:rPr>
                        <w:b/>
                        <w:sz w:val="10"/>
                      </w:rPr>
                    </w:pPr>
                  </w:p>
                  <w:p w14:paraId="3A6EBA07" w14:textId="77777777" w:rsidR="005C2771" w:rsidRDefault="005C2771">
                    <w:pPr>
                      <w:rPr>
                        <w:b/>
                        <w:sz w:val="16"/>
                      </w:rPr>
                    </w:pPr>
                  </w:p>
                  <w:p w14:paraId="44E35FE1" w14:textId="77777777" w:rsidR="005C2771" w:rsidRDefault="005C2771">
                    <w:pPr>
                      <w:rPr>
                        <w:rFonts w:eastAsia="PMingLiU"/>
                        <w:b/>
                        <w:sz w:val="16"/>
                        <w:lang w:eastAsia="zh-TW"/>
                      </w:rPr>
                    </w:pPr>
                    <w:r>
                      <w:rPr>
                        <w:rFonts w:eastAsia="PMingLiU" w:hint="eastAsia"/>
                        <w:b/>
                        <w:sz w:val="16"/>
                        <w:lang w:eastAsia="zh-TW"/>
                      </w:rPr>
                      <w:t xml:space="preserve"> </w:t>
                    </w:r>
                  </w:p>
                  <w:p w14:paraId="61E22390" w14:textId="77777777" w:rsidR="005C2771" w:rsidRDefault="005C2771">
                    <w:pPr>
                      <w:rPr>
                        <w:b/>
                        <w:sz w:val="20"/>
                      </w:rPr>
                    </w:pPr>
                    <w:r>
                      <w:rPr>
                        <w:rFonts w:eastAsia="PMingLiU" w:hint="eastAsia"/>
                        <w:b/>
                        <w:sz w:val="20"/>
                        <w:lang w:eastAsia="zh-TW"/>
                      </w:rPr>
                      <w:t xml:space="preserve"> </w:t>
                    </w:r>
                    <w:r>
                      <w:rPr>
                        <w:rFonts w:hint="eastAsia"/>
                        <w:b/>
                        <w:sz w:val="20"/>
                      </w:rPr>
                      <w:t>B</w:t>
                    </w:r>
                  </w:p>
                  <w:p w14:paraId="3B7B2993" w14:textId="77777777" w:rsidR="005C2771" w:rsidRDefault="005C2771">
                    <w:pPr>
                      <w:rPr>
                        <w:b/>
                        <w:sz w:val="10"/>
                      </w:rPr>
                    </w:pPr>
                  </w:p>
                  <w:p w14:paraId="7EF6B335" w14:textId="77777777" w:rsidR="005C2771" w:rsidRDefault="005C2771">
                    <w:pPr>
                      <w:rPr>
                        <w:b/>
                        <w:sz w:val="16"/>
                      </w:rPr>
                    </w:pPr>
                  </w:p>
                  <w:p w14:paraId="5945EB0B" w14:textId="77777777" w:rsidR="005C2771" w:rsidRDefault="005C2771">
                    <w:pPr>
                      <w:rPr>
                        <w:b/>
                        <w:sz w:val="16"/>
                      </w:rPr>
                    </w:pPr>
                  </w:p>
                  <w:p w14:paraId="6A56E953" w14:textId="77777777" w:rsidR="005C2771" w:rsidRDefault="005C2771">
                    <w:pPr>
                      <w:rPr>
                        <w:b/>
                        <w:sz w:val="16"/>
                      </w:rPr>
                    </w:pPr>
                    <w:r>
                      <w:rPr>
                        <w:rFonts w:eastAsia="PMingLiU" w:hint="eastAsia"/>
                        <w:b/>
                        <w:sz w:val="20"/>
                        <w:lang w:eastAsia="zh-TW"/>
                      </w:rPr>
                      <w:t xml:space="preserve"> </w:t>
                    </w:r>
                    <w:r>
                      <w:rPr>
                        <w:rFonts w:hint="eastAsia"/>
                        <w:b/>
                        <w:sz w:val="20"/>
                      </w:rPr>
                      <w:t>C</w:t>
                    </w:r>
                  </w:p>
                  <w:p w14:paraId="2341F74F" w14:textId="77777777" w:rsidR="005C2771" w:rsidRDefault="005C2771">
                    <w:pPr>
                      <w:rPr>
                        <w:b/>
                        <w:sz w:val="10"/>
                      </w:rPr>
                    </w:pPr>
                  </w:p>
                  <w:p w14:paraId="34B96997" w14:textId="77777777" w:rsidR="005C2771" w:rsidRDefault="005C2771">
                    <w:pPr>
                      <w:rPr>
                        <w:b/>
                        <w:sz w:val="16"/>
                      </w:rPr>
                    </w:pPr>
                  </w:p>
                  <w:p w14:paraId="4814A22B" w14:textId="77777777" w:rsidR="005C2771" w:rsidRDefault="005C2771">
                    <w:pPr>
                      <w:rPr>
                        <w:b/>
                        <w:sz w:val="16"/>
                      </w:rPr>
                    </w:pPr>
                  </w:p>
                  <w:p w14:paraId="5A9E1D11" w14:textId="77777777" w:rsidR="005C2771" w:rsidRDefault="005C2771">
                    <w:pPr>
                      <w:pStyle w:val="Heading2"/>
                      <w:rPr>
                        <w:sz w:val="16"/>
                      </w:rPr>
                    </w:pPr>
                    <w:r>
                      <w:rPr>
                        <w:rFonts w:eastAsia="PMingLiU" w:hint="eastAsia"/>
                        <w:lang w:eastAsia="zh-TW"/>
                      </w:rPr>
                      <w:t xml:space="preserve"> </w:t>
                    </w:r>
                    <w:r>
                      <w:rPr>
                        <w:rFonts w:hint="eastAsia"/>
                      </w:rPr>
                      <w:t>D</w:t>
                    </w:r>
                  </w:p>
                  <w:p w14:paraId="7ECE0005" w14:textId="77777777" w:rsidR="005C2771" w:rsidRDefault="005C2771">
                    <w:pPr>
                      <w:rPr>
                        <w:b/>
                        <w:sz w:val="10"/>
                      </w:rPr>
                    </w:pPr>
                  </w:p>
                  <w:p w14:paraId="3FE3C0C5" w14:textId="77777777" w:rsidR="005C2771" w:rsidRDefault="005C2771">
                    <w:pPr>
                      <w:rPr>
                        <w:b/>
                        <w:sz w:val="16"/>
                      </w:rPr>
                    </w:pPr>
                  </w:p>
                  <w:p w14:paraId="1F671046" w14:textId="77777777" w:rsidR="005C2771" w:rsidRDefault="005C2771">
                    <w:pPr>
                      <w:rPr>
                        <w:b/>
                        <w:sz w:val="16"/>
                      </w:rPr>
                    </w:pPr>
                  </w:p>
                  <w:p w14:paraId="4FE80494" w14:textId="77777777" w:rsidR="005C2771" w:rsidRDefault="005C2771">
                    <w:pPr>
                      <w:rPr>
                        <w:b/>
                        <w:sz w:val="16"/>
                      </w:rPr>
                    </w:pPr>
                    <w:r>
                      <w:rPr>
                        <w:rFonts w:eastAsia="PMingLiU" w:hint="eastAsia"/>
                        <w:b/>
                        <w:sz w:val="20"/>
                        <w:lang w:eastAsia="zh-TW"/>
                      </w:rPr>
                      <w:t xml:space="preserve"> </w:t>
                    </w:r>
                    <w:r>
                      <w:rPr>
                        <w:rFonts w:hint="eastAsia"/>
                        <w:b/>
                        <w:sz w:val="20"/>
                      </w:rPr>
                      <w:t>E</w:t>
                    </w:r>
                  </w:p>
                  <w:p w14:paraId="13046F9F" w14:textId="77777777" w:rsidR="005C2771" w:rsidRDefault="005C2771">
                    <w:pPr>
                      <w:rPr>
                        <w:b/>
                        <w:sz w:val="10"/>
                      </w:rPr>
                    </w:pPr>
                  </w:p>
                  <w:p w14:paraId="2C3ACFAD" w14:textId="77777777" w:rsidR="005C2771" w:rsidRDefault="005C2771">
                    <w:pPr>
                      <w:rPr>
                        <w:b/>
                        <w:sz w:val="16"/>
                      </w:rPr>
                    </w:pPr>
                  </w:p>
                  <w:p w14:paraId="673DDA11" w14:textId="77777777" w:rsidR="005C2771" w:rsidRDefault="005C2771">
                    <w:pPr>
                      <w:rPr>
                        <w:b/>
                        <w:sz w:val="16"/>
                      </w:rPr>
                    </w:pPr>
                  </w:p>
                  <w:p w14:paraId="4AE39D2F" w14:textId="77777777" w:rsidR="005C2771" w:rsidRDefault="005C2771">
                    <w:pPr>
                      <w:rPr>
                        <w:b/>
                        <w:sz w:val="20"/>
                      </w:rPr>
                    </w:pPr>
                    <w:r>
                      <w:rPr>
                        <w:rFonts w:eastAsia="PMingLiU" w:hint="eastAsia"/>
                        <w:b/>
                        <w:sz w:val="20"/>
                        <w:lang w:eastAsia="zh-TW"/>
                      </w:rPr>
                      <w:t xml:space="preserve"> </w:t>
                    </w:r>
                    <w:r>
                      <w:rPr>
                        <w:rFonts w:hint="eastAsia"/>
                        <w:b/>
                        <w:sz w:val="20"/>
                      </w:rPr>
                      <w:t>F</w:t>
                    </w:r>
                  </w:p>
                  <w:p w14:paraId="1911FA34" w14:textId="77777777" w:rsidR="005C2771" w:rsidRDefault="005C2771">
                    <w:pPr>
                      <w:rPr>
                        <w:b/>
                        <w:sz w:val="10"/>
                      </w:rPr>
                    </w:pPr>
                  </w:p>
                  <w:p w14:paraId="61B86678" w14:textId="77777777" w:rsidR="005C2771" w:rsidRDefault="005C2771">
                    <w:pPr>
                      <w:rPr>
                        <w:b/>
                        <w:sz w:val="16"/>
                      </w:rPr>
                    </w:pPr>
                  </w:p>
                  <w:p w14:paraId="7A3FF1AA" w14:textId="77777777" w:rsidR="005C2771" w:rsidRDefault="005C2771">
                    <w:pPr>
                      <w:rPr>
                        <w:b/>
                        <w:sz w:val="16"/>
                      </w:rPr>
                    </w:pPr>
                  </w:p>
                  <w:p w14:paraId="0227126E" w14:textId="77777777" w:rsidR="005C2771" w:rsidRDefault="005C2771">
                    <w:pPr>
                      <w:rPr>
                        <w:b/>
                        <w:sz w:val="16"/>
                      </w:rPr>
                    </w:pPr>
                    <w:r>
                      <w:rPr>
                        <w:rFonts w:eastAsia="PMingLiU" w:hint="eastAsia"/>
                        <w:b/>
                        <w:sz w:val="20"/>
                        <w:lang w:eastAsia="zh-TW"/>
                      </w:rPr>
                      <w:t xml:space="preserve"> </w:t>
                    </w:r>
                    <w:r>
                      <w:rPr>
                        <w:rFonts w:hint="eastAsia"/>
                        <w:b/>
                        <w:sz w:val="20"/>
                      </w:rPr>
                      <w:t>G</w:t>
                    </w:r>
                  </w:p>
                  <w:p w14:paraId="2FFAA941" w14:textId="77777777" w:rsidR="005C2771" w:rsidRDefault="005C2771">
                    <w:pPr>
                      <w:rPr>
                        <w:b/>
                        <w:sz w:val="10"/>
                      </w:rPr>
                    </w:pPr>
                  </w:p>
                  <w:p w14:paraId="3E3BEB4C" w14:textId="77777777" w:rsidR="005C2771" w:rsidRDefault="005C2771">
                    <w:pPr>
                      <w:rPr>
                        <w:b/>
                        <w:sz w:val="16"/>
                      </w:rPr>
                    </w:pPr>
                  </w:p>
                  <w:p w14:paraId="1BBE946F" w14:textId="77777777" w:rsidR="005C2771" w:rsidRDefault="005C2771">
                    <w:pPr>
                      <w:rPr>
                        <w:b/>
                        <w:sz w:val="16"/>
                      </w:rPr>
                    </w:pPr>
                  </w:p>
                  <w:p w14:paraId="79512749" w14:textId="77777777" w:rsidR="005C2771" w:rsidRDefault="005C2771">
                    <w:pPr>
                      <w:rPr>
                        <w:b/>
                        <w:sz w:val="16"/>
                      </w:rPr>
                    </w:pPr>
                    <w:r>
                      <w:rPr>
                        <w:rFonts w:eastAsia="PMingLiU" w:hint="eastAsia"/>
                        <w:b/>
                        <w:sz w:val="20"/>
                        <w:lang w:eastAsia="zh-TW"/>
                      </w:rPr>
                      <w:t xml:space="preserve"> </w:t>
                    </w:r>
                    <w:r>
                      <w:rPr>
                        <w:rFonts w:hint="eastAsia"/>
                        <w:b/>
                        <w:sz w:val="20"/>
                      </w:rPr>
                      <w:t>H</w:t>
                    </w:r>
                  </w:p>
                  <w:p w14:paraId="395D07DE" w14:textId="77777777" w:rsidR="005C2771" w:rsidRDefault="005C2771">
                    <w:pPr>
                      <w:rPr>
                        <w:b/>
                        <w:sz w:val="10"/>
                      </w:rPr>
                    </w:pPr>
                  </w:p>
                  <w:p w14:paraId="41039C4D" w14:textId="77777777" w:rsidR="005C2771" w:rsidRDefault="005C2771">
                    <w:pPr>
                      <w:rPr>
                        <w:b/>
                        <w:sz w:val="16"/>
                      </w:rPr>
                    </w:pPr>
                  </w:p>
                  <w:p w14:paraId="429008D8" w14:textId="77777777" w:rsidR="005C2771" w:rsidRDefault="005C2771">
                    <w:pPr>
                      <w:rPr>
                        <w:b/>
                        <w:sz w:val="16"/>
                      </w:rPr>
                    </w:pPr>
                  </w:p>
                  <w:p w14:paraId="2AB01C43" w14:textId="77777777" w:rsidR="005C2771" w:rsidRDefault="005C2771">
                    <w:pPr>
                      <w:rPr>
                        <w:b/>
                        <w:sz w:val="16"/>
                      </w:rPr>
                    </w:pPr>
                    <w:r>
                      <w:rPr>
                        <w:rFonts w:eastAsia="PMingLiU" w:hint="eastAsia"/>
                        <w:b/>
                        <w:sz w:val="20"/>
                        <w:lang w:eastAsia="zh-TW"/>
                      </w:rPr>
                      <w:t xml:space="preserve"> </w:t>
                    </w:r>
                    <w:r>
                      <w:rPr>
                        <w:rFonts w:hint="eastAsia"/>
                        <w:b/>
                        <w:sz w:val="20"/>
                      </w:rPr>
                      <w:t>I</w:t>
                    </w:r>
                  </w:p>
                  <w:p w14:paraId="41390F5B" w14:textId="77777777" w:rsidR="005C2771" w:rsidRDefault="005C2771">
                    <w:pPr>
                      <w:rPr>
                        <w:b/>
                        <w:sz w:val="10"/>
                      </w:rPr>
                    </w:pPr>
                  </w:p>
                  <w:p w14:paraId="450EE7CE" w14:textId="77777777" w:rsidR="005C2771" w:rsidRDefault="005C2771">
                    <w:pPr>
                      <w:rPr>
                        <w:b/>
                        <w:sz w:val="16"/>
                      </w:rPr>
                    </w:pPr>
                  </w:p>
                  <w:p w14:paraId="67DFAA31" w14:textId="77777777" w:rsidR="005C2771" w:rsidRDefault="005C2771">
                    <w:pPr>
                      <w:rPr>
                        <w:b/>
                        <w:sz w:val="16"/>
                      </w:rPr>
                    </w:pPr>
                  </w:p>
                  <w:p w14:paraId="0A910A46" w14:textId="77777777" w:rsidR="005C2771" w:rsidRDefault="005C2771">
                    <w:pPr>
                      <w:rPr>
                        <w:b/>
                        <w:sz w:val="16"/>
                      </w:rPr>
                    </w:pPr>
                    <w:r>
                      <w:rPr>
                        <w:rFonts w:eastAsia="PMingLiU" w:hint="eastAsia"/>
                        <w:b/>
                        <w:sz w:val="20"/>
                        <w:lang w:eastAsia="zh-TW"/>
                      </w:rPr>
                      <w:t xml:space="preserve"> </w:t>
                    </w:r>
                    <w:r>
                      <w:rPr>
                        <w:rFonts w:hint="eastAsia"/>
                        <w:b/>
                        <w:sz w:val="20"/>
                      </w:rPr>
                      <w:t>J</w:t>
                    </w:r>
                  </w:p>
                  <w:p w14:paraId="7943C531" w14:textId="77777777" w:rsidR="005C2771" w:rsidRDefault="005C2771">
                    <w:pPr>
                      <w:rPr>
                        <w:b/>
                        <w:sz w:val="10"/>
                      </w:rPr>
                    </w:pPr>
                  </w:p>
                  <w:p w14:paraId="37F0D79F" w14:textId="77777777" w:rsidR="005C2771" w:rsidRDefault="005C2771">
                    <w:pPr>
                      <w:rPr>
                        <w:b/>
                        <w:sz w:val="16"/>
                      </w:rPr>
                    </w:pPr>
                  </w:p>
                  <w:p w14:paraId="2D8CBB1D" w14:textId="77777777" w:rsidR="005C2771" w:rsidRDefault="005C2771">
                    <w:pPr>
                      <w:rPr>
                        <w:b/>
                        <w:sz w:val="16"/>
                      </w:rPr>
                    </w:pPr>
                  </w:p>
                  <w:p w14:paraId="0AF324E6" w14:textId="77777777" w:rsidR="005C2771" w:rsidRDefault="005C2771">
                    <w:pPr>
                      <w:rPr>
                        <w:b/>
                        <w:sz w:val="16"/>
                      </w:rPr>
                    </w:pPr>
                    <w:r>
                      <w:rPr>
                        <w:rFonts w:eastAsia="PMingLiU" w:hint="eastAsia"/>
                        <w:b/>
                        <w:sz w:val="20"/>
                        <w:lang w:eastAsia="zh-TW"/>
                      </w:rPr>
                      <w:t xml:space="preserve"> </w:t>
                    </w:r>
                    <w:r>
                      <w:rPr>
                        <w:rFonts w:hint="eastAsia"/>
                        <w:b/>
                        <w:sz w:val="20"/>
                      </w:rPr>
                      <w:t>K</w:t>
                    </w:r>
                  </w:p>
                  <w:p w14:paraId="2CDB4B78" w14:textId="77777777" w:rsidR="005C2771" w:rsidRDefault="005C2771">
                    <w:pPr>
                      <w:rPr>
                        <w:b/>
                        <w:sz w:val="10"/>
                      </w:rPr>
                    </w:pPr>
                  </w:p>
                  <w:p w14:paraId="73EB121B" w14:textId="77777777" w:rsidR="005C2771" w:rsidRDefault="005C2771">
                    <w:pPr>
                      <w:rPr>
                        <w:b/>
                        <w:sz w:val="16"/>
                      </w:rPr>
                    </w:pPr>
                  </w:p>
                  <w:p w14:paraId="1C229C02" w14:textId="77777777" w:rsidR="005C2771" w:rsidRDefault="005C2771">
                    <w:pPr>
                      <w:rPr>
                        <w:b/>
                        <w:sz w:val="16"/>
                      </w:rPr>
                    </w:pPr>
                  </w:p>
                  <w:p w14:paraId="76C7B87D" w14:textId="77777777" w:rsidR="005C2771" w:rsidRDefault="005C2771">
                    <w:pPr>
                      <w:rPr>
                        <w:b/>
                        <w:sz w:val="16"/>
                      </w:rPr>
                    </w:pPr>
                    <w:r>
                      <w:rPr>
                        <w:rFonts w:eastAsia="PMingLiU" w:hint="eastAsia"/>
                        <w:b/>
                        <w:sz w:val="20"/>
                        <w:lang w:eastAsia="zh-TW"/>
                      </w:rPr>
                      <w:t xml:space="preserve"> </w:t>
                    </w:r>
                    <w:r>
                      <w:rPr>
                        <w:rFonts w:hint="eastAsia"/>
                        <w:b/>
                        <w:sz w:val="20"/>
                      </w:rPr>
                      <w:t>L</w:t>
                    </w:r>
                  </w:p>
                  <w:p w14:paraId="66FD835A" w14:textId="77777777" w:rsidR="005C2771" w:rsidRDefault="005C2771">
                    <w:pPr>
                      <w:rPr>
                        <w:b/>
                        <w:sz w:val="10"/>
                      </w:rPr>
                    </w:pPr>
                  </w:p>
                  <w:p w14:paraId="26A4FBEC" w14:textId="77777777" w:rsidR="005C2771" w:rsidRDefault="005C2771">
                    <w:pPr>
                      <w:rPr>
                        <w:b/>
                        <w:sz w:val="16"/>
                      </w:rPr>
                    </w:pPr>
                  </w:p>
                  <w:p w14:paraId="2261599D" w14:textId="77777777" w:rsidR="005C2771" w:rsidRDefault="005C2771">
                    <w:pPr>
                      <w:rPr>
                        <w:b/>
                        <w:sz w:val="16"/>
                      </w:rPr>
                    </w:pPr>
                  </w:p>
                  <w:p w14:paraId="0BB79D73" w14:textId="77777777" w:rsidR="005C2771" w:rsidRDefault="005C2771">
                    <w:pPr>
                      <w:rPr>
                        <w:b/>
                        <w:sz w:val="16"/>
                      </w:rPr>
                    </w:pPr>
                    <w:r>
                      <w:rPr>
                        <w:rFonts w:eastAsia="PMingLiU" w:hint="eastAsia"/>
                        <w:b/>
                        <w:sz w:val="20"/>
                        <w:lang w:eastAsia="zh-TW"/>
                      </w:rPr>
                      <w:t xml:space="preserve"> </w:t>
                    </w:r>
                    <w:r>
                      <w:rPr>
                        <w:rFonts w:hint="eastAsia"/>
                        <w:b/>
                        <w:sz w:val="20"/>
                      </w:rPr>
                      <w:t>M</w:t>
                    </w:r>
                  </w:p>
                  <w:p w14:paraId="1E200E36" w14:textId="77777777" w:rsidR="005C2771" w:rsidRDefault="005C2771">
                    <w:pPr>
                      <w:rPr>
                        <w:b/>
                        <w:sz w:val="10"/>
                      </w:rPr>
                    </w:pPr>
                  </w:p>
                  <w:p w14:paraId="4ECDE164" w14:textId="77777777" w:rsidR="005C2771" w:rsidRDefault="005C2771">
                    <w:pPr>
                      <w:rPr>
                        <w:b/>
                        <w:sz w:val="16"/>
                      </w:rPr>
                    </w:pPr>
                  </w:p>
                  <w:p w14:paraId="4B4CA6DF" w14:textId="77777777" w:rsidR="005C2771" w:rsidRDefault="005C2771">
                    <w:pPr>
                      <w:rPr>
                        <w:b/>
                        <w:sz w:val="16"/>
                      </w:rPr>
                    </w:pPr>
                  </w:p>
                  <w:p w14:paraId="56AAA847" w14:textId="77777777" w:rsidR="005C2771" w:rsidRDefault="005C2771">
                    <w:pPr>
                      <w:rPr>
                        <w:b/>
                        <w:sz w:val="16"/>
                      </w:rPr>
                    </w:pPr>
                    <w:r>
                      <w:rPr>
                        <w:rFonts w:eastAsia="PMingLiU" w:hint="eastAsia"/>
                        <w:b/>
                        <w:sz w:val="20"/>
                        <w:lang w:eastAsia="zh-TW"/>
                      </w:rPr>
                      <w:t xml:space="preserve"> </w:t>
                    </w:r>
                    <w:r>
                      <w:rPr>
                        <w:rFonts w:hint="eastAsia"/>
                        <w:b/>
                        <w:sz w:val="20"/>
                      </w:rPr>
                      <w:t>N</w:t>
                    </w:r>
                  </w:p>
                  <w:p w14:paraId="6C06A1E1" w14:textId="77777777" w:rsidR="005C2771" w:rsidRDefault="005C2771">
                    <w:pPr>
                      <w:rPr>
                        <w:b/>
                        <w:sz w:val="10"/>
                      </w:rPr>
                    </w:pPr>
                  </w:p>
                  <w:p w14:paraId="557D18C4" w14:textId="77777777" w:rsidR="005C2771" w:rsidRDefault="005C2771">
                    <w:pPr>
                      <w:rPr>
                        <w:b/>
                        <w:sz w:val="16"/>
                      </w:rPr>
                    </w:pPr>
                  </w:p>
                  <w:p w14:paraId="3B2C03ED" w14:textId="77777777" w:rsidR="005C2771" w:rsidRDefault="005C2771">
                    <w:pPr>
                      <w:rPr>
                        <w:b/>
                        <w:sz w:val="16"/>
                      </w:rPr>
                    </w:pPr>
                  </w:p>
                  <w:p w14:paraId="229F6414" w14:textId="77777777" w:rsidR="005C2771" w:rsidRDefault="005C2771">
                    <w:pPr>
                      <w:rPr>
                        <w:b/>
                        <w:sz w:val="16"/>
                      </w:rPr>
                    </w:pPr>
                    <w:r>
                      <w:rPr>
                        <w:rFonts w:eastAsia="PMingLiU" w:hint="eastAsia"/>
                        <w:b/>
                        <w:sz w:val="20"/>
                        <w:lang w:eastAsia="zh-TW"/>
                      </w:rPr>
                      <w:t xml:space="preserve"> </w:t>
                    </w:r>
                    <w:r>
                      <w:rPr>
                        <w:rFonts w:hint="eastAsia"/>
                        <w:b/>
                        <w:sz w:val="20"/>
                      </w:rPr>
                      <w:t>O</w:t>
                    </w:r>
                  </w:p>
                  <w:p w14:paraId="57CF29F5" w14:textId="77777777" w:rsidR="005C2771" w:rsidRDefault="005C2771">
                    <w:pPr>
                      <w:rPr>
                        <w:b/>
                        <w:sz w:val="10"/>
                      </w:rPr>
                    </w:pPr>
                  </w:p>
                  <w:p w14:paraId="41897BEA" w14:textId="77777777" w:rsidR="005C2771" w:rsidRDefault="005C2771">
                    <w:pPr>
                      <w:rPr>
                        <w:b/>
                        <w:sz w:val="16"/>
                      </w:rPr>
                    </w:pPr>
                  </w:p>
                  <w:p w14:paraId="526386AA" w14:textId="77777777" w:rsidR="005C2771" w:rsidRDefault="005C2771">
                    <w:pPr>
                      <w:rPr>
                        <w:b/>
                        <w:sz w:val="16"/>
                      </w:rPr>
                    </w:pPr>
                  </w:p>
                  <w:p w14:paraId="4F320C9C" w14:textId="77777777" w:rsidR="005C2771" w:rsidRDefault="005C2771">
                    <w:pPr>
                      <w:rPr>
                        <w:b/>
                        <w:sz w:val="16"/>
                      </w:rPr>
                    </w:pPr>
                    <w:r>
                      <w:rPr>
                        <w:rFonts w:eastAsia="PMingLiU" w:hint="eastAsia"/>
                        <w:b/>
                        <w:sz w:val="20"/>
                        <w:lang w:eastAsia="zh-TW"/>
                      </w:rPr>
                      <w:t xml:space="preserve"> </w:t>
                    </w:r>
                    <w:r>
                      <w:rPr>
                        <w:rFonts w:hint="eastAsia"/>
                        <w:b/>
                        <w:sz w:val="20"/>
                      </w:rPr>
                      <w:t>P</w:t>
                    </w:r>
                  </w:p>
                  <w:p w14:paraId="4E1AA93E" w14:textId="77777777" w:rsidR="005C2771" w:rsidRDefault="005C2771">
                    <w:pPr>
                      <w:rPr>
                        <w:b/>
                        <w:sz w:val="10"/>
                      </w:rPr>
                    </w:pPr>
                  </w:p>
                  <w:p w14:paraId="6FDB90ED" w14:textId="77777777" w:rsidR="005C2771" w:rsidRDefault="005C2771">
                    <w:pPr>
                      <w:rPr>
                        <w:b/>
                        <w:sz w:val="16"/>
                      </w:rPr>
                    </w:pPr>
                  </w:p>
                  <w:p w14:paraId="5553D965" w14:textId="77777777" w:rsidR="005C2771" w:rsidRDefault="005C2771">
                    <w:pPr>
                      <w:rPr>
                        <w:b/>
                        <w:sz w:val="16"/>
                      </w:rPr>
                    </w:pPr>
                  </w:p>
                  <w:p w14:paraId="0CC7D6EE" w14:textId="77777777" w:rsidR="005C2771" w:rsidRDefault="005C2771">
                    <w:pPr>
                      <w:rPr>
                        <w:b/>
                        <w:sz w:val="16"/>
                      </w:rPr>
                    </w:pPr>
                    <w:r>
                      <w:rPr>
                        <w:rFonts w:eastAsia="PMingLiU" w:hint="eastAsia"/>
                        <w:b/>
                        <w:sz w:val="20"/>
                        <w:lang w:eastAsia="zh-TW"/>
                      </w:rPr>
                      <w:t xml:space="preserve"> </w:t>
                    </w:r>
                    <w:r>
                      <w:rPr>
                        <w:rFonts w:hint="eastAsia"/>
                        <w:b/>
                        <w:sz w:val="20"/>
                      </w:rPr>
                      <w:t>Q</w:t>
                    </w:r>
                  </w:p>
                  <w:p w14:paraId="698D16C4" w14:textId="77777777" w:rsidR="005C2771" w:rsidRDefault="005C2771">
                    <w:pPr>
                      <w:rPr>
                        <w:b/>
                        <w:sz w:val="10"/>
                      </w:rPr>
                    </w:pPr>
                  </w:p>
                  <w:p w14:paraId="64AF40C8" w14:textId="77777777" w:rsidR="005C2771" w:rsidRDefault="005C2771">
                    <w:pPr>
                      <w:rPr>
                        <w:b/>
                        <w:sz w:val="16"/>
                      </w:rPr>
                    </w:pPr>
                  </w:p>
                  <w:p w14:paraId="325521DB" w14:textId="77777777" w:rsidR="005C2771" w:rsidRDefault="005C2771">
                    <w:pPr>
                      <w:rPr>
                        <w:b/>
                        <w:sz w:val="16"/>
                      </w:rPr>
                    </w:pPr>
                  </w:p>
                  <w:p w14:paraId="0700A94D" w14:textId="77777777" w:rsidR="005C2771" w:rsidRDefault="005C2771">
                    <w:pPr>
                      <w:rPr>
                        <w:b/>
                        <w:sz w:val="16"/>
                      </w:rPr>
                    </w:pPr>
                    <w:r>
                      <w:rPr>
                        <w:rFonts w:eastAsia="PMingLiU" w:hint="eastAsia"/>
                        <w:b/>
                        <w:sz w:val="20"/>
                        <w:lang w:eastAsia="zh-TW"/>
                      </w:rPr>
                      <w:t xml:space="preserve"> </w:t>
                    </w:r>
                    <w:r>
                      <w:rPr>
                        <w:rFonts w:hint="eastAsia"/>
                        <w:b/>
                        <w:sz w:val="20"/>
                      </w:rPr>
                      <w:t>R</w:t>
                    </w:r>
                  </w:p>
                  <w:p w14:paraId="3F6BA12D" w14:textId="77777777" w:rsidR="005C2771" w:rsidRDefault="005C2771">
                    <w:pPr>
                      <w:rPr>
                        <w:b/>
                        <w:sz w:val="10"/>
                      </w:rPr>
                    </w:pPr>
                  </w:p>
                  <w:p w14:paraId="1F1309A6" w14:textId="77777777" w:rsidR="005C2771" w:rsidRDefault="005C2771">
                    <w:pPr>
                      <w:rPr>
                        <w:b/>
                        <w:sz w:val="16"/>
                      </w:rPr>
                    </w:pPr>
                  </w:p>
                  <w:p w14:paraId="3865F807" w14:textId="77777777" w:rsidR="005C2771" w:rsidRDefault="005C2771">
                    <w:pPr>
                      <w:rPr>
                        <w:b/>
                        <w:sz w:val="16"/>
                      </w:rPr>
                    </w:pPr>
                  </w:p>
                  <w:p w14:paraId="3AE8EC66" w14:textId="77777777" w:rsidR="005C2771" w:rsidRDefault="005C2771">
                    <w:pPr>
                      <w:rPr>
                        <w:b/>
                        <w:sz w:val="16"/>
                      </w:rPr>
                    </w:pPr>
                    <w:r>
                      <w:rPr>
                        <w:rFonts w:eastAsia="PMingLiU" w:hint="eastAsia"/>
                        <w:b/>
                        <w:sz w:val="20"/>
                        <w:lang w:eastAsia="zh-TW"/>
                      </w:rPr>
                      <w:t xml:space="preserve"> </w:t>
                    </w:r>
                    <w:r>
                      <w:rPr>
                        <w:rFonts w:hint="eastAsia"/>
                        <w:b/>
                        <w:sz w:val="20"/>
                      </w:rPr>
                      <w:t>S</w:t>
                    </w:r>
                  </w:p>
                  <w:p w14:paraId="14C1E651" w14:textId="77777777" w:rsidR="005C2771" w:rsidRDefault="005C2771">
                    <w:pPr>
                      <w:rPr>
                        <w:b/>
                        <w:sz w:val="10"/>
                      </w:rPr>
                    </w:pPr>
                  </w:p>
                  <w:p w14:paraId="6DAD5C0F" w14:textId="77777777" w:rsidR="005C2771" w:rsidRDefault="005C2771">
                    <w:pPr>
                      <w:rPr>
                        <w:b/>
                        <w:sz w:val="16"/>
                      </w:rPr>
                    </w:pPr>
                  </w:p>
                  <w:p w14:paraId="2EB192DA" w14:textId="77777777" w:rsidR="005C2771" w:rsidRDefault="005C2771">
                    <w:pPr>
                      <w:rPr>
                        <w:b/>
                        <w:sz w:val="16"/>
                      </w:rPr>
                    </w:pPr>
                  </w:p>
                  <w:p w14:paraId="6D5B8225" w14:textId="77777777" w:rsidR="005C2771" w:rsidRDefault="005C2771">
                    <w:pPr>
                      <w:rPr>
                        <w:b/>
                        <w:sz w:val="16"/>
                      </w:rPr>
                    </w:pPr>
                    <w:r>
                      <w:rPr>
                        <w:rFonts w:eastAsia="PMingLiU" w:hint="eastAsia"/>
                        <w:b/>
                        <w:sz w:val="20"/>
                        <w:lang w:eastAsia="zh-TW"/>
                      </w:rPr>
                      <w:t xml:space="preserve"> </w:t>
                    </w:r>
                    <w:r>
                      <w:rPr>
                        <w:rFonts w:hint="eastAsia"/>
                        <w:b/>
                        <w:sz w:val="20"/>
                      </w:rPr>
                      <w:t>T</w:t>
                    </w:r>
                  </w:p>
                  <w:p w14:paraId="6A9CB42F" w14:textId="77777777" w:rsidR="005C2771" w:rsidRDefault="005C2771">
                    <w:pPr>
                      <w:rPr>
                        <w:b/>
                        <w:sz w:val="10"/>
                      </w:rPr>
                    </w:pPr>
                  </w:p>
                  <w:p w14:paraId="18B95AE6" w14:textId="77777777" w:rsidR="005C2771" w:rsidRDefault="005C2771">
                    <w:pPr>
                      <w:rPr>
                        <w:b/>
                        <w:sz w:val="16"/>
                      </w:rPr>
                    </w:pPr>
                  </w:p>
                  <w:p w14:paraId="19E0EBA5" w14:textId="77777777" w:rsidR="005C2771" w:rsidRDefault="005C2771">
                    <w:pPr>
                      <w:rPr>
                        <w:b/>
                        <w:sz w:val="16"/>
                      </w:rPr>
                    </w:pPr>
                  </w:p>
                  <w:p w14:paraId="64BCD45C" w14:textId="77777777" w:rsidR="005C2771" w:rsidRDefault="005C2771">
                    <w:pPr>
                      <w:rPr>
                        <w:b/>
                        <w:sz w:val="16"/>
                      </w:rPr>
                    </w:pPr>
                    <w:r>
                      <w:rPr>
                        <w:rFonts w:eastAsia="PMingLiU" w:hint="eastAsia"/>
                        <w:b/>
                        <w:sz w:val="20"/>
                        <w:lang w:eastAsia="zh-TW"/>
                      </w:rPr>
                      <w:t xml:space="preserve"> </w:t>
                    </w:r>
                    <w:r>
                      <w:rPr>
                        <w:rFonts w:hint="eastAsia"/>
                        <w:b/>
                        <w:sz w:val="20"/>
                      </w:rPr>
                      <w:t>U</w:t>
                    </w:r>
                  </w:p>
                  <w:p w14:paraId="3B2BA8D6" w14:textId="77777777" w:rsidR="005C2771" w:rsidRDefault="005C2771">
                    <w:pPr>
                      <w:rPr>
                        <w:b/>
                        <w:sz w:val="10"/>
                      </w:rPr>
                    </w:pPr>
                  </w:p>
                  <w:p w14:paraId="14F8E44C" w14:textId="77777777" w:rsidR="005C2771" w:rsidRDefault="005C2771">
                    <w:pPr>
                      <w:rPr>
                        <w:b/>
                        <w:sz w:val="16"/>
                      </w:rPr>
                    </w:pPr>
                  </w:p>
                  <w:p w14:paraId="2B5B072F" w14:textId="77777777" w:rsidR="005C2771" w:rsidRDefault="005C2771">
                    <w:pPr>
                      <w:rPr>
                        <w:b/>
                        <w:sz w:val="16"/>
                      </w:rPr>
                    </w:pPr>
                  </w:p>
                  <w:p w14:paraId="5E2F6C2A" w14:textId="77777777" w:rsidR="005C2771" w:rsidRDefault="005C2771">
                    <w:pPr>
                      <w:pStyle w:val="Heading3"/>
                      <w:jc w:val="left"/>
                    </w:pPr>
                    <w:r>
                      <w:rPr>
                        <w:rFonts w:eastAsia="PMingLiU" w:hint="eastAsia"/>
                        <w:lang w:eastAsia="zh-TW"/>
                      </w:rPr>
                      <w:t xml:space="preserve"> </w:t>
                    </w:r>
                    <w:r>
                      <w:rPr>
                        <w:rFonts w:hint="eastAsia"/>
                      </w:rPr>
                      <w:t>V</w:t>
                    </w:r>
                  </w:p>
                </w:txbxContent>
              </v:textbox>
            </v:shape>
          </w:pict>
        </mc:Fallback>
      </mc:AlternateContent>
    </w:r>
    <w:r w:rsidRPr="00D353CE">
      <w:rPr>
        <w:noProof/>
        <w:sz w:val="28"/>
        <w:szCs w:val="28"/>
        <w:lang w:val="en-US" w:eastAsia="zh-CN"/>
      </w:rPr>
      <mc:AlternateContent>
        <mc:Choice Requires="wps">
          <w:drawing>
            <wp:anchor distT="0" distB="0" distL="114300" distR="114300" simplePos="0" relativeHeight="251656192" behindDoc="0" locked="0" layoutInCell="1" allowOverlap="1" wp14:anchorId="2F27DBF9" wp14:editId="272EADFC">
              <wp:simplePos x="0" y="0"/>
              <wp:positionH relativeFrom="column">
                <wp:posOffset>-1031240</wp:posOffset>
              </wp:positionH>
              <wp:positionV relativeFrom="paragraph">
                <wp:posOffset>-405130</wp:posOffset>
              </wp:positionV>
              <wp:extent cx="533400" cy="10255250"/>
              <wp:effectExtent l="0" t="4445"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25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87F11" w14:textId="77777777" w:rsidR="00CE79A2" w:rsidRDefault="00CE79A2">
                          <w:pPr>
                            <w:rPr>
                              <w:rFonts w:eastAsia="PMingLiU"/>
                              <w:b/>
                              <w:sz w:val="18"/>
                              <w:lang w:eastAsia="zh-TW"/>
                            </w:rPr>
                          </w:pPr>
                          <w:r>
                            <w:rPr>
                              <w:rFonts w:eastAsia="PMingLiU" w:hint="eastAsia"/>
                              <w:b/>
                              <w:sz w:val="18"/>
                              <w:lang w:eastAsia="zh-TW"/>
                            </w:rPr>
                            <w:t xml:space="preserve">  </w:t>
                          </w:r>
                        </w:p>
                        <w:p w14:paraId="4D7F9108" w14:textId="77777777" w:rsidR="00CE79A2" w:rsidRDefault="00CE79A2">
                          <w:pPr>
                            <w:rPr>
                              <w:rFonts w:eastAsia="PMingLiU"/>
                              <w:b/>
                              <w:sz w:val="18"/>
                              <w:lang w:eastAsia="zh-TW"/>
                            </w:rPr>
                          </w:pPr>
                        </w:p>
                        <w:p w14:paraId="31EBC24A" w14:textId="77777777" w:rsidR="00CE79A2" w:rsidRDefault="00CE79A2">
                          <w:pPr>
                            <w:rPr>
                              <w:rFonts w:eastAsia="PMingLiU"/>
                              <w:b/>
                              <w:sz w:val="20"/>
                              <w:lang w:eastAsia="zh-TW"/>
                            </w:rPr>
                          </w:pPr>
                        </w:p>
                        <w:p w14:paraId="3C895751" w14:textId="77777777" w:rsidR="00CE79A2" w:rsidRDefault="00CE79A2">
                          <w:pPr>
                            <w:ind w:firstLine="140"/>
                            <w:rPr>
                              <w:b/>
                              <w:sz w:val="20"/>
                            </w:rPr>
                          </w:pPr>
                          <w:r>
                            <w:rPr>
                              <w:rFonts w:eastAsia="PMingLiU" w:hint="eastAsia"/>
                              <w:b/>
                              <w:sz w:val="20"/>
                              <w:lang w:eastAsia="zh-TW"/>
                            </w:rPr>
                            <w:t xml:space="preserve"> </w:t>
                          </w:r>
                          <w:r>
                            <w:rPr>
                              <w:rFonts w:hint="eastAsia"/>
                              <w:b/>
                              <w:sz w:val="20"/>
                            </w:rPr>
                            <w:t>A</w:t>
                          </w:r>
                        </w:p>
                        <w:p w14:paraId="7BE78E5F" w14:textId="77777777" w:rsidR="00CE79A2" w:rsidRDefault="00CE79A2">
                          <w:pPr>
                            <w:tabs>
                              <w:tab w:val="clear" w:pos="4320"/>
                              <w:tab w:val="clear" w:pos="9072"/>
                            </w:tabs>
                            <w:ind w:firstLine="140"/>
                            <w:rPr>
                              <w:b/>
                              <w:sz w:val="10"/>
                            </w:rPr>
                          </w:pPr>
                        </w:p>
                        <w:p w14:paraId="7D4DCB71" w14:textId="77777777" w:rsidR="00CE79A2" w:rsidRDefault="00CE79A2">
                          <w:pPr>
                            <w:ind w:firstLine="140"/>
                            <w:rPr>
                              <w:b/>
                              <w:sz w:val="16"/>
                            </w:rPr>
                          </w:pPr>
                        </w:p>
                        <w:p w14:paraId="2C82B4D9" w14:textId="77777777" w:rsidR="00CE79A2" w:rsidRDefault="00CE79A2">
                          <w:pPr>
                            <w:ind w:firstLine="140"/>
                            <w:rPr>
                              <w:rFonts w:eastAsia="PMingLiU"/>
                              <w:b/>
                              <w:sz w:val="16"/>
                              <w:lang w:eastAsia="zh-TW"/>
                            </w:rPr>
                          </w:pPr>
                          <w:r>
                            <w:rPr>
                              <w:rFonts w:eastAsia="PMingLiU" w:hint="eastAsia"/>
                              <w:b/>
                              <w:sz w:val="16"/>
                              <w:lang w:eastAsia="zh-TW"/>
                            </w:rPr>
                            <w:t xml:space="preserve"> </w:t>
                          </w:r>
                        </w:p>
                        <w:p w14:paraId="2D60B9FB" w14:textId="77777777" w:rsidR="00CE79A2" w:rsidRDefault="00CE79A2">
                          <w:pPr>
                            <w:ind w:firstLine="140"/>
                            <w:rPr>
                              <w:b/>
                              <w:sz w:val="20"/>
                            </w:rPr>
                          </w:pPr>
                          <w:r>
                            <w:rPr>
                              <w:rFonts w:eastAsia="PMingLiU" w:hint="eastAsia"/>
                              <w:b/>
                              <w:sz w:val="20"/>
                              <w:lang w:eastAsia="zh-TW"/>
                            </w:rPr>
                            <w:t xml:space="preserve"> </w:t>
                          </w:r>
                          <w:r>
                            <w:rPr>
                              <w:rFonts w:hint="eastAsia"/>
                              <w:b/>
                              <w:sz w:val="20"/>
                            </w:rPr>
                            <w:t>B</w:t>
                          </w:r>
                        </w:p>
                        <w:p w14:paraId="72CBA128" w14:textId="77777777" w:rsidR="00CE79A2" w:rsidRDefault="00CE79A2">
                          <w:pPr>
                            <w:ind w:firstLine="140"/>
                            <w:rPr>
                              <w:b/>
                              <w:sz w:val="10"/>
                            </w:rPr>
                          </w:pPr>
                        </w:p>
                        <w:p w14:paraId="08F2669C" w14:textId="77777777" w:rsidR="00CE79A2" w:rsidRDefault="00CE79A2">
                          <w:pPr>
                            <w:ind w:firstLine="140"/>
                            <w:rPr>
                              <w:b/>
                              <w:sz w:val="16"/>
                            </w:rPr>
                          </w:pPr>
                        </w:p>
                        <w:p w14:paraId="56571183" w14:textId="77777777" w:rsidR="00CE79A2" w:rsidRDefault="00CE79A2">
                          <w:pPr>
                            <w:ind w:firstLine="140"/>
                            <w:rPr>
                              <w:b/>
                              <w:sz w:val="16"/>
                            </w:rPr>
                          </w:pPr>
                        </w:p>
                        <w:p w14:paraId="6547BA2F" w14:textId="77777777" w:rsidR="00CE79A2" w:rsidRDefault="00CE79A2">
                          <w:pPr>
                            <w:ind w:firstLine="140"/>
                            <w:rPr>
                              <w:b/>
                              <w:sz w:val="16"/>
                            </w:rPr>
                          </w:pPr>
                          <w:r>
                            <w:rPr>
                              <w:rFonts w:eastAsia="PMingLiU" w:hint="eastAsia"/>
                              <w:b/>
                              <w:sz w:val="20"/>
                              <w:lang w:eastAsia="zh-TW"/>
                            </w:rPr>
                            <w:t xml:space="preserve"> </w:t>
                          </w:r>
                          <w:r>
                            <w:rPr>
                              <w:rFonts w:hint="eastAsia"/>
                              <w:b/>
                              <w:sz w:val="20"/>
                            </w:rPr>
                            <w:t>C</w:t>
                          </w:r>
                        </w:p>
                        <w:p w14:paraId="0BBE96FC" w14:textId="77777777" w:rsidR="00CE79A2" w:rsidRDefault="00CE79A2">
                          <w:pPr>
                            <w:ind w:firstLine="140"/>
                            <w:rPr>
                              <w:b/>
                              <w:sz w:val="10"/>
                            </w:rPr>
                          </w:pPr>
                        </w:p>
                        <w:p w14:paraId="29B30954" w14:textId="77777777" w:rsidR="00CE79A2" w:rsidRDefault="00CE79A2">
                          <w:pPr>
                            <w:ind w:firstLine="140"/>
                            <w:rPr>
                              <w:b/>
                              <w:sz w:val="16"/>
                            </w:rPr>
                          </w:pPr>
                        </w:p>
                        <w:p w14:paraId="5479B5CE" w14:textId="77777777" w:rsidR="00CE79A2" w:rsidRDefault="00CE79A2">
                          <w:pPr>
                            <w:ind w:firstLine="140"/>
                            <w:rPr>
                              <w:b/>
                              <w:sz w:val="16"/>
                            </w:rPr>
                          </w:pPr>
                        </w:p>
                        <w:p w14:paraId="5C4074F4" w14:textId="77777777" w:rsidR="00CE79A2" w:rsidRDefault="00CE79A2">
                          <w:pPr>
                            <w:pStyle w:val="Heading2"/>
                            <w:ind w:firstLine="140"/>
                            <w:rPr>
                              <w:sz w:val="16"/>
                            </w:rPr>
                          </w:pPr>
                          <w:r>
                            <w:rPr>
                              <w:rFonts w:eastAsia="PMingLiU" w:hint="eastAsia"/>
                              <w:lang w:eastAsia="zh-TW"/>
                            </w:rPr>
                            <w:t xml:space="preserve"> </w:t>
                          </w:r>
                          <w:r>
                            <w:rPr>
                              <w:rFonts w:hint="eastAsia"/>
                            </w:rPr>
                            <w:t>D</w:t>
                          </w:r>
                        </w:p>
                        <w:p w14:paraId="2FD39BAB" w14:textId="77777777" w:rsidR="00CE79A2" w:rsidRDefault="00CE79A2">
                          <w:pPr>
                            <w:ind w:firstLine="140"/>
                            <w:rPr>
                              <w:b/>
                              <w:sz w:val="10"/>
                            </w:rPr>
                          </w:pPr>
                        </w:p>
                        <w:p w14:paraId="6407BF98" w14:textId="77777777" w:rsidR="00CE79A2" w:rsidRDefault="00CE79A2">
                          <w:pPr>
                            <w:ind w:firstLine="140"/>
                            <w:rPr>
                              <w:b/>
                              <w:sz w:val="16"/>
                            </w:rPr>
                          </w:pPr>
                        </w:p>
                        <w:p w14:paraId="184E0735" w14:textId="77777777" w:rsidR="00CE79A2" w:rsidRDefault="00CE79A2">
                          <w:pPr>
                            <w:ind w:firstLine="140"/>
                            <w:rPr>
                              <w:b/>
                              <w:sz w:val="16"/>
                            </w:rPr>
                          </w:pPr>
                        </w:p>
                        <w:p w14:paraId="04773FB1" w14:textId="77777777" w:rsidR="00CE79A2" w:rsidRDefault="00CE79A2">
                          <w:pPr>
                            <w:ind w:firstLine="140"/>
                            <w:rPr>
                              <w:b/>
                              <w:sz w:val="16"/>
                            </w:rPr>
                          </w:pPr>
                          <w:r>
                            <w:rPr>
                              <w:rFonts w:eastAsia="PMingLiU" w:hint="eastAsia"/>
                              <w:b/>
                              <w:sz w:val="20"/>
                              <w:lang w:eastAsia="zh-TW"/>
                            </w:rPr>
                            <w:t xml:space="preserve"> </w:t>
                          </w:r>
                          <w:r>
                            <w:rPr>
                              <w:rFonts w:hint="eastAsia"/>
                              <w:b/>
                              <w:sz w:val="20"/>
                            </w:rPr>
                            <w:t>E</w:t>
                          </w:r>
                        </w:p>
                        <w:p w14:paraId="6DD32F0E" w14:textId="77777777" w:rsidR="00CE79A2" w:rsidRDefault="00CE79A2">
                          <w:pPr>
                            <w:ind w:firstLine="140"/>
                            <w:rPr>
                              <w:b/>
                              <w:sz w:val="10"/>
                            </w:rPr>
                          </w:pPr>
                        </w:p>
                        <w:p w14:paraId="59C13068" w14:textId="77777777" w:rsidR="00CE79A2" w:rsidRDefault="00CE79A2">
                          <w:pPr>
                            <w:ind w:firstLine="140"/>
                            <w:rPr>
                              <w:b/>
                              <w:sz w:val="16"/>
                            </w:rPr>
                          </w:pPr>
                        </w:p>
                        <w:p w14:paraId="636AFD97" w14:textId="77777777" w:rsidR="00CE79A2" w:rsidRDefault="00CE79A2">
                          <w:pPr>
                            <w:ind w:firstLine="140"/>
                            <w:rPr>
                              <w:b/>
                              <w:sz w:val="16"/>
                            </w:rPr>
                          </w:pPr>
                        </w:p>
                        <w:p w14:paraId="1A8F74B5" w14:textId="77777777" w:rsidR="00CE79A2" w:rsidRDefault="00CE79A2">
                          <w:pPr>
                            <w:ind w:firstLine="140"/>
                            <w:rPr>
                              <w:b/>
                              <w:sz w:val="20"/>
                            </w:rPr>
                          </w:pPr>
                          <w:r>
                            <w:rPr>
                              <w:rFonts w:eastAsia="PMingLiU" w:hint="eastAsia"/>
                              <w:b/>
                              <w:sz w:val="20"/>
                              <w:lang w:eastAsia="zh-TW"/>
                            </w:rPr>
                            <w:t xml:space="preserve"> </w:t>
                          </w:r>
                          <w:r>
                            <w:rPr>
                              <w:rFonts w:hint="eastAsia"/>
                              <w:b/>
                              <w:sz w:val="20"/>
                            </w:rPr>
                            <w:t>F</w:t>
                          </w:r>
                        </w:p>
                        <w:p w14:paraId="0C7CF7FB" w14:textId="77777777" w:rsidR="00CE79A2" w:rsidRDefault="00CE79A2">
                          <w:pPr>
                            <w:ind w:firstLine="140"/>
                            <w:rPr>
                              <w:b/>
                              <w:sz w:val="10"/>
                            </w:rPr>
                          </w:pPr>
                        </w:p>
                        <w:p w14:paraId="314222D0" w14:textId="77777777" w:rsidR="00CE79A2" w:rsidRDefault="00CE79A2">
                          <w:pPr>
                            <w:ind w:firstLine="140"/>
                            <w:rPr>
                              <w:b/>
                              <w:sz w:val="16"/>
                            </w:rPr>
                          </w:pPr>
                        </w:p>
                        <w:p w14:paraId="513E5C1B" w14:textId="77777777" w:rsidR="00CE79A2" w:rsidRDefault="00CE79A2">
                          <w:pPr>
                            <w:ind w:firstLine="140"/>
                            <w:rPr>
                              <w:b/>
                              <w:sz w:val="16"/>
                            </w:rPr>
                          </w:pPr>
                        </w:p>
                        <w:p w14:paraId="606049C7" w14:textId="77777777" w:rsidR="00CE79A2" w:rsidRDefault="00CE79A2">
                          <w:pPr>
                            <w:ind w:firstLine="140"/>
                            <w:rPr>
                              <w:b/>
                              <w:sz w:val="16"/>
                            </w:rPr>
                          </w:pPr>
                          <w:r>
                            <w:rPr>
                              <w:rFonts w:eastAsia="PMingLiU" w:hint="eastAsia"/>
                              <w:b/>
                              <w:sz w:val="20"/>
                              <w:lang w:eastAsia="zh-TW"/>
                            </w:rPr>
                            <w:t xml:space="preserve"> </w:t>
                          </w:r>
                          <w:r>
                            <w:rPr>
                              <w:rFonts w:hint="eastAsia"/>
                              <w:b/>
                              <w:sz w:val="20"/>
                            </w:rPr>
                            <w:t>G</w:t>
                          </w:r>
                        </w:p>
                        <w:p w14:paraId="68FB4C8E" w14:textId="77777777" w:rsidR="00CE79A2" w:rsidRDefault="00CE79A2">
                          <w:pPr>
                            <w:ind w:firstLine="140"/>
                            <w:rPr>
                              <w:b/>
                              <w:sz w:val="10"/>
                            </w:rPr>
                          </w:pPr>
                        </w:p>
                        <w:p w14:paraId="0BB4C7B2" w14:textId="77777777" w:rsidR="00CE79A2" w:rsidRDefault="00CE79A2">
                          <w:pPr>
                            <w:ind w:firstLine="140"/>
                            <w:rPr>
                              <w:b/>
                              <w:sz w:val="16"/>
                            </w:rPr>
                          </w:pPr>
                        </w:p>
                        <w:p w14:paraId="315D9E8E" w14:textId="77777777" w:rsidR="00CE79A2" w:rsidRDefault="00CE79A2">
                          <w:pPr>
                            <w:ind w:firstLine="140"/>
                            <w:rPr>
                              <w:b/>
                              <w:sz w:val="16"/>
                            </w:rPr>
                          </w:pPr>
                        </w:p>
                        <w:p w14:paraId="6F986B79" w14:textId="77777777" w:rsidR="00CE79A2" w:rsidRDefault="00CE79A2">
                          <w:pPr>
                            <w:ind w:firstLine="140"/>
                            <w:rPr>
                              <w:b/>
                              <w:sz w:val="16"/>
                            </w:rPr>
                          </w:pPr>
                          <w:r>
                            <w:rPr>
                              <w:rFonts w:eastAsia="PMingLiU" w:hint="eastAsia"/>
                              <w:b/>
                              <w:sz w:val="20"/>
                              <w:lang w:eastAsia="zh-TW"/>
                            </w:rPr>
                            <w:t xml:space="preserve"> </w:t>
                          </w:r>
                          <w:r>
                            <w:rPr>
                              <w:rFonts w:hint="eastAsia"/>
                              <w:b/>
                              <w:sz w:val="20"/>
                            </w:rPr>
                            <w:t>H</w:t>
                          </w:r>
                        </w:p>
                        <w:p w14:paraId="45600282" w14:textId="77777777" w:rsidR="00CE79A2" w:rsidRDefault="00CE79A2">
                          <w:pPr>
                            <w:ind w:firstLine="140"/>
                            <w:rPr>
                              <w:b/>
                              <w:sz w:val="10"/>
                            </w:rPr>
                          </w:pPr>
                        </w:p>
                        <w:p w14:paraId="0F4D1151" w14:textId="77777777" w:rsidR="00CE79A2" w:rsidRDefault="00CE79A2">
                          <w:pPr>
                            <w:ind w:firstLine="140"/>
                            <w:rPr>
                              <w:b/>
                              <w:sz w:val="16"/>
                            </w:rPr>
                          </w:pPr>
                        </w:p>
                        <w:p w14:paraId="1A9E0CF8" w14:textId="77777777" w:rsidR="00CE79A2" w:rsidRDefault="00CE79A2">
                          <w:pPr>
                            <w:ind w:firstLine="140"/>
                            <w:rPr>
                              <w:b/>
                              <w:sz w:val="16"/>
                            </w:rPr>
                          </w:pPr>
                        </w:p>
                        <w:p w14:paraId="3C6456F1" w14:textId="77777777" w:rsidR="00CE79A2" w:rsidRDefault="00CE79A2">
                          <w:pPr>
                            <w:ind w:firstLine="140"/>
                            <w:rPr>
                              <w:b/>
                              <w:sz w:val="16"/>
                            </w:rPr>
                          </w:pPr>
                          <w:r>
                            <w:rPr>
                              <w:rFonts w:eastAsia="PMingLiU" w:hint="eastAsia"/>
                              <w:b/>
                              <w:sz w:val="20"/>
                              <w:lang w:eastAsia="zh-TW"/>
                            </w:rPr>
                            <w:t xml:space="preserve"> </w:t>
                          </w:r>
                          <w:r>
                            <w:rPr>
                              <w:rFonts w:hint="eastAsia"/>
                              <w:b/>
                              <w:sz w:val="20"/>
                            </w:rPr>
                            <w:t>I</w:t>
                          </w:r>
                        </w:p>
                        <w:p w14:paraId="70683503" w14:textId="77777777" w:rsidR="00CE79A2" w:rsidRDefault="00CE79A2">
                          <w:pPr>
                            <w:ind w:firstLine="140"/>
                            <w:rPr>
                              <w:b/>
                              <w:sz w:val="10"/>
                            </w:rPr>
                          </w:pPr>
                        </w:p>
                        <w:p w14:paraId="68C6AFA5" w14:textId="77777777" w:rsidR="00CE79A2" w:rsidRDefault="00CE79A2">
                          <w:pPr>
                            <w:ind w:firstLine="140"/>
                            <w:rPr>
                              <w:b/>
                              <w:sz w:val="16"/>
                            </w:rPr>
                          </w:pPr>
                        </w:p>
                        <w:p w14:paraId="294D3B03" w14:textId="77777777" w:rsidR="00CE79A2" w:rsidRDefault="00CE79A2">
                          <w:pPr>
                            <w:ind w:firstLine="140"/>
                            <w:rPr>
                              <w:b/>
                              <w:sz w:val="16"/>
                            </w:rPr>
                          </w:pPr>
                        </w:p>
                        <w:p w14:paraId="12DDB56A" w14:textId="77777777" w:rsidR="00CE79A2" w:rsidRDefault="00CE79A2">
                          <w:pPr>
                            <w:ind w:firstLine="140"/>
                            <w:rPr>
                              <w:b/>
                              <w:sz w:val="16"/>
                            </w:rPr>
                          </w:pPr>
                          <w:r>
                            <w:rPr>
                              <w:rFonts w:eastAsia="PMingLiU" w:hint="eastAsia"/>
                              <w:b/>
                              <w:sz w:val="20"/>
                              <w:lang w:eastAsia="zh-TW"/>
                            </w:rPr>
                            <w:t xml:space="preserve"> </w:t>
                          </w:r>
                          <w:r>
                            <w:rPr>
                              <w:rFonts w:hint="eastAsia"/>
                              <w:b/>
                              <w:sz w:val="20"/>
                            </w:rPr>
                            <w:t>J</w:t>
                          </w:r>
                        </w:p>
                        <w:p w14:paraId="5E855662" w14:textId="77777777" w:rsidR="00CE79A2" w:rsidRDefault="00CE79A2">
                          <w:pPr>
                            <w:ind w:firstLine="140"/>
                            <w:rPr>
                              <w:b/>
                              <w:sz w:val="10"/>
                            </w:rPr>
                          </w:pPr>
                        </w:p>
                        <w:p w14:paraId="3C4FD441" w14:textId="77777777" w:rsidR="00CE79A2" w:rsidRDefault="00CE79A2">
                          <w:pPr>
                            <w:ind w:firstLine="140"/>
                            <w:rPr>
                              <w:b/>
                              <w:sz w:val="16"/>
                            </w:rPr>
                          </w:pPr>
                        </w:p>
                        <w:p w14:paraId="5D8E959B" w14:textId="77777777" w:rsidR="00CE79A2" w:rsidRDefault="00CE79A2">
                          <w:pPr>
                            <w:ind w:firstLine="140"/>
                            <w:rPr>
                              <w:b/>
                              <w:sz w:val="16"/>
                            </w:rPr>
                          </w:pPr>
                        </w:p>
                        <w:p w14:paraId="420E4CE6" w14:textId="77777777" w:rsidR="00CE79A2" w:rsidRDefault="00CE79A2">
                          <w:pPr>
                            <w:ind w:firstLine="140"/>
                            <w:rPr>
                              <w:b/>
                              <w:sz w:val="16"/>
                            </w:rPr>
                          </w:pPr>
                          <w:r>
                            <w:rPr>
                              <w:rFonts w:eastAsia="PMingLiU" w:hint="eastAsia"/>
                              <w:b/>
                              <w:sz w:val="20"/>
                              <w:lang w:eastAsia="zh-TW"/>
                            </w:rPr>
                            <w:t xml:space="preserve"> </w:t>
                          </w:r>
                          <w:r>
                            <w:rPr>
                              <w:rFonts w:hint="eastAsia"/>
                              <w:b/>
                              <w:sz w:val="20"/>
                            </w:rPr>
                            <w:t>K</w:t>
                          </w:r>
                        </w:p>
                        <w:p w14:paraId="39A8FB7B" w14:textId="77777777" w:rsidR="00CE79A2" w:rsidRDefault="00CE79A2">
                          <w:pPr>
                            <w:ind w:firstLine="140"/>
                            <w:rPr>
                              <w:b/>
                              <w:sz w:val="10"/>
                            </w:rPr>
                          </w:pPr>
                        </w:p>
                        <w:p w14:paraId="22C4750D" w14:textId="77777777" w:rsidR="00CE79A2" w:rsidRDefault="00CE79A2">
                          <w:pPr>
                            <w:ind w:firstLine="140"/>
                            <w:rPr>
                              <w:b/>
                              <w:sz w:val="16"/>
                            </w:rPr>
                          </w:pPr>
                        </w:p>
                        <w:p w14:paraId="65CB459E" w14:textId="77777777" w:rsidR="00CE79A2" w:rsidRDefault="00CE79A2">
                          <w:pPr>
                            <w:ind w:firstLine="140"/>
                            <w:rPr>
                              <w:b/>
                              <w:sz w:val="16"/>
                            </w:rPr>
                          </w:pPr>
                        </w:p>
                        <w:p w14:paraId="423AACB1" w14:textId="77777777" w:rsidR="00CE79A2" w:rsidRDefault="00CE79A2">
                          <w:pPr>
                            <w:ind w:firstLine="140"/>
                            <w:rPr>
                              <w:b/>
                              <w:sz w:val="16"/>
                            </w:rPr>
                          </w:pPr>
                          <w:r>
                            <w:rPr>
                              <w:rFonts w:eastAsia="PMingLiU" w:hint="eastAsia"/>
                              <w:b/>
                              <w:sz w:val="20"/>
                              <w:lang w:eastAsia="zh-TW"/>
                            </w:rPr>
                            <w:t xml:space="preserve"> </w:t>
                          </w:r>
                          <w:r>
                            <w:rPr>
                              <w:rFonts w:hint="eastAsia"/>
                              <w:b/>
                              <w:sz w:val="20"/>
                            </w:rPr>
                            <w:t>L</w:t>
                          </w:r>
                        </w:p>
                        <w:p w14:paraId="5FFFEA86" w14:textId="77777777" w:rsidR="00CE79A2" w:rsidRDefault="00CE79A2">
                          <w:pPr>
                            <w:ind w:firstLine="140"/>
                            <w:rPr>
                              <w:b/>
                              <w:sz w:val="10"/>
                            </w:rPr>
                          </w:pPr>
                        </w:p>
                        <w:p w14:paraId="77D509EB" w14:textId="77777777" w:rsidR="00CE79A2" w:rsidRDefault="00CE79A2">
                          <w:pPr>
                            <w:ind w:firstLine="140"/>
                            <w:rPr>
                              <w:b/>
                              <w:sz w:val="16"/>
                            </w:rPr>
                          </w:pPr>
                        </w:p>
                        <w:p w14:paraId="42EA6426" w14:textId="77777777" w:rsidR="00CE79A2" w:rsidRDefault="00CE79A2">
                          <w:pPr>
                            <w:ind w:firstLine="140"/>
                            <w:rPr>
                              <w:b/>
                              <w:sz w:val="16"/>
                            </w:rPr>
                          </w:pPr>
                        </w:p>
                        <w:p w14:paraId="3510CF4F" w14:textId="77777777" w:rsidR="00CE79A2" w:rsidRDefault="00CE79A2">
                          <w:pPr>
                            <w:ind w:firstLine="140"/>
                            <w:rPr>
                              <w:b/>
                              <w:sz w:val="16"/>
                            </w:rPr>
                          </w:pPr>
                          <w:r>
                            <w:rPr>
                              <w:rFonts w:eastAsia="PMingLiU" w:hint="eastAsia"/>
                              <w:b/>
                              <w:sz w:val="20"/>
                              <w:lang w:eastAsia="zh-TW"/>
                            </w:rPr>
                            <w:t xml:space="preserve"> </w:t>
                          </w:r>
                          <w:r>
                            <w:rPr>
                              <w:rFonts w:hint="eastAsia"/>
                              <w:b/>
                              <w:sz w:val="20"/>
                            </w:rPr>
                            <w:t>M</w:t>
                          </w:r>
                        </w:p>
                        <w:p w14:paraId="60EDEACE" w14:textId="77777777" w:rsidR="00CE79A2" w:rsidRDefault="00CE79A2">
                          <w:pPr>
                            <w:ind w:firstLine="140"/>
                            <w:rPr>
                              <w:b/>
                              <w:sz w:val="10"/>
                            </w:rPr>
                          </w:pPr>
                        </w:p>
                        <w:p w14:paraId="2255CA43" w14:textId="77777777" w:rsidR="00CE79A2" w:rsidRDefault="00CE79A2">
                          <w:pPr>
                            <w:ind w:firstLine="140"/>
                            <w:rPr>
                              <w:b/>
                              <w:sz w:val="16"/>
                            </w:rPr>
                          </w:pPr>
                        </w:p>
                        <w:p w14:paraId="503D359E" w14:textId="77777777" w:rsidR="00CE79A2" w:rsidRDefault="00CE79A2">
                          <w:pPr>
                            <w:ind w:firstLine="140"/>
                            <w:rPr>
                              <w:b/>
                              <w:sz w:val="16"/>
                            </w:rPr>
                          </w:pPr>
                        </w:p>
                        <w:p w14:paraId="573EE0F6" w14:textId="77777777" w:rsidR="00CE79A2" w:rsidRDefault="00CE79A2">
                          <w:pPr>
                            <w:ind w:firstLine="140"/>
                            <w:rPr>
                              <w:b/>
                              <w:sz w:val="16"/>
                            </w:rPr>
                          </w:pPr>
                          <w:r>
                            <w:rPr>
                              <w:rFonts w:eastAsia="PMingLiU" w:hint="eastAsia"/>
                              <w:b/>
                              <w:sz w:val="20"/>
                              <w:lang w:eastAsia="zh-TW"/>
                            </w:rPr>
                            <w:t xml:space="preserve"> </w:t>
                          </w:r>
                          <w:r>
                            <w:rPr>
                              <w:rFonts w:hint="eastAsia"/>
                              <w:b/>
                              <w:sz w:val="20"/>
                            </w:rPr>
                            <w:t>N</w:t>
                          </w:r>
                        </w:p>
                        <w:p w14:paraId="22493328" w14:textId="77777777" w:rsidR="00CE79A2" w:rsidRDefault="00CE79A2">
                          <w:pPr>
                            <w:ind w:firstLine="140"/>
                            <w:rPr>
                              <w:b/>
                              <w:sz w:val="10"/>
                            </w:rPr>
                          </w:pPr>
                        </w:p>
                        <w:p w14:paraId="6D3C4DAF" w14:textId="77777777" w:rsidR="00CE79A2" w:rsidRDefault="00CE79A2">
                          <w:pPr>
                            <w:ind w:firstLine="140"/>
                            <w:rPr>
                              <w:b/>
                              <w:sz w:val="16"/>
                            </w:rPr>
                          </w:pPr>
                        </w:p>
                        <w:p w14:paraId="3D7D2FB4" w14:textId="77777777" w:rsidR="00CE79A2" w:rsidRDefault="00CE79A2">
                          <w:pPr>
                            <w:ind w:firstLine="140"/>
                            <w:rPr>
                              <w:b/>
                              <w:sz w:val="16"/>
                            </w:rPr>
                          </w:pPr>
                        </w:p>
                        <w:p w14:paraId="069BF36C" w14:textId="77777777" w:rsidR="00CE79A2" w:rsidRDefault="00CE79A2">
                          <w:pPr>
                            <w:ind w:firstLine="140"/>
                            <w:rPr>
                              <w:b/>
                              <w:sz w:val="16"/>
                            </w:rPr>
                          </w:pPr>
                          <w:r>
                            <w:rPr>
                              <w:rFonts w:eastAsia="PMingLiU" w:hint="eastAsia"/>
                              <w:b/>
                              <w:sz w:val="20"/>
                              <w:lang w:eastAsia="zh-TW"/>
                            </w:rPr>
                            <w:t xml:space="preserve"> </w:t>
                          </w:r>
                          <w:r>
                            <w:rPr>
                              <w:rFonts w:hint="eastAsia"/>
                              <w:b/>
                              <w:sz w:val="20"/>
                            </w:rPr>
                            <w:t>O</w:t>
                          </w:r>
                        </w:p>
                        <w:p w14:paraId="27D62059" w14:textId="77777777" w:rsidR="00CE79A2" w:rsidRDefault="00CE79A2">
                          <w:pPr>
                            <w:ind w:firstLine="140"/>
                            <w:rPr>
                              <w:b/>
                              <w:sz w:val="10"/>
                            </w:rPr>
                          </w:pPr>
                        </w:p>
                        <w:p w14:paraId="5CA3ACF4" w14:textId="77777777" w:rsidR="00CE79A2" w:rsidRDefault="00CE79A2">
                          <w:pPr>
                            <w:ind w:firstLine="140"/>
                            <w:rPr>
                              <w:b/>
                              <w:sz w:val="16"/>
                            </w:rPr>
                          </w:pPr>
                        </w:p>
                        <w:p w14:paraId="0E2EF671" w14:textId="77777777" w:rsidR="00CE79A2" w:rsidRDefault="00CE79A2">
                          <w:pPr>
                            <w:ind w:firstLine="140"/>
                            <w:rPr>
                              <w:b/>
                              <w:sz w:val="16"/>
                            </w:rPr>
                          </w:pPr>
                        </w:p>
                        <w:p w14:paraId="3AB112CF" w14:textId="77777777" w:rsidR="00CE79A2" w:rsidRDefault="00CE79A2">
                          <w:pPr>
                            <w:ind w:firstLine="140"/>
                            <w:rPr>
                              <w:b/>
                              <w:sz w:val="16"/>
                            </w:rPr>
                          </w:pPr>
                          <w:r>
                            <w:rPr>
                              <w:rFonts w:eastAsia="PMingLiU" w:hint="eastAsia"/>
                              <w:b/>
                              <w:sz w:val="20"/>
                              <w:lang w:eastAsia="zh-TW"/>
                            </w:rPr>
                            <w:t xml:space="preserve"> </w:t>
                          </w:r>
                          <w:r>
                            <w:rPr>
                              <w:rFonts w:hint="eastAsia"/>
                              <w:b/>
                              <w:sz w:val="20"/>
                            </w:rPr>
                            <w:t>P</w:t>
                          </w:r>
                        </w:p>
                        <w:p w14:paraId="362B6D29" w14:textId="77777777" w:rsidR="00CE79A2" w:rsidRDefault="00CE79A2">
                          <w:pPr>
                            <w:ind w:firstLine="140"/>
                            <w:rPr>
                              <w:b/>
                              <w:sz w:val="10"/>
                            </w:rPr>
                          </w:pPr>
                        </w:p>
                        <w:p w14:paraId="3B078F31" w14:textId="77777777" w:rsidR="00CE79A2" w:rsidRDefault="00CE79A2">
                          <w:pPr>
                            <w:ind w:firstLine="140"/>
                            <w:rPr>
                              <w:b/>
                              <w:sz w:val="16"/>
                            </w:rPr>
                          </w:pPr>
                        </w:p>
                        <w:p w14:paraId="2C0D27B7" w14:textId="77777777" w:rsidR="00CE79A2" w:rsidRDefault="00CE79A2">
                          <w:pPr>
                            <w:ind w:firstLine="140"/>
                            <w:rPr>
                              <w:b/>
                              <w:sz w:val="16"/>
                            </w:rPr>
                          </w:pPr>
                        </w:p>
                        <w:p w14:paraId="0FB953F3" w14:textId="77777777" w:rsidR="00CE79A2" w:rsidRDefault="00CE79A2">
                          <w:pPr>
                            <w:ind w:firstLine="140"/>
                            <w:rPr>
                              <w:b/>
                              <w:sz w:val="16"/>
                            </w:rPr>
                          </w:pPr>
                          <w:r>
                            <w:rPr>
                              <w:rFonts w:eastAsia="PMingLiU" w:hint="eastAsia"/>
                              <w:b/>
                              <w:sz w:val="20"/>
                              <w:lang w:eastAsia="zh-TW"/>
                            </w:rPr>
                            <w:t xml:space="preserve"> </w:t>
                          </w:r>
                          <w:r>
                            <w:rPr>
                              <w:rFonts w:hint="eastAsia"/>
                              <w:b/>
                              <w:sz w:val="20"/>
                            </w:rPr>
                            <w:t>Q</w:t>
                          </w:r>
                        </w:p>
                        <w:p w14:paraId="53D65B28" w14:textId="77777777" w:rsidR="00CE79A2" w:rsidRDefault="00CE79A2">
                          <w:pPr>
                            <w:ind w:firstLine="140"/>
                            <w:rPr>
                              <w:b/>
                              <w:sz w:val="10"/>
                            </w:rPr>
                          </w:pPr>
                        </w:p>
                        <w:p w14:paraId="6173EB1D" w14:textId="77777777" w:rsidR="00CE79A2" w:rsidRDefault="00CE79A2">
                          <w:pPr>
                            <w:ind w:firstLine="140"/>
                            <w:rPr>
                              <w:b/>
                              <w:sz w:val="16"/>
                            </w:rPr>
                          </w:pPr>
                        </w:p>
                        <w:p w14:paraId="370FB2B8" w14:textId="77777777" w:rsidR="00CE79A2" w:rsidRDefault="00CE79A2">
                          <w:pPr>
                            <w:ind w:firstLine="140"/>
                            <w:rPr>
                              <w:b/>
                              <w:sz w:val="16"/>
                            </w:rPr>
                          </w:pPr>
                        </w:p>
                        <w:p w14:paraId="704807FF" w14:textId="77777777" w:rsidR="00CE79A2" w:rsidRDefault="00CE79A2">
                          <w:pPr>
                            <w:ind w:firstLine="140"/>
                            <w:rPr>
                              <w:b/>
                              <w:sz w:val="16"/>
                            </w:rPr>
                          </w:pPr>
                          <w:r>
                            <w:rPr>
                              <w:rFonts w:eastAsia="PMingLiU" w:hint="eastAsia"/>
                              <w:b/>
                              <w:sz w:val="20"/>
                              <w:lang w:eastAsia="zh-TW"/>
                            </w:rPr>
                            <w:t xml:space="preserve"> </w:t>
                          </w:r>
                          <w:r>
                            <w:rPr>
                              <w:rFonts w:hint="eastAsia"/>
                              <w:b/>
                              <w:sz w:val="20"/>
                            </w:rPr>
                            <w:t>R</w:t>
                          </w:r>
                        </w:p>
                        <w:p w14:paraId="1667A299" w14:textId="77777777" w:rsidR="00CE79A2" w:rsidRDefault="00CE79A2">
                          <w:pPr>
                            <w:ind w:firstLine="140"/>
                            <w:rPr>
                              <w:b/>
                              <w:sz w:val="10"/>
                            </w:rPr>
                          </w:pPr>
                        </w:p>
                        <w:p w14:paraId="20D57CDC" w14:textId="77777777" w:rsidR="00CE79A2" w:rsidRDefault="00CE79A2">
                          <w:pPr>
                            <w:ind w:firstLine="140"/>
                            <w:rPr>
                              <w:b/>
                              <w:sz w:val="16"/>
                            </w:rPr>
                          </w:pPr>
                        </w:p>
                        <w:p w14:paraId="3923BD05" w14:textId="77777777" w:rsidR="00CE79A2" w:rsidRDefault="00CE79A2">
                          <w:pPr>
                            <w:ind w:firstLine="140"/>
                            <w:rPr>
                              <w:b/>
                              <w:sz w:val="16"/>
                            </w:rPr>
                          </w:pPr>
                        </w:p>
                        <w:p w14:paraId="2B172C07" w14:textId="77777777" w:rsidR="00CE79A2" w:rsidRDefault="00CE79A2">
                          <w:pPr>
                            <w:ind w:firstLine="140"/>
                            <w:rPr>
                              <w:b/>
                              <w:sz w:val="16"/>
                            </w:rPr>
                          </w:pPr>
                          <w:r>
                            <w:rPr>
                              <w:rFonts w:eastAsia="PMingLiU" w:hint="eastAsia"/>
                              <w:b/>
                              <w:sz w:val="20"/>
                              <w:lang w:eastAsia="zh-TW"/>
                            </w:rPr>
                            <w:t xml:space="preserve"> </w:t>
                          </w:r>
                          <w:r>
                            <w:rPr>
                              <w:rFonts w:hint="eastAsia"/>
                              <w:b/>
                              <w:sz w:val="20"/>
                            </w:rPr>
                            <w:t>S</w:t>
                          </w:r>
                        </w:p>
                        <w:p w14:paraId="3300DFC3" w14:textId="77777777" w:rsidR="00CE79A2" w:rsidRDefault="00CE79A2">
                          <w:pPr>
                            <w:ind w:firstLine="140"/>
                            <w:rPr>
                              <w:b/>
                              <w:sz w:val="10"/>
                            </w:rPr>
                          </w:pPr>
                        </w:p>
                        <w:p w14:paraId="4394FFCD" w14:textId="77777777" w:rsidR="00CE79A2" w:rsidRDefault="00CE79A2">
                          <w:pPr>
                            <w:ind w:firstLine="140"/>
                            <w:rPr>
                              <w:b/>
                              <w:sz w:val="16"/>
                            </w:rPr>
                          </w:pPr>
                        </w:p>
                        <w:p w14:paraId="46262BA5" w14:textId="77777777" w:rsidR="00CE79A2" w:rsidRDefault="00CE79A2">
                          <w:pPr>
                            <w:ind w:firstLine="140"/>
                            <w:rPr>
                              <w:b/>
                              <w:sz w:val="16"/>
                            </w:rPr>
                          </w:pPr>
                        </w:p>
                        <w:p w14:paraId="4165406B" w14:textId="77777777" w:rsidR="00CE79A2" w:rsidRDefault="00CE79A2">
                          <w:pPr>
                            <w:ind w:firstLine="140"/>
                            <w:rPr>
                              <w:b/>
                              <w:sz w:val="16"/>
                            </w:rPr>
                          </w:pPr>
                          <w:r>
                            <w:rPr>
                              <w:rFonts w:eastAsia="PMingLiU" w:hint="eastAsia"/>
                              <w:b/>
                              <w:sz w:val="20"/>
                              <w:lang w:eastAsia="zh-TW"/>
                            </w:rPr>
                            <w:t xml:space="preserve"> </w:t>
                          </w:r>
                          <w:r>
                            <w:rPr>
                              <w:rFonts w:hint="eastAsia"/>
                              <w:b/>
                              <w:sz w:val="20"/>
                            </w:rPr>
                            <w:t>T</w:t>
                          </w:r>
                        </w:p>
                        <w:p w14:paraId="64651CCA" w14:textId="77777777" w:rsidR="00CE79A2" w:rsidRDefault="00CE79A2">
                          <w:pPr>
                            <w:ind w:firstLine="140"/>
                            <w:rPr>
                              <w:b/>
                              <w:sz w:val="10"/>
                            </w:rPr>
                          </w:pPr>
                        </w:p>
                        <w:p w14:paraId="160E5C02" w14:textId="77777777" w:rsidR="00CE79A2" w:rsidRDefault="00CE79A2">
                          <w:pPr>
                            <w:ind w:firstLine="140"/>
                            <w:rPr>
                              <w:b/>
                              <w:sz w:val="16"/>
                            </w:rPr>
                          </w:pPr>
                        </w:p>
                        <w:p w14:paraId="3FEC7E69" w14:textId="77777777" w:rsidR="00CE79A2" w:rsidRDefault="00CE79A2">
                          <w:pPr>
                            <w:ind w:firstLine="140"/>
                            <w:rPr>
                              <w:b/>
                              <w:sz w:val="16"/>
                            </w:rPr>
                          </w:pPr>
                        </w:p>
                        <w:p w14:paraId="6EBA5922" w14:textId="77777777" w:rsidR="00CE79A2" w:rsidRDefault="00CE79A2">
                          <w:pPr>
                            <w:ind w:firstLine="140"/>
                            <w:rPr>
                              <w:b/>
                              <w:sz w:val="16"/>
                            </w:rPr>
                          </w:pPr>
                          <w:r>
                            <w:rPr>
                              <w:rFonts w:eastAsia="PMingLiU" w:hint="eastAsia"/>
                              <w:b/>
                              <w:sz w:val="20"/>
                              <w:lang w:eastAsia="zh-TW"/>
                            </w:rPr>
                            <w:t xml:space="preserve"> </w:t>
                          </w:r>
                          <w:r>
                            <w:rPr>
                              <w:rFonts w:hint="eastAsia"/>
                              <w:b/>
                              <w:sz w:val="20"/>
                            </w:rPr>
                            <w:t>U</w:t>
                          </w:r>
                        </w:p>
                        <w:p w14:paraId="7DFA6921" w14:textId="77777777" w:rsidR="00CE79A2" w:rsidRDefault="00CE79A2">
                          <w:pPr>
                            <w:ind w:firstLine="140"/>
                            <w:rPr>
                              <w:b/>
                              <w:sz w:val="10"/>
                            </w:rPr>
                          </w:pPr>
                        </w:p>
                        <w:p w14:paraId="0AA019E4" w14:textId="77777777" w:rsidR="00CE79A2" w:rsidRDefault="00CE79A2">
                          <w:pPr>
                            <w:ind w:firstLine="140"/>
                            <w:rPr>
                              <w:b/>
                              <w:sz w:val="16"/>
                            </w:rPr>
                          </w:pPr>
                        </w:p>
                        <w:p w14:paraId="3B0DFFE4" w14:textId="77777777" w:rsidR="00CE79A2" w:rsidRDefault="00CE79A2">
                          <w:pPr>
                            <w:ind w:firstLine="140"/>
                            <w:rPr>
                              <w:b/>
                              <w:sz w:val="16"/>
                            </w:rPr>
                          </w:pPr>
                        </w:p>
                        <w:p w14:paraId="231EB348" w14:textId="77777777" w:rsidR="00CE79A2" w:rsidRDefault="00CE79A2">
                          <w:pPr>
                            <w:pStyle w:val="Heading3"/>
                            <w:ind w:firstLine="140"/>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27DBF9" id="Text Box 1" o:spid="_x0000_s1029" type="#_x0000_t202" style="position:absolute;left:0;text-align:left;margin-left:-81.2pt;margin-top:-31.9pt;width:42pt;height:8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" stroked="f">
              <v:textbox>
                <w:txbxContent>
                  <w:p w14:paraId="56887F11" w14:textId="77777777" w:rsidR="005C2771" w:rsidRDefault="005C2771">
                    <w:pPr>
                      <w:rPr>
                        <w:rFonts w:eastAsia="PMingLiU"/>
                        <w:b/>
                        <w:sz w:val="18"/>
                        <w:lang w:eastAsia="zh-TW"/>
                      </w:rPr>
                    </w:pPr>
                    <w:r>
                      <w:rPr>
                        <w:rFonts w:eastAsia="PMingLiU" w:hint="eastAsia"/>
                        <w:b/>
                        <w:sz w:val="18"/>
                        <w:lang w:eastAsia="zh-TW"/>
                      </w:rPr>
                      <w:t xml:space="preserve">  </w:t>
                    </w:r>
                  </w:p>
                  <w:p w14:paraId="4D7F9108" w14:textId="77777777" w:rsidR="005C2771" w:rsidRDefault="005C2771">
                    <w:pPr>
                      <w:rPr>
                        <w:rFonts w:eastAsia="PMingLiU"/>
                        <w:b/>
                        <w:sz w:val="18"/>
                        <w:lang w:eastAsia="zh-TW"/>
                      </w:rPr>
                    </w:pPr>
                  </w:p>
                  <w:p w14:paraId="31EBC24A" w14:textId="77777777" w:rsidR="005C2771" w:rsidRDefault="005C2771">
                    <w:pPr>
                      <w:rPr>
                        <w:rFonts w:eastAsia="PMingLiU"/>
                        <w:b/>
                        <w:sz w:val="20"/>
                        <w:lang w:eastAsia="zh-TW"/>
                      </w:rPr>
                    </w:pPr>
                  </w:p>
                  <w:p w14:paraId="3C895751" w14:textId="77777777" w:rsidR="005C2771" w:rsidRDefault="005C2771">
                    <w:pPr>
                      <w:ind w:firstLine="140"/>
                      <w:rPr>
                        <w:b/>
                        <w:sz w:val="20"/>
                      </w:rPr>
                    </w:pPr>
                    <w:r>
                      <w:rPr>
                        <w:rFonts w:eastAsia="PMingLiU" w:hint="eastAsia"/>
                        <w:b/>
                        <w:sz w:val="20"/>
                        <w:lang w:eastAsia="zh-TW"/>
                      </w:rPr>
                      <w:t xml:space="preserve"> </w:t>
                    </w:r>
                    <w:r>
                      <w:rPr>
                        <w:rFonts w:hint="eastAsia"/>
                        <w:b/>
                        <w:sz w:val="20"/>
                      </w:rPr>
                      <w:t>A</w:t>
                    </w:r>
                  </w:p>
                  <w:p w14:paraId="7BE78E5F" w14:textId="77777777" w:rsidR="005C2771" w:rsidRDefault="005C2771">
                    <w:pPr>
                      <w:tabs>
                        <w:tab w:val="clear" w:pos="4320"/>
                        <w:tab w:val="clear" w:pos="9072"/>
                      </w:tabs>
                      <w:ind w:firstLine="140"/>
                      <w:rPr>
                        <w:b/>
                        <w:sz w:val="10"/>
                      </w:rPr>
                    </w:pPr>
                  </w:p>
                  <w:p w14:paraId="7D4DCB71" w14:textId="77777777" w:rsidR="005C2771" w:rsidRDefault="005C2771">
                    <w:pPr>
                      <w:ind w:firstLine="140"/>
                      <w:rPr>
                        <w:b/>
                        <w:sz w:val="16"/>
                      </w:rPr>
                    </w:pPr>
                  </w:p>
                  <w:p w14:paraId="2C82B4D9" w14:textId="77777777" w:rsidR="005C2771" w:rsidRDefault="005C2771">
                    <w:pPr>
                      <w:ind w:firstLine="140"/>
                      <w:rPr>
                        <w:rFonts w:eastAsia="PMingLiU"/>
                        <w:b/>
                        <w:sz w:val="16"/>
                        <w:lang w:eastAsia="zh-TW"/>
                      </w:rPr>
                    </w:pPr>
                    <w:r>
                      <w:rPr>
                        <w:rFonts w:eastAsia="PMingLiU" w:hint="eastAsia"/>
                        <w:b/>
                        <w:sz w:val="16"/>
                        <w:lang w:eastAsia="zh-TW"/>
                      </w:rPr>
                      <w:t xml:space="preserve"> </w:t>
                    </w:r>
                  </w:p>
                  <w:p w14:paraId="2D60B9FB" w14:textId="77777777" w:rsidR="005C2771" w:rsidRDefault="005C2771">
                    <w:pPr>
                      <w:ind w:firstLine="140"/>
                      <w:rPr>
                        <w:b/>
                        <w:sz w:val="20"/>
                      </w:rPr>
                    </w:pPr>
                    <w:r>
                      <w:rPr>
                        <w:rFonts w:eastAsia="PMingLiU" w:hint="eastAsia"/>
                        <w:b/>
                        <w:sz w:val="20"/>
                        <w:lang w:eastAsia="zh-TW"/>
                      </w:rPr>
                      <w:t xml:space="preserve"> </w:t>
                    </w:r>
                    <w:r>
                      <w:rPr>
                        <w:rFonts w:hint="eastAsia"/>
                        <w:b/>
                        <w:sz w:val="20"/>
                      </w:rPr>
                      <w:t>B</w:t>
                    </w:r>
                  </w:p>
                  <w:p w14:paraId="72CBA128" w14:textId="77777777" w:rsidR="005C2771" w:rsidRDefault="005C2771">
                    <w:pPr>
                      <w:ind w:firstLine="140"/>
                      <w:rPr>
                        <w:b/>
                        <w:sz w:val="10"/>
                      </w:rPr>
                    </w:pPr>
                  </w:p>
                  <w:p w14:paraId="08F2669C" w14:textId="77777777" w:rsidR="005C2771" w:rsidRDefault="005C2771">
                    <w:pPr>
                      <w:ind w:firstLine="140"/>
                      <w:rPr>
                        <w:b/>
                        <w:sz w:val="16"/>
                      </w:rPr>
                    </w:pPr>
                  </w:p>
                  <w:p w14:paraId="56571183" w14:textId="77777777" w:rsidR="005C2771" w:rsidRDefault="005C2771">
                    <w:pPr>
                      <w:ind w:firstLine="140"/>
                      <w:rPr>
                        <w:b/>
                        <w:sz w:val="16"/>
                      </w:rPr>
                    </w:pPr>
                  </w:p>
                  <w:p w14:paraId="6547BA2F" w14:textId="77777777" w:rsidR="005C2771" w:rsidRDefault="005C2771">
                    <w:pPr>
                      <w:ind w:firstLine="140"/>
                      <w:rPr>
                        <w:b/>
                        <w:sz w:val="16"/>
                      </w:rPr>
                    </w:pPr>
                    <w:r>
                      <w:rPr>
                        <w:rFonts w:eastAsia="PMingLiU" w:hint="eastAsia"/>
                        <w:b/>
                        <w:sz w:val="20"/>
                        <w:lang w:eastAsia="zh-TW"/>
                      </w:rPr>
                      <w:t xml:space="preserve"> </w:t>
                    </w:r>
                    <w:r>
                      <w:rPr>
                        <w:rFonts w:hint="eastAsia"/>
                        <w:b/>
                        <w:sz w:val="20"/>
                      </w:rPr>
                      <w:t>C</w:t>
                    </w:r>
                  </w:p>
                  <w:p w14:paraId="0BBE96FC" w14:textId="77777777" w:rsidR="005C2771" w:rsidRDefault="005C2771">
                    <w:pPr>
                      <w:ind w:firstLine="140"/>
                      <w:rPr>
                        <w:b/>
                        <w:sz w:val="10"/>
                      </w:rPr>
                    </w:pPr>
                  </w:p>
                  <w:p w14:paraId="29B30954" w14:textId="77777777" w:rsidR="005C2771" w:rsidRDefault="005C2771">
                    <w:pPr>
                      <w:ind w:firstLine="140"/>
                      <w:rPr>
                        <w:b/>
                        <w:sz w:val="16"/>
                      </w:rPr>
                    </w:pPr>
                  </w:p>
                  <w:p w14:paraId="5479B5CE" w14:textId="77777777" w:rsidR="005C2771" w:rsidRDefault="005C2771">
                    <w:pPr>
                      <w:ind w:firstLine="140"/>
                      <w:rPr>
                        <w:b/>
                        <w:sz w:val="16"/>
                      </w:rPr>
                    </w:pPr>
                  </w:p>
                  <w:p w14:paraId="5C4074F4" w14:textId="77777777" w:rsidR="005C2771" w:rsidRDefault="005C2771">
                    <w:pPr>
                      <w:pStyle w:val="Heading2"/>
                      <w:ind w:firstLine="140"/>
                      <w:rPr>
                        <w:sz w:val="16"/>
                      </w:rPr>
                    </w:pPr>
                    <w:r>
                      <w:rPr>
                        <w:rFonts w:eastAsia="PMingLiU" w:hint="eastAsia"/>
                        <w:lang w:eastAsia="zh-TW"/>
                      </w:rPr>
                      <w:t xml:space="preserve"> </w:t>
                    </w:r>
                    <w:r>
                      <w:rPr>
                        <w:rFonts w:hint="eastAsia"/>
                      </w:rPr>
                      <w:t>D</w:t>
                    </w:r>
                  </w:p>
                  <w:p w14:paraId="2FD39BAB" w14:textId="77777777" w:rsidR="005C2771" w:rsidRDefault="005C2771">
                    <w:pPr>
                      <w:ind w:firstLine="140"/>
                      <w:rPr>
                        <w:b/>
                        <w:sz w:val="10"/>
                      </w:rPr>
                    </w:pPr>
                  </w:p>
                  <w:p w14:paraId="6407BF98" w14:textId="77777777" w:rsidR="005C2771" w:rsidRDefault="005C2771">
                    <w:pPr>
                      <w:ind w:firstLine="140"/>
                      <w:rPr>
                        <w:b/>
                        <w:sz w:val="16"/>
                      </w:rPr>
                    </w:pPr>
                  </w:p>
                  <w:p w14:paraId="184E0735" w14:textId="77777777" w:rsidR="005C2771" w:rsidRDefault="005C2771">
                    <w:pPr>
                      <w:ind w:firstLine="140"/>
                      <w:rPr>
                        <w:b/>
                        <w:sz w:val="16"/>
                      </w:rPr>
                    </w:pPr>
                  </w:p>
                  <w:p w14:paraId="04773FB1" w14:textId="77777777" w:rsidR="005C2771" w:rsidRDefault="005C2771">
                    <w:pPr>
                      <w:ind w:firstLine="140"/>
                      <w:rPr>
                        <w:b/>
                        <w:sz w:val="16"/>
                      </w:rPr>
                    </w:pPr>
                    <w:r>
                      <w:rPr>
                        <w:rFonts w:eastAsia="PMingLiU" w:hint="eastAsia"/>
                        <w:b/>
                        <w:sz w:val="20"/>
                        <w:lang w:eastAsia="zh-TW"/>
                      </w:rPr>
                      <w:t xml:space="preserve"> </w:t>
                    </w:r>
                    <w:r>
                      <w:rPr>
                        <w:rFonts w:hint="eastAsia"/>
                        <w:b/>
                        <w:sz w:val="20"/>
                      </w:rPr>
                      <w:t>E</w:t>
                    </w:r>
                  </w:p>
                  <w:p w14:paraId="6DD32F0E" w14:textId="77777777" w:rsidR="005C2771" w:rsidRDefault="005C2771">
                    <w:pPr>
                      <w:ind w:firstLine="140"/>
                      <w:rPr>
                        <w:b/>
                        <w:sz w:val="10"/>
                      </w:rPr>
                    </w:pPr>
                  </w:p>
                  <w:p w14:paraId="59C13068" w14:textId="77777777" w:rsidR="005C2771" w:rsidRDefault="005C2771">
                    <w:pPr>
                      <w:ind w:firstLine="140"/>
                      <w:rPr>
                        <w:b/>
                        <w:sz w:val="16"/>
                      </w:rPr>
                    </w:pPr>
                  </w:p>
                  <w:p w14:paraId="636AFD97" w14:textId="77777777" w:rsidR="005C2771" w:rsidRDefault="005C2771">
                    <w:pPr>
                      <w:ind w:firstLine="140"/>
                      <w:rPr>
                        <w:b/>
                        <w:sz w:val="16"/>
                      </w:rPr>
                    </w:pPr>
                  </w:p>
                  <w:p w14:paraId="1A8F74B5" w14:textId="77777777" w:rsidR="005C2771" w:rsidRDefault="005C2771">
                    <w:pPr>
                      <w:ind w:firstLine="140"/>
                      <w:rPr>
                        <w:b/>
                        <w:sz w:val="20"/>
                      </w:rPr>
                    </w:pPr>
                    <w:r>
                      <w:rPr>
                        <w:rFonts w:eastAsia="PMingLiU" w:hint="eastAsia"/>
                        <w:b/>
                        <w:sz w:val="20"/>
                        <w:lang w:eastAsia="zh-TW"/>
                      </w:rPr>
                      <w:t xml:space="preserve"> </w:t>
                    </w:r>
                    <w:r>
                      <w:rPr>
                        <w:rFonts w:hint="eastAsia"/>
                        <w:b/>
                        <w:sz w:val="20"/>
                      </w:rPr>
                      <w:t>F</w:t>
                    </w:r>
                  </w:p>
                  <w:p w14:paraId="0C7CF7FB" w14:textId="77777777" w:rsidR="005C2771" w:rsidRDefault="005C2771">
                    <w:pPr>
                      <w:ind w:firstLine="140"/>
                      <w:rPr>
                        <w:b/>
                        <w:sz w:val="10"/>
                      </w:rPr>
                    </w:pPr>
                  </w:p>
                  <w:p w14:paraId="314222D0" w14:textId="77777777" w:rsidR="005C2771" w:rsidRDefault="005C2771">
                    <w:pPr>
                      <w:ind w:firstLine="140"/>
                      <w:rPr>
                        <w:b/>
                        <w:sz w:val="16"/>
                      </w:rPr>
                    </w:pPr>
                  </w:p>
                  <w:p w14:paraId="513E5C1B" w14:textId="77777777" w:rsidR="005C2771" w:rsidRDefault="005C2771">
                    <w:pPr>
                      <w:ind w:firstLine="140"/>
                      <w:rPr>
                        <w:b/>
                        <w:sz w:val="16"/>
                      </w:rPr>
                    </w:pPr>
                  </w:p>
                  <w:p w14:paraId="606049C7" w14:textId="77777777" w:rsidR="005C2771" w:rsidRDefault="005C2771">
                    <w:pPr>
                      <w:ind w:firstLine="140"/>
                      <w:rPr>
                        <w:b/>
                        <w:sz w:val="16"/>
                      </w:rPr>
                    </w:pPr>
                    <w:r>
                      <w:rPr>
                        <w:rFonts w:eastAsia="PMingLiU" w:hint="eastAsia"/>
                        <w:b/>
                        <w:sz w:val="20"/>
                        <w:lang w:eastAsia="zh-TW"/>
                      </w:rPr>
                      <w:t xml:space="preserve"> </w:t>
                    </w:r>
                    <w:r>
                      <w:rPr>
                        <w:rFonts w:hint="eastAsia"/>
                        <w:b/>
                        <w:sz w:val="20"/>
                      </w:rPr>
                      <w:t>G</w:t>
                    </w:r>
                  </w:p>
                  <w:p w14:paraId="68FB4C8E" w14:textId="77777777" w:rsidR="005C2771" w:rsidRDefault="005C2771">
                    <w:pPr>
                      <w:ind w:firstLine="140"/>
                      <w:rPr>
                        <w:b/>
                        <w:sz w:val="10"/>
                      </w:rPr>
                    </w:pPr>
                  </w:p>
                  <w:p w14:paraId="0BB4C7B2" w14:textId="77777777" w:rsidR="005C2771" w:rsidRDefault="005C2771">
                    <w:pPr>
                      <w:ind w:firstLine="140"/>
                      <w:rPr>
                        <w:b/>
                        <w:sz w:val="16"/>
                      </w:rPr>
                    </w:pPr>
                  </w:p>
                  <w:p w14:paraId="315D9E8E" w14:textId="77777777" w:rsidR="005C2771" w:rsidRDefault="005C2771">
                    <w:pPr>
                      <w:ind w:firstLine="140"/>
                      <w:rPr>
                        <w:b/>
                        <w:sz w:val="16"/>
                      </w:rPr>
                    </w:pPr>
                  </w:p>
                  <w:p w14:paraId="6F986B79" w14:textId="77777777" w:rsidR="005C2771" w:rsidRDefault="005C2771">
                    <w:pPr>
                      <w:ind w:firstLine="140"/>
                      <w:rPr>
                        <w:b/>
                        <w:sz w:val="16"/>
                      </w:rPr>
                    </w:pPr>
                    <w:r>
                      <w:rPr>
                        <w:rFonts w:eastAsia="PMingLiU" w:hint="eastAsia"/>
                        <w:b/>
                        <w:sz w:val="20"/>
                        <w:lang w:eastAsia="zh-TW"/>
                      </w:rPr>
                      <w:t xml:space="preserve"> </w:t>
                    </w:r>
                    <w:r>
                      <w:rPr>
                        <w:rFonts w:hint="eastAsia"/>
                        <w:b/>
                        <w:sz w:val="20"/>
                      </w:rPr>
                      <w:t>H</w:t>
                    </w:r>
                  </w:p>
                  <w:p w14:paraId="45600282" w14:textId="77777777" w:rsidR="005C2771" w:rsidRDefault="005C2771">
                    <w:pPr>
                      <w:ind w:firstLine="140"/>
                      <w:rPr>
                        <w:b/>
                        <w:sz w:val="10"/>
                      </w:rPr>
                    </w:pPr>
                  </w:p>
                  <w:p w14:paraId="0F4D1151" w14:textId="77777777" w:rsidR="005C2771" w:rsidRDefault="005C2771">
                    <w:pPr>
                      <w:ind w:firstLine="140"/>
                      <w:rPr>
                        <w:b/>
                        <w:sz w:val="16"/>
                      </w:rPr>
                    </w:pPr>
                  </w:p>
                  <w:p w14:paraId="1A9E0CF8" w14:textId="77777777" w:rsidR="005C2771" w:rsidRDefault="005C2771">
                    <w:pPr>
                      <w:ind w:firstLine="140"/>
                      <w:rPr>
                        <w:b/>
                        <w:sz w:val="16"/>
                      </w:rPr>
                    </w:pPr>
                  </w:p>
                  <w:p w14:paraId="3C6456F1" w14:textId="77777777" w:rsidR="005C2771" w:rsidRDefault="005C2771">
                    <w:pPr>
                      <w:ind w:firstLine="140"/>
                      <w:rPr>
                        <w:b/>
                        <w:sz w:val="16"/>
                      </w:rPr>
                    </w:pPr>
                    <w:r>
                      <w:rPr>
                        <w:rFonts w:eastAsia="PMingLiU" w:hint="eastAsia"/>
                        <w:b/>
                        <w:sz w:val="20"/>
                        <w:lang w:eastAsia="zh-TW"/>
                      </w:rPr>
                      <w:t xml:space="preserve"> </w:t>
                    </w:r>
                    <w:r>
                      <w:rPr>
                        <w:rFonts w:hint="eastAsia"/>
                        <w:b/>
                        <w:sz w:val="20"/>
                      </w:rPr>
                      <w:t>I</w:t>
                    </w:r>
                  </w:p>
                  <w:p w14:paraId="70683503" w14:textId="77777777" w:rsidR="005C2771" w:rsidRDefault="005C2771">
                    <w:pPr>
                      <w:ind w:firstLine="140"/>
                      <w:rPr>
                        <w:b/>
                        <w:sz w:val="10"/>
                      </w:rPr>
                    </w:pPr>
                  </w:p>
                  <w:p w14:paraId="68C6AFA5" w14:textId="77777777" w:rsidR="005C2771" w:rsidRDefault="005C2771">
                    <w:pPr>
                      <w:ind w:firstLine="140"/>
                      <w:rPr>
                        <w:b/>
                        <w:sz w:val="16"/>
                      </w:rPr>
                    </w:pPr>
                  </w:p>
                  <w:p w14:paraId="294D3B03" w14:textId="77777777" w:rsidR="005C2771" w:rsidRDefault="005C2771">
                    <w:pPr>
                      <w:ind w:firstLine="140"/>
                      <w:rPr>
                        <w:b/>
                        <w:sz w:val="16"/>
                      </w:rPr>
                    </w:pPr>
                  </w:p>
                  <w:p w14:paraId="12DDB56A" w14:textId="77777777" w:rsidR="005C2771" w:rsidRDefault="005C2771">
                    <w:pPr>
                      <w:ind w:firstLine="140"/>
                      <w:rPr>
                        <w:b/>
                        <w:sz w:val="16"/>
                      </w:rPr>
                    </w:pPr>
                    <w:r>
                      <w:rPr>
                        <w:rFonts w:eastAsia="PMingLiU" w:hint="eastAsia"/>
                        <w:b/>
                        <w:sz w:val="20"/>
                        <w:lang w:eastAsia="zh-TW"/>
                      </w:rPr>
                      <w:t xml:space="preserve"> </w:t>
                    </w:r>
                    <w:r>
                      <w:rPr>
                        <w:rFonts w:hint="eastAsia"/>
                        <w:b/>
                        <w:sz w:val="20"/>
                      </w:rPr>
                      <w:t>J</w:t>
                    </w:r>
                  </w:p>
                  <w:p w14:paraId="5E855662" w14:textId="77777777" w:rsidR="005C2771" w:rsidRDefault="005C2771">
                    <w:pPr>
                      <w:ind w:firstLine="140"/>
                      <w:rPr>
                        <w:b/>
                        <w:sz w:val="10"/>
                      </w:rPr>
                    </w:pPr>
                  </w:p>
                  <w:p w14:paraId="3C4FD441" w14:textId="77777777" w:rsidR="005C2771" w:rsidRDefault="005C2771">
                    <w:pPr>
                      <w:ind w:firstLine="140"/>
                      <w:rPr>
                        <w:b/>
                        <w:sz w:val="16"/>
                      </w:rPr>
                    </w:pPr>
                  </w:p>
                  <w:p w14:paraId="5D8E959B" w14:textId="77777777" w:rsidR="005C2771" w:rsidRDefault="005C2771">
                    <w:pPr>
                      <w:ind w:firstLine="140"/>
                      <w:rPr>
                        <w:b/>
                        <w:sz w:val="16"/>
                      </w:rPr>
                    </w:pPr>
                  </w:p>
                  <w:p w14:paraId="420E4CE6" w14:textId="77777777" w:rsidR="005C2771" w:rsidRDefault="005C2771">
                    <w:pPr>
                      <w:ind w:firstLine="140"/>
                      <w:rPr>
                        <w:b/>
                        <w:sz w:val="16"/>
                      </w:rPr>
                    </w:pPr>
                    <w:r>
                      <w:rPr>
                        <w:rFonts w:eastAsia="PMingLiU" w:hint="eastAsia"/>
                        <w:b/>
                        <w:sz w:val="20"/>
                        <w:lang w:eastAsia="zh-TW"/>
                      </w:rPr>
                      <w:t xml:space="preserve"> </w:t>
                    </w:r>
                    <w:r>
                      <w:rPr>
                        <w:rFonts w:hint="eastAsia"/>
                        <w:b/>
                        <w:sz w:val="20"/>
                      </w:rPr>
                      <w:t>K</w:t>
                    </w:r>
                  </w:p>
                  <w:p w14:paraId="39A8FB7B" w14:textId="77777777" w:rsidR="005C2771" w:rsidRDefault="005C2771">
                    <w:pPr>
                      <w:ind w:firstLine="140"/>
                      <w:rPr>
                        <w:b/>
                        <w:sz w:val="10"/>
                      </w:rPr>
                    </w:pPr>
                  </w:p>
                  <w:p w14:paraId="22C4750D" w14:textId="77777777" w:rsidR="005C2771" w:rsidRDefault="005C2771">
                    <w:pPr>
                      <w:ind w:firstLine="140"/>
                      <w:rPr>
                        <w:b/>
                        <w:sz w:val="16"/>
                      </w:rPr>
                    </w:pPr>
                  </w:p>
                  <w:p w14:paraId="65CB459E" w14:textId="77777777" w:rsidR="005C2771" w:rsidRDefault="005C2771">
                    <w:pPr>
                      <w:ind w:firstLine="140"/>
                      <w:rPr>
                        <w:b/>
                        <w:sz w:val="16"/>
                      </w:rPr>
                    </w:pPr>
                  </w:p>
                  <w:p w14:paraId="423AACB1" w14:textId="77777777" w:rsidR="005C2771" w:rsidRDefault="005C2771">
                    <w:pPr>
                      <w:ind w:firstLine="140"/>
                      <w:rPr>
                        <w:b/>
                        <w:sz w:val="16"/>
                      </w:rPr>
                    </w:pPr>
                    <w:r>
                      <w:rPr>
                        <w:rFonts w:eastAsia="PMingLiU" w:hint="eastAsia"/>
                        <w:b/>
                        <w:sz w:val="20"/>
                        <w:lang w:eastAsia="zh-TW"/>
                      </w:rPr>
                      <w:t xml:space="preserve"> </w:t>
                    </w:r>
                    <w:r>
                      <w:rPr>
                        <w:rFonts w:hint="eastAsia"/>
                        <w:b/>
                        <w:sz w:val="20"/>
                      </w:rPr>
                      <w:t>L</w:t>
                    </w:r>
                  </w:p>
                  <w:p w14:paraId="5FFFEA86" w14:textId="77777777" w:rsidR="005C2771" w:rsidRDefault="005C2771">
                    <w:pPr>
                      <w:ind w:firstLine="140"/>
                      <w:rPr>
                        <w:b/>
                        <w:sz w:val="10"/>
                      </w:rPr>
                    </w:pPr>
                  </w:p>
                  <w:p w14:paraId="77D509EB" w14:textId="77777777" w:rsidR="005C2771" w:rsidRDefault="005C2771">
                    <w:pPr>
                      <w:ind w:firstLine="140"/>
                      <w:rPr>
                        <w:b/>
                        <w:sz w:val="16"/>
                      </w:rPr>
                    </w:pPr>
                  </w:p>
                  <w:p w14:paraId="42EA6426" w14:textId="77777777" w:rsidR="005C2771" w:rsidRDefault="005C2771">
                    <w:pPr>
                      <w:ind w:firstLine="140"/>
                      <w:rPr>
                        <w:b/>
                        <w:sz w:val="16"/>
                      </w:rPr>
                    </w:pPr>
                  </w:p>
                  <w:p w14:paraId="3510CF4F" w14:textId="77777777" w:rsidR="005C2771" w:rsidRDefault="005C2771">
                    <w:pPr>
                      <w:ind w:firstLine="140"/>
                      <w:rPr>
                        <w:b/>
                        <w:sz w:val="16"/>
                      </w:rPr>
                    </w:pPr>
                    <w:r>
                      <w:rPr>
                        <w:rFonts w:eastAsia="PMingLiU" w:hint="eastAsia"/>
                        <w:b/>
                        <w:sz w:val="20"/>
                        <w:lang w:eastAsia="zh-TW"/>
                      </w:rPr>
                      <w:t xml:space="preserve"> </w:t>
                    </w:r>
                    <w:r>
                      <w:rPr>
                        <w:rFonts w:hint="eastAsia"/>
                        <w:b/>
                        <w:sz w:val="20"/>
                      </w:rPr>
                      <w:t>M</w:t>
                    </w:r>
                  </w:p>
                  <w:p w14:paraId="60EDEACE" w14:textId="77777777" w:rsidR="005C2771" w:rsidRDefault="005C2771">
                    <w:pPr>
                      <w:ind w:firstLine="140"/>
                      <w:rPr>
                        <w:b/>
                        <w:sz w:val="10"/>
                      </w:rPr>
                    </w:pPr>
                  </w:p>
                  <w:p w14:paraId="2255CA43" w14:textId="77777777" w:rsidR="005C2771" w:rsidRDefault="005C2771">
                    <w:pPr>
                      <w:ind w:firstLine="140"/>
                      <w:rPr>
                        <w:b/>
                        <w:sz w:val="16"/>
                      </w:rPr>
                    </w:pPr>
                  </w:p>
                  <w:p w14:paraId="503D359E" w14:textId="77777777" w:rsidR="005C2771" w:rsidRDefault="005C2771">
                    <w:pPr>
                      <w:ind w:firstLine="140"/>
                      <w:rPr>
                        <w:b/>
                        <w:sz w:val="16"/>
                      </w:rPr>
                    </w:pPr>
                  </w:p>
                  <w:p w14:paraId="573EE0F6" w14:textId="77777777" w:rsidR="005C2771" w:rsidRDefault="005C2771">
                    <w:pPr>
                      <w:ind w:firstLine="140"/>
                      <w:rPr>
                        <w:b/>
                        <w:sz w:val="16"/>
                      </w:rPr>
                    </w:pPr>
                    <w:r>
                      <w:rPr>
                        <w:rFonts w:eastAsia="PMingLiU" w:hint="eastAsia"/>
                        <w:b/>
                        <w:sz w:val="20"/>
                        <w:lang w:eastAsia="zh-TW"/>
                      </w:rPr>
                      <w:t xml:space="preserve"> </w:t>
                    </w:r>
                    <w:r>
                      <w:rPr>
                        <w:rFonts w:hint="eastAsia"/>
                        <w:b/>
                        <w:sz w:val="20"/>
                      </w:rPr>
                      <w:t>N</w:t>
                    </w:r>
                  </w:p>
                  <w:p w14:paraId="22493328" w14:textId="77777777" w:rsidR="005C2771" w:rsidRDefault="005C2771">
                    <w:pPr>
                      <w:ind w:firstLine="140"/>
                      <w:rPr>
                        <w:b/>
                        <w:sz w:val="10"/>
                      </w:rPr>
                    </w:pPr>
                  </w:p>
                  <w:p w14:paraId="6D3C4DAF" w14:textId="77777777" w:rsidR="005C2771" w:rsidRDefault="005C2771">
                    <w:pPr>
                      <w:ind w:firstLine="140"/>
                      <w:rPr>
                        <w:b/>
                        <w:sz w:val="16"/>
                      </w:rPr>
                    </w:pPr>
                  </w:p>
                  <w:p w14:paraId="3D7D2FB4" w14:textId="77777777" w:rsidR="005C2771" w:rsidRDefault="005C2771">
                    <w:pPr>
                      <w:ind w:firstLine="140"/>
                      <w:rPr>
                        <w:b/>
                        <w:sz w:val="16"/>
                      </w:rPr>
                    </w:pPr>
                  </w:p>
                  <w:p w14:paraId="069BF36C" w14:textId="77777777" w:rsidR="005C2771" w:rsidRDefault="005C2771">
                    <w:pPr>
                      <w:ind w:firstLine="140"/>
                      <w:rPr>
                        <w:b/>
                        <w:sz w:val="16"/>
                      </w:rPr>
                    </w:pPr>
                    <w:r>
                      <w:rPr>
                        <w:rFonts w:eastAsia="PMingLiU" w:hint="eastAsia"/>
                        <w:b/>
                        <w:sz w:val="20"/>
                        <w:lang w:eastAsia="zh-TW"/>
                      </w:rPr>
                      <w:t xml:space="preserve"> </w:t>
                    </w:r>
                    <w:r>
                      <w:rPr>
                        <w:rFonts w:hint="eastAsia"/>
                        <w:b/>
                        <w:sz w:val="20"/>
                      </w:rPr>
                      <w:t>O</w:t>
                    </w:r>
                  </w:p>
                  <w:p w14:paraId="27D62059" w14:textId="77777777" w:rsidR="005C2771" w:rsidRDefault="005C2771">
                    <w:pPr>
                      <w:ind w:firstLine="140"/>
                      <w:rPr>
                        <w:b/>
                        <w:sz w:val="10"/>
                      </w:rPr>
                    </w:pPr>
                  </w:p>
                  <w:p w14:paraId="5CA3ACF4" w14:textId="77777777" w:rsidR="005C2771" w:rsidRDefault="005C2771">
                    <w:pPr>
                      <w:ind w:firstLine="140"/>
                      <w:rPr>
                        <w:b/>
                        <w:sz w:val="16"/>
                      </w:rPr>
                    </w:pPr>
                  </w:p>
                  <w:p w14:paraId="0E2EF671" w14:textId="77777777" w:rsidR="005C2771" w:rsidRDefault="005C2771">
                    <w:pPr>
                      <w:ind w:firstLine="140"/>
                      <w:rPr>
                        <w:b/>
                        <w:sz w:val="16"/>
                      </w:rPr>
                    </w:pPr>
                  </w:p>
                  <w:p w14:paraId="3AB112CF" w14:textId="77777777" w:rsidR="005C2771" w:rsidRDefault="005C2771">
                    <w:pPr>
                      <w:ind w:firstLine="140"/>
                      <w:rPr>
                        <w:b/>
                        <w:sz w:val="16"/>
                      </w:rPr>
                    </w:pPr>
                    <w:r>
                      <w:rPr>
                        <w:rFonts w:eastAsia="PMingLiU" w:hint="eastAsia"/>
                        <w:b/>
                        <w:sz w:val="20"/>
                        <w:lang w:eastAsia="zh-TW"/>
                      </w:rPr>
                      <w:t xml:space="preserve"> </w:t>
                    </w:r>
                    <w:r>
                      <w:rPr>
                        <w:rFonts w:hint="eastAsia"/>
                        <w:b/>
                        <w:sz w:val="20"/>
                      </w:rPr>
                      <w:t>P</w:t>
                    </w:r>
                  </w:p>
                  <w:p w14:paraId="362B6D29" w14:textId="77777777" w:rsidR="005C2771" w:rsidRDefault="005C2771">
                    <w:pPr>
                      <w:ind w:firstLine="140"/>
                      <w:rPr>
                        <w:b/>
                        <w:sz w:val="10"/>
                      </w:rPr>
                    </w:pPr>
                  </w:p>
                  <w:p w14:paraId="3B078F31" w14:textId="77777777" w:rsidR="005C2771" w:rsidRDefault="005C2771">
                    <w:pPr>
                      <w:ind w:firstLine="140"/>
                      <w:rPr>
                        <w:b/>
                        <w:sz w:val="16"/>
                      </w:rPr>
                    </w:pPr>
                  </w:p>
                  <w:p w14:paraId="2C0D27B7" w14:textId="77777777" w:rsidR="005C2771" w:rsidRDefault="005C2771">
                    <w:pPr>
                      <w:ind w:firstLine="140"/>
                      <w:rPr>
                        <w:b/>
                        <w:sz w:val="16"/>
                      </w:rPr>
                    </w:pPr>
                  </w:p>
                  <w:p w14:paraId="0FB953F3" w14:textId="77777777" w:rsidR="005C2771" w:rsidRDefault="005C2771">
                    <w:pPr>
                      <w:ind w:firstLine="140"/>
                      <w:rPr>
                        <w:b/>
                        <w:sz w:val="16"/>
                      </w:rPr>
                    </w:pPr>
                    <w:r>
                      <w:rPr>
                        <w:rFonts w:eastAsia="PMingLiU" w:hint="eastAsia"/>
                        <w:b/>
                        <w:sz w:val="20"/>
                        <w:lang w:eastAsia="zh-TW"/>
                      </w:rPr>
                      <w:t xml:space="preserve"> </w:t>
                    </w:r>
                    <w:r>
                      <w:rPr>
                        <w:rFonts w:hint="eastAsia"/>
                        <w:b/>
                        <w:sz w:val="20"/>
                      </w:rPr>
                      <w:t>Q</w:t>
                    </w:r>
                  </w:p>
                  <w:p w14:paraId="53D65B28" w14:textId="77777777" w:rsidR="005C2771" w:rsidRDefault="005C2771">
                    <w:pPr>
                      <w:ind w:firstLine="140"/>
                      <w:rPr>
                        <w:b/>
                        <w:sz w:val="10"/>
                      </w:rPr>
                    </w:pPr>
                  </w:p>
                  <w:p w14:paraId="6173EB1D" w14:textId="77777777" w:rsidR="005C2771" w:rsidRDefault="005C2771">
                    <w:pPr>
                      <w:ind w:firstLine="140"/>
                      <w:rPr>
                        <w:b/>
                        <w:sz w:val="16"/>
                      </w:rPr>
                    </w:pPr>
                  </w:p>
                  <w:p w14:paraId="370FB2B8" w14:textId="77777777" w:rsidR="005C2771" w:rsidRDefault="005C2771">
                    <w:pPr>
                      <w:ind w:firstLine="140"/>
                      <w:rPr>
                        <w:b/>
                        <w:sz w:val="16"/>
                      </w:rPr>
                    </w:pPr>
                  </w:p>
                  <w:p w14:paraId="704807FF" w14:textId="77777777" w:rsidR="005C2771" w:rsidRDefault="005C2771">
                    <w:pPr>
                      <w:ind w:firstLine="140"/>
                      <w:rPr>
                        <w:b/>
                        <w:sz w:val="16"/>
                      </w:rPr>
                    </w:pPr>
                    <w:r>
                      <w:rPr>
                        <w:rFonts w:eastAsia="PMingLiU" w:hint="eastAsia"/>
                        <w:b/>
                        <w:sz w:val="20"/>
                        <w:lang w:eastAsia="zh-TW"/>
                      </w:rPr>
                      <w:t xml:space="preserve"> </w:t>
                    </w:r>
                    <w:r>
                      <w:rPr>
                        <w:rFonts w:hint="eastAsia"/>
                        <w:b/>
                        <w:sz w:val="20"/>
                      </w:rPr>
                      <w:t>R</w:t>
                    </w:r>
                  </w:p>
                  <w:p w14:paraId="1667A299" w14:textId="77777777" w:rsidR="005C2771" w:rsidRDefault="005C2771">
                    <w:pPr>
                      <w:ind w:firstLine="140"/>
                      <w:rPr>
                        <w:b/>
                        <w:sz w:val="10"/>
                      </w:rPr>
                    </w:pPr>
                  </w:p>
                  <w:p w14:paraId="20D57CDC" w14:textId="77777777" w:rsidR="005C2771" w:rsidRDefault="005C2771">
                    <w:pPr>
                      <w:ind w:firstLine="140"/>
                      <w:rPr>
                        <w:b/>
                        <w:sz w:val="16"/>
                      </w:rPr>
                    </w:pPr>
                  </w:p>
                  <w:p w14:paraId="3923BD05" w14:textId="77777777" w:rsidR="005C2771" w:rsidRDefault="005C2771">
                    <w:pPr>
                      <w:ind w:firstLine="140"/>
                      <w:rPr>
                        <w:b/>
                        <w:sz w:val="16"/>
                      </w:rPr>
                    </w:pPr>
                  </w:p>
                  <w:p w14:paraId="2B172C07" w14:textId="77777777" w:rsidR="005C2771" w:rsidRDefault="005C2771">
                    <w:pPr>
                      <w:ind w:firstLine="140"/>
                      <w:rPr>
                        <w:b/>
                        <w:sz w:val="16"/>
                      </w:rPr>
                    </w:pPr>
                    <w:r>
                      <w:rPr>
                        <w:rFonts w:eastAsia="PMingLiU" w:hint="eastAsia"/>
                        <w:b/>
                        <w:sz w:val="20"/>
                        <w:lang w:eastAsia="zh-TW"/>
                      </w:rPr>
                      <w:t xml:space="preserve"> </w:t>
                    </w:r>
                    <w:r>
                      <w:rPr>
                        <w:rFonts w:hint="eastAsia"/>
                        <w:b/>
                        <w:sz w:val="20"/>
                      </w:rPr>
                      <w:t>S</w:t>
                    </w:r>
                  </w:p>
                  <w:p w14:paraId="3300DFC3" w14:textId="77777777" w:rsidR="005C2771" w:rsidRDefault="005C2771">
                    <w:pPr>
                      <w:ind w:firstLine="140"/>
                      <w:rPr>
                        <w:b/>
                        <w:sz w:val="10"/>
                      </w:rPr>
                    </w:pPr>
                  </w:p>
                  <w:p w14:paraId="4394FFCD" w14:textId="77777777" w:rsidR="005C2771" w:rsidRDefault="005C2771">
                    <w:pPr>
                      <w:ind w:firstLine="140"/>
                      <w:rPr>
                        <w:b/>
                        <w:sz w:val="16"/>
                      </w:rPr>
                    </w:pPr>
                  </w:p>
                  <w:p w14:paraId="46262BA5" w14:textId="77777777" w:rsidR="005C2771" w:rsidRDefault="005C2771">
                    <w:pPr>
                      <w:ind w:firstLine="140"/>
                      <w:rPr>
                        <w:b/>
                        <w:sz w:val="16"/>
                      </w:rPr>
                    </w:pPr>
                  </w:p>
                  <w:p w14:paraId="4165406B" w14:textId="77777777" w:rsidR="005C2771" w:rsidRDefault="005C2771">
                    <w:pPr>
                      <w:ind w:firstLine="140"/>
                      <w:rPr>
                        <w:b/>
                        <w:sz w:val="16"/>
                      </w:rPr>
                    </w:pPr>
                    <w:r>
                      <w:rPr>
                        <w:rFonts w:eastAsia="PMingLiU" w:hint="eastAsia"/>
                        <w:b/>
                        <w:sz w:val="20"/>
                        <w:lang w:eastAsia="zh-TW"/>
                      </w:rPr>
                      <w:t xml:space="preserve"> </w:t>
                    </w:r>
                    <w:r>
                      <w:rPr>
                        <w:rFonts w:hint="eastAsia"/>
                        <w:b/>
                        <w:sz w:val="20"/>
                      </w:rPr>
                      <w:t>T</w:t>
                    </w:r>
                  </w:p>
                  <w:p w14:paraId="64651CCA" w14:textId="77777777" w:rsidR="005C2771" w:rsidRDefault="005C2771">
                    <w:pPr>
                      <w:ind w:firstLine="140"/>
                      <w:rPr>
                        <w:b/>
                        <w:sz w:val="10"/>
                      </w:rPr>
                    </w:pPr>
                  </w:p>
                  <w:p w14:paraId="160E5C02" w14:textId="77777777" w:rsidR="005C2771" w:rsidRDefault="005C2771">
                    <w:pPr>
                      <w:ind w:firstLine="140"/>
                      <w:rPr>
                        <w:b/>
                        <w:sz w:val="16"/>
                      </w:rPr>
                    </w:pPr>
                  </w:p>
                  <w:p w14:paraId="3FEC7E69" w14:textId="77777777" w:rsidR="005C2771" w:rsidRDefault="005C2771">
                    <w:pPr>
                      <w:ind w:firstLine="140"/>
                      <w:rPr>
                        <w:b/>
                        <w:sz w:val="16"/>
                      </w:rPr>
                    </w:pPr>
                  </w:p>
                  <w:p w14:paraId="6EBA5922" w14:textId="77777777" w:rsidR="005C2771" w:rsidRDefault="005C2771">
                    <w:pPr>
                      <w:ind w:firstLine="140"/>
                      <w:rPr>
                        <w:b/>
                        <w:sz w:val="16"/>
                      </w:rPr>
                    </w:pPr>
                    <w:r>
                      <w:rPr>
                        <w:rFonts w:eastAsia="PMingLiU" w:hint="eastAsia"/>
                        <w:b/>
                        <w:sz w:val="20"/>
                        <w:lang w:eastAsia="zh-TW"/>
                      </w:rPr>
                      <w:t xml:space="preserve"> </w:t>
                    </w:r>
                    <w:r>
                      <w:rPr>
                        <w:rFonts w:hint="eastAsia"/>
                        <w:b/>
                        <w:sz w:val="20"/>
                      </w:rPr>
                      <w:t>U</w:t>
                    </w:r>
                  </w:p>
                  <w:p w14:paraId="7DFA6921" w14:textId="77777777" w:rsidR="005C2771" w:rsidRDefault="005C2771">
                    <w:pPr>
                      <w:ind w:firstLine="140"/>
                      <w:rPr>
                        <w:b/>
                        <w:sz w:val="10"/>
                      </w:rPr>
                    </w:pPr>
                  </w:p>
                  <w:p w14:paraId="0AA019E4" w14:textId="77777777" w:rsidR="005C2771" w:rsidRDefault="005C2771">
                    <w:pPr>
                      <w:ind w:firstLine="140"/>
                      <w:rPr>
                        <w:b/>
                        <w:sz w:val="16"/>
                      </w:rPr>
                    </w:pPr>
                  </w:p>
                  <w:p w14:paraId="3B0DFFE4" w14:textId="77777777" w:rsidR="005C2771" w:rsidRDefault="005C2771">
                    <w:pPr>
                      <w:ind w:firstLine="140"/>
                      <w:rPr>
                        <w:b/>
                        <w:sz w:val="16"/>
                      </w:rPr>
                    </w:pPr>
                  </w:p>
                  <w:p w14:paraId="231EB348" w14:textId="77777777" w:rsidR="005C2771" w:rsidRDefault="005C2771">
                    <w:pPr>
                      <w:pStyle w:val="Heading3"/>
                      <w:ind w:firstLine="140"/>
                      <w:jc w:val="left"/>
                    </w:pPr>
                    <w:r>
                      <w:rPr>
                        <w:rFonts w:eastAsia="PMingLiU" w:hint="eastAsia"/>
                        <w:lang w:eastAsia="zh-TW"/>
                      </w:rPr>
                      <w:t xml:space="preserve"> </w:t>
                    </w: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06340"/>
    <w:multiLevelType w:val="hybridMultilevel"/>
    <w:tmpl w:val="A77E1346"/>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C87965"/>
    <w:multiLevelType w:val="hybridMultilevel"/>
    <w:tmpl w:val="EDE86D58"/>
    <w:lvl w:ilvl="0" w:tplc="AE9AF906">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0357C"/>
    <w:multiLevelType w:val="hybridMultilevel"/>
    <w:tmpl w:val="3E3E60F8"/>
    <w:lvl w:ilvl="0" w:tplc="99FAB930">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059A9"/>
    <w:multiLevelType w:val="hybridMultilevel"/>
    <w:tmpl w:val="C20CE3F4"/>
    <w:lvl w:ilvl="0" w:tplc="2384CCD2">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900FA"/>
    <w:multiLevelType w:val="hybridMultilevel"/>
    <w:tmpl w:val="3B58FE72"/>
    <w:lvl w:ilvl="0" w:tplc="F76A36B4">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048AD"/>
    <w:multiLevelType w:val="hybridMultilevel"/>
    <w:tmpl w:val="D4FA1462"/>
    <w:lvl w:ilvl="0" w:tplc="B2168BAE">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618AC"/>
    <w:multiLevelType w:val="hybridMultilevel"/>
    <w:tmpl w:val="81285EB6"/>
    <w:lvl w:ilvl="0" w:tplc="FD5670E6">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A5C7A08"/>
    <w:multiLevelType w:val="hybridMultilevel"/>
    <w:tmpl w:val="98B25E4C"/>
    <w:lvl w:ilvl="0" w:tplc="C2E429B4">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01F1D"/>
    <w:multiLevelType w:val="hybridMultilevel"/>
    <w:tmpl w:val="81260F56"/>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022309"/>
    <w:multiLevelType w:val="hybridMultilevel"/>
    <w:tmpl w:val="B2841F9A"/>
    <w:lvl w:ilvl="0" w:tplc="EBD4E150">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227FA"/>
    <w:multiLevelType w:val="hybridMultilevel"/>
    <w:tmpl w:val="4E801782"/>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E0BE3"/>
    <w:multiLevelType w:val="hybridMultilevel"/>
    <w:tmpl w:val="165E5EE6"/>
    <w:lvl w:ilvl="0" w:tplc="BAFC0E32">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E166366"/>
    <w:multiLevelType w:val="hybridMultilevel"/>
    <w:tmpl w:val="F30E091A"/>
    <w:lvl w:ilvl="0" w:tplc="669AB892">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636CB"/>
    <w:multiLevelType w:val="hybridMultilevel"/>
    <w:tmpl w:val="006449AE"/>
    <w:lvl w:ilvl="0" w:tplc="95B6EC82">
      <w:start w:val="1"/>
      <w:numFmt w:val="decimal"/>
      <w:lvlText w:val="(%1)"/>
      <w:lvlJc w:val="left"/>
      <w:pPr>
        <w:ind w:left="1960" w:hanging="124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0046B0C"/>
    <w:multiLevelType w:val="hybridMultilevel"/>
    <w:tmpl w:val="FB0A66F2"/>
    <w:lvl w:ilvl="0" w:tplc="62C809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63170E3"/>
    <w:multiLevelType w:val="hybridMultilevel"/>
    <w:tmpl w:val="EFDED276"/>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36543F"/>
    <w:multiLevelType w:val="hybridMultilevel"/>
    <w:tmpl w:val="7F8CA214"/>
    <w:lvl w:ilvl="0" w:tplc="4C141E50">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DC4833"/>
    <w:multiLevelType w:val="hybridMultilevel"/>
    <w:tmpl w:val="1924FCDE"/>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B1200C5"/>
    <w:multiLevelType w:val="hybridMultilevel"/>
    <w:tmpl w:val="42F4F234"/>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B87103B"/>
    <w:multiLevelType w:val="hybridMultilevel"/>
    <w:tmpl w:val="C2F02BF4"/>
    <w:lvl w:ilvl="0" w:tplc="1BC6F71A">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F01E6A"/>
    <w:multiLevelType w:val="hybridMultilevel"/>
    <w:tmpl w:val="3C1EA7A4"/>
    <w:lvl w:ilvl="0" w:tplc="A814989C">
      <w:start w:val="1"/>
      <w:numFmt w:val="decimal"/>
      <w:lvlText w:val="(%1)"/>
      <w:lvlJc w:val="left"/>
      <w:pPr>
        <w:ind w:left="1420" w:hanging="70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DA675D2"/>
    <w:multiLevelType w:val="hybridMultilevel"/>
    <w:tmpl w:val="4342AE04"/>
    <w:lvl w:ilvl="0" w:tplc="F4169DF4">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E69374C"/>
    <w:multiLevelType w:val="multilevel"/>
    <w:tmpl w:val="DED05788"/>
    <w:styleLink w:val="RACSC"/>
    <w:lvl w:ilvl="0">
      <w:start w:val="1"/>
      <w:numFmt w:val="decimal"/>
      <w:lvlText w:val="%1."/>
      <w:lvlJc w:val="left"/>
      <w:pPr>
        <w:ind w:left="720" w:hanging="720"/>
      </w:pPr>
      <w:rPr>
        <w:rFonts w:hint="default"/>
      </w:rPr>
    </w:lvl>
    <w:lvl w:ilvl="1">
      <w:start w:val="1"/>
      <w:numFmt w:val="decimal"/>
      <w:lvlText w:val="(%2)"/>
      <w:lvlJc w:val="left"/>
      <w:pPr>
        <w:ind w:left="1440" w:hanging="720"/>
      </w:pPr>
      <w:rPr>
        <w:rFonts w:hint="default"/>
      </w:rPr>
    </w:lvl>
    <w:lvl w:ilvl="2">
      <w:start w:val="1"/>
      <w:numFmt w:val="lowerLetter"/>
      <w:lvlText w:val="(%3)"/>
      <w:lvlJc w:val="left"/>
      <w:pPr>
        <w:tabs>
          <w:tab w:val="num" w:pos="2232"/>
        </w:tabs>
        <w:ind w:left="2160" w:hanging="720"/>
      </w:pPr>
      <w:rPr>
        <w:rFonts w:hint="default"/>
      </w:rPr>
    </w:lvl>
    <w:lvl w:ilvl="3">
      <w:start w:val="1"/>
      <w:numFmt w:val="lowerRoman"/>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4FC6787"/>
    <w:multiLevelType w:val="hybridMultilevel"/>
    <w:tmpl w:val="CE9A6008"/>
    <w:lvl w:ilvl="0" w:tplc="61E2945E">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9C6307"/>
    <w:multiLevelType w:val="hybridMultilevel"/>
    <w:tmpl w:val="AFA8507A"/>
    <w:lvl w:ilvl="0" w:tplc="92AC4A5E">
      <w:start w:val="1"/>
      <w:numFmt w:val="decimal"/>
      <w:lvlText w:val="(%1)"/>
      <w:lvlJc w:val="right"/>
      <w:pPr>
        <w:ind w:left="2122" w:hanging="360"/>
      </w:pPr>
      <w:rPr>
        <w:rFonts w:hint="eastAsia"/>
      </w:rPr>
    </w:lvl>
    <w:lvl w:ilvl="1" w:tplc="04090019" w:tentative="1">
      <w:start w:val="1"/>
      <w:numFmt w:val="lowerLetter"/>
      <w:lvlText w:val="%2."/>
      <w:lvlJc w:val="left"/>
      <w:pPr>
        <w:ind w:left="2842" w:hanging="360"/>
      </w:pPr>
    </w:lvl>
    <w:lvl w:ilvl="2" w:tplc="0409001B" w:tentative="1">
      <w:start w:val="1"/>
      <w:numFmt w:val="lowerRoman"/>
      <w:lvlText w:val="%3."/>
      <w:lvlJc w:val="right"/>
      <w:pPr>
        <w:ind w:left="3562" w:hanging="180"/>
      </w:pPr>
    </w:lvl>
    <w:lvl w:ilvl="3" w:tplc="0409000F" w:tentative="1">
      <w:start w:val="1"/>
      <w:numFmt w:val="decimal"/>
      <w:lvlText w:val="%4."/>
      <w:lvlJc w:val="left"/>
      <w:pPr>
        <w:ind w:left="4282" w:hanging="360"/>
      </w:pPr>
    </w:lvl>
    <w:lvl w:ilvl="4" w:tplc="04090019" w:tentative="1">
      <w:start w:val="1"/>
      <w:numFmt w:val="lowerLetter"/>
      <w:lvlText w:val="%5."/>
      <w:lvlJc w:val="left"/>
      <w:pPr>
        <w:ind w:left="5002" w:hanging="360"/>
      </w:pPr>
    </w:lvl>
    <w:lvl w:ilvl="5" w:tplc="0409001B" w:tentative="1">
      <w:start w:val="1"/>
      <w:numFmt w:val="lowerRoman"/>
      <w:lvlText w:val="%6."/>
      <w:lvlJc w:val="right"/>
      <w:pPr>
        <w:ind w:left="5722" w:hanging="180"/>
      </w:pPr>
    </w:lvl>
    <w:lvl w:ilvl="6" w:tplc="0409000F" w:tentative="1">
      <w:start w:val="1"/>
      <w:numFmt w:val="decimal"/>
      <w:lvlText w:val="%7."/>
      <w:lvlJc w:val="left"/>
      <w:pPr>
        <w:ind w:left="6442" w:hanging="360"/>
      </w:pPr>
    </w:lvl>
    <w:lvl w:ilvl="7" w:tplc="04090019" w:tentative="1">
      <w:start w:val="1"/>
      <w:numFmt w:val="lowerLetter"/>
      <w:lvlText w:val="%8."/>
      <w:lvlJc w:val="left"/>
      <w:pPr>
        <w:ind w:left="7162" w:hanging="360"/>
      </w:pPr>
    </w:lvl>
    <w:lvl w:ilvl="8" w:tplc="0409001B" w:tentative="1">
      <w:start w:val="1"/>
      <w:numFmt w:val="lowerRoman"/>
      <w:lvlText w:val="%9."/>
      <w:lvlJc w:val="right"/>
      <w:pPr>
        <w:ind w:left="7882" w:hanging="180"/>
      </w:pPr>
    </w:lvl>
  </w:abstractNum>
  <w:abstractNum w:abstractNumId="25" w15:restartNumberingAfterBreak="0">
    <w:nsid w:val="36BF6CD2"/>
    <w:multiLevelType w:val="hybridMultilevel"/>
    <w:tmpl w:val="0E0427E4"/>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B2B27F5"/>
    <w:multiLevelType w:val="hybridMultilevel"/>
    <w:tmpl w:val="C0EA422E"/>
    <w:lvl w:ilvl="0" w:tplc="5C92CD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696652"/>
    <w:multiLevelType w:val="hybridMultilevel"/>
    <w:tmpl w:val="2F5E7B9C"/>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D4533A7"/>
    <w:multiLevelType w:val="hybridMultilevel"/>
    <w:tmpl w:val="77A0C70C"/>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DBB707F"/>
    <w:multiLevelType w:val="hybridMultilevel"/>
    <w:tmpl w:val="F3B4D91A"/>
    <w:lvl w:ilvl="0" w:tplc="93383346">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9A526B"/>
    <w:multiLevelType w:val="hybridMultilevel"/>
    <w:tmpl w:val="950C88AE"/>
    <w:lvl w:ilvl="0" w:tplc="3682995A">
      <w:start w:val="1"/>
      <w:numFmt w:val="lowerLetter"/>
      <w:lvlText w:val="(%1)"/>
      <w:lvlJc w:val="left"/>
      <w:pPr>
        <w:ind w:left="1780" w:hanging="360"/>
      </w:pPr>
      <w:rPr>
        <w:rFonts w:hint="default"/>
        <w:color w:val="000000" w:themeColor="text1"/>
      </w:rPr>
    </w:lvl>
    <w:lvl w:ilvl="1" w:tplc="08090019">
      <w:start w:val="1"/>
      <w:numFmt w:val="lowerLetter"/>
      <w:lvlText w:val="%2."/>
      <w:lvlJc w:val="left"/>
      <w:pPr>
        <w:ind w:left="2500" w:hanging="360"/>
      </w:pPr>
    </w:lvl>
    <w:lvl w:ilvl="2" w:tplc="0809001B">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31" w15:restartNumberingAfterBreak="0">
    <w:nsid w:val="40A41D8C"/>
    <w:multiLevelType w:val="hybridMultilevel"/>
    <w:tmpl w:val="6892167C"/>
    <w:lvl w:ilvl="0" w:tplc="78E694F2">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0A4489"/>
    <w:multiLevelType w:val="hybridMultilevel"/>
    <w:tmpl w:val="91A00A16"/>
    <w:lvl w:ilvl="0" w:tplc="75FA94CA">
      <w:start w:val="1"/>
      <w:numFmt w:val="decimal"/>
      <w:lvlText w:val="(%1)"/>
      <w:lvlJc w:val="left"/>
      <w:pPr>
        <w:ind w:left="1420" w:hanging="70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A624F0A"/>
    <w:multiLevelType w:val="hybridMultilevel"/>
    <w:tmpl w:val="5B044320"/>
    <w:lvl w:ilvl="0" w:tplc="EBC0C26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B5C49C6"/>
    <w:multiLevelType w:val="hybridMultilevel"/>
    <w:tmpl w:val="CF9A018A"/>
    <w:lvl w:ilvl="0" w:tplc="B97E9DFE">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EF5C26"/>
    <w:multiLevelType w:val="hybridMultilevel"/>
    <w:tmpl w:val="E18C514C"/>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3A10219"/>
    <w:multiLevelType w:val="hybridMultilevel"/>
    <w:tmpl w:val="413E55FE"/>
    <w:lvl w:ilvl="0" w:tplc="612645B6">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B16778"/>
    <w:multiLevelType w:val="hybridMultilevel"/>
    <w:tmpl w:val="5B52D062"/>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4AA36E8"/>
    <w:multiLevelType w:val="hybridMultilevel"/>
    <w:tmpl w:val="38FA381A"/>
    <w:lvl w:ilvl="0" w:tplc="83443A4A">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1D7744"/>
    <w:multiLevelType w:val="hybridMultilevel"/>
    <w:tmpl w:val="6EFADE76"/>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A293140"/>
    <w:multiLevelType w:val="hybridMultilevel"/>
    <w:tmpl w:val="EA14C9F0"/>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F976581"/>
    <w:multiLevelType w:val="multilevel"/>
    <w:tmpl w:val="C0A06D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rPr>
        <w:rFonts w:ascii="Times New Roman" w:eastAsia="宋体" w:hAnsi="Times New Roman" w:cs="Times New Roman"/>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35201E8"/>
    <w:multiLevelType w:val="hybridMultilevel"/>
    <w:tmpl w:val="8806CC9E"/>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3527E59"/>
    <w:multiLevelType w:val="hybridMultilevel"/>
    <w:tmpl w:val="F586B650"/>
    <w:lvl w:ilvl="0" w:tplc="6C7EB5AA">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543CEF"/>
    <w:multiLevelType w:val="hybridMultilevel"/>
    <w:tmpl w:val="D9B24572"/>
    <w:lvl w:ilvl="0" w:tplc="3682995A">
      <w:start w:val="1"/>
      <w:numFmt w:val="lowerLetter"/>
      <w:lvlText w:val="(%1)"/>
      <w:lvlJc w:val="left"/>
      <w:pPr>
        <w:ind w:left="2160" w:hanging="360"/>
      </w:pPr>
      <w:rPr>
        <w:rFonts w:hint="default"/>
        <w:color w:val="000000" w:themeColor="text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69B62EB8"/>
    <w:multiLevelType w:val="hybridMultilevel"/>
    <w:tmpl w:val="59081C2C"/>
    <w:lvl w:ilvl="0" w:tplc="07803D6E">
      <w:start w:val="1"/>
      <w:numFmt w:val="decimal"/>
      <w:pStyle w:val="Bob1"/>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9FB0ADC"/>
    <w:multiLevelType w:val="hybridMultilevel"/>
    <w:tmpl w:val="F2265F84"/>
    <w:lvl w:ilvl="0" w:tplc="576C2B98">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AF33490"/>
    <w:multiLevelType w:val="hybridMultilevel"/>
    <w:tmpl w:val="50B4A0CA"/>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CD611D5"/>
    <w:multiLevelType w:val="hybridMultilevel"/>
    <w:tmpl w:val="8586DE56"/>
    <w:lvl w:ilvl="0" w:tplc="FFFFFFFF">
      <w:start w:val="1"/>
      <w:numFmt w:val="decimal"/>
      <w:pStyle w:val="ar-draft"/>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9" w15:restartNumberingAfterBreak="0">
    <w:nsid w:val="6CF41642"/>
    <w:multiLevelType w:val="hybridMultilevel"/>
    <w:tmpl w:val="4F1E8392"/>
    <w:lvl w:ilvl="0" w:tplc="522CD9FA">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6C6B9A"/>
    <w:multiLevelType w:val="hybridMultilevel"/>
    <w:tmpl w:val="A380DEE8"/>
    <w:lvl w:ilvl="0" w:tplc="3682995A">
      <w:start w:val="1"/>
      <w:numFmt w:val="lowerLetter"/>
      <w:lvlText w:val="(%1)"/>
      <w:lvlJc w:val="lef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181141"/>
    <w:multiLevelType w:val="hybridMultilevel"/>
    <w:tmpl w:val="618A5F56"/>
    <w:lvl w:ilvl="0" w:tplc="92AC4A5E">
      <w:start w:val="1"/>
      <w:numFmt w:val="decimal"/>
      <w:lvlText w:val="(%1)"/>
      <w:lvlJc w:val="righ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39019A5"/>
    <w:multiLevelType w:val="hybridMultilevel"/>
    <w:tmpl w:val="1360A21C"/>
    <w:lvl w:ilvl="0" w:tplc="8BB88856">
      <w:start w:val="1"/>
      <w:numFmt w:val="decimal"/>
      <w:lvlText w:val="(%1)"/>
      <w:lvlJc w:val="right"/>
      <w:pPr>
        <w:ind w:left="1440" w:hanging="360"/>
      </w:pPr>
      <w:rPr>
        <w:rFonts w:hint="eastAsia"/>
      </w:rPr>
    </w:lvl>
    <w:lvl w:ilvl="1" w:tplc="85BE543E">
      <w:start w:val="1"/>
      <w:numFmt w:val="decimal"/>
      <w:lvlText w:val="(%2)"/>
      <w:lvlJc w:val="left"/>
      <w:pPr>
        <w:ind w:left="1755" w:hanging="6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796C68"/>
    <w:multiLevelType w:val="hybridMultilevel"/>
    <w:tmpl w:val="1CA8DA02"/>
    <w:lvl w:ilvl="0" w:tplc="B9AA3E00">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C44720"/>
    <w:multiLevelType w:val="hybridMultilevel"/>
    <w:tmpl w:val="CA360B66"/>
    <w:lvl w:ilvl="0" w:tplc="BA7EFD82">
      <w:start w:val="1"/>
      <w:numFmt w:val="decimal"/>
      <w:lvlText w:val="(%1)"/>
      <w:lvlJc w:val="righ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8D700D"/>
    <w:multiLevelType w:val="hybridMultilevel"/>
    <w:tmpl w:val="E7CE7F9C"/>
    <w:lvl w:ilvl="0" w:tplc="62720466">
      <w:start w:val="1"/>
      <w:numFmt w:val="lowerLetter"/>
      <w:lvlText w:val="(%1)"/>
      <w:lvlJc w:val="left"/>
      <w:pPr>
        <w:ind w:left="178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6"/>
  </w:num>
  <w:num w:numId="5">
    <w:abstractNumId w:val="11"/>
  </w:num>
  <w:num w:numId="6">
    <w:abstractNumId w:val="46"/>
  </w:num>
  <w:num w:numId="7">
    <w:abstractNumId w:val="32"/>
  </w:num>
  <w:num w:numId="8">
    <w:abstractNumId w:val="30"/>
  </w:num>
  <w:num w:numId="9">
    <w:abstractNumId w:val="20"/>
  </w:num>
  <w:num w:numId="10">
    <w:abstractNumId w:val="13"/>
  </w:num>
  <w:num w:numId="11">
    <w:abstractNumId w:val="45"/>
  </w:num>
  <w:num w:numId="12">
    <w:abstractNumId w:val="22"/>
  </w:num>
  <w:num w:numId="13">
    <w:abstractNumId w:val="14"/>
  </w:num>
  <w:num w:numId="14">
    <w:abstractNumId w:val="33"/>
  </w:num>
  <w:num w:numId="15">
    <w:abstractNumId w:val="26"/>
  </w:num>
  <w:num w:numId="16">
    <w:abstractNumId w:val="47"/>
  </w:num>
  <w:num w:numId="17">
    <w:abstractNumId w:val="8"/>
  </w:num>
  <w:num w:numId="18">
    <w:abstractNumId w:val="15"/>
  </w:num>
  <w:num w:numId="19">
    <w:abstractNumId w:val="18"/>
  </w:num>
  <w:num w:numId="20">
    <w:abstractNumId w:val="24"/>
  </w:num>
  <w:num w:numId="21">
    <w:abstractNumId w:val="27"/>
  </w:num>
  <w:num w:numId="22">
    <w:abstractNumId w:val="51"/>
  </w:num>
  <w:num w:numId="23">
    <w:abstractNumId w:val="35"/>
  </w:num>
  <w:num w:numId="24">
    <w:abstractNumId w:val="0"/>
  </w:num>
  <w:num w:numId="25">
    <w:abstractNumId w:val="55"/>
  </w:num>
  <w:num w:numId="26">
    <w:abstractNumId w:val="25"/>
  </w:num>
  <w:num w:numId="27">
    <w:abstractNumId w:val="37"/>
  </w:num>
  <w:num w:numId="28">
    <w:abstractNumId w:val="39"/>
  </w:num>
  <w:num w:numId="29">
    <w:abstractNumId w:val="40"/>
  </w:num>
  <w:num w:numId="30">
    <w:abstractNumId w:val="12"/>
  </w:num>
  <w:num w:numId="31">
    <w:abstractNumId w:val="54"/>
  </w:num>
  <w:num w:numId="32">
    <w:abstractNumId w:val="1"/>
  </w:num>
  <w:num w:numId="33">
    <w:abstractNumId w:val="43"/>
  </w:num>
  <w:num w:numId="34">
    <w:abstractNumId w:val="9"/>
  </w:num>
  <w:num w:numId="35">
    <w:abstractNumId w:val="7"/>
  </w:num>
  <w:num w:numId="36">
    <w:abstractNumId w:val="5"/>
  </w:num>
  <w:num w:numId="37">
    <w:abstractNumId w:val="23"/>
  </w:num>
  <w:num w:numId="38">
    <w:abstractNumId w:val="2"/>
  </w:num>
  <w:num w:numId="39">
    <w:abstractNumId w:val="44"/>
  </w:num>
  <w:num w:numId="40">
    <w:abstractNumId w:val="36"/>
  </w:num>
  <w:num w:numId="41">
    <w:abstractNumId w:val="38"/>
  </w:num>
  <w:num w:numId="42">
    <w:abstractNumId w:val="19"/>
  </w:num>
  <w:num w:numId="43">
    <w:abstractNumId w:val="31"/>
  </w:num>
  <w:num w:numId="44">
    <w:abstractNumId w:val="52"/>
  </w:num>
  <w:num w:numId="45">
    <w:abstractNumId w:val="4"/>
  </w:num>
  <w:num w:numId="46">
    <w:abstractNumId w:val="3"/>
  </w:num>
  <w:num w:numId="47">
    <w:abstractNumId w:val="50"/>
  </w:num>
  <w:num w:numId="48">
    <w:abstractNumId w:val="34"/>
  </w:num>
  <w:num w:numId="49">
    <w:abstractNumId w:val="53"/>
  </w:num>
  <w:num w:numId="50">
    <w:abstractNumId w:val="16"/>
  </w:num>
  <w:num w:numId="51">
    <w:abstractNumId w:val="49"/>
  </w:num>
  <w:num w:numId="52">
    <w:abstractNumId w:val="29"/>
  </w:num>
  <w:num w:numId="53">
    <w:abstractNumId w:val="10"/>
  </w:num>
  <w:num w:numId="54">
    <w:abstractNumId w:val="17"/>
  </w:num>
  <w:num w:numId="55">
    <w:abstractNumId w:val="42"/>
  </w:num>
  <w:num w:numId="56">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GrammaticalErrors/>
  <w:activeWritingStyle w:appName="MSWord" w:lang="en-GB" w:vendorID="64" w:dllVersion="6" w:nlCheck="1" w:checkStyle="0"/>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CN" w:vendorID="64" w:dllVersion="5" w:nlCheck="1" w:checkStyle="1"/>
  <w:activeWritingStyle w:appName="MSWord" w:lang="en-AU"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HK" w:vendorID="64" w:dllVersion="6"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DDBAB4E-9EEF-4AB3-BBA2-1BF15E1698FE}"/>
    <w:docVar w:name="dgnword-eventsink" w:val="969098756928"/>
  </w:docVars>
  <w:rsids>
    <w:rsidRoot w:val="00536703"/>
    <w:rsid w:val="00000245"/>
    <w:rsid w:val="00000320"/>
    <w:rsid w:val="00000366"/>
    <w:rsid w:val="00000462"/>
    <w:rsid w:val="00000546"/>
    <w:rsid w:val="00000552"/>
    <w:rsid w:val="00000678"/>
    <w:rsid w:val="000007F5"/>
    <w:rsid w:val="00000824"/>
    <w:rsid w:val="00000956"/>
    <w:rsid w:val="00000A04"/>
    <w:rsid w:val="00000BC6"/>
    <w:rsid w:val="00000F8C"/>
    <w:rsid w:val="00001180"/>
    <w:rsid w:val="00001451"/>
    <w:rsid w:val="0000183F"/>
    <w:rsid w:val="00001B0A"/>
    <w:rsid w:val="00001C9B"/>
    <w:rsid w:val="00002099"/>
    <w:rsid w:val="000020A5"/>
    <w:rsid w:val="00002597"/>
    <w:rsid w:val="000027FF"/>
    <w:rsid w:val="000028C9"/>
    <w:rsid w:val="00002CA0"/>
    <w:rsid w:val="00003207"/>
    <w:rsid w:val="00003742"/>
    <w:rsid w:val="00003777"/>
    <w:rsid w:val="00003A25"/>
    <w:rsid w:val="00003B10"/>
    <w:rsid w:val="00004042"/>
    <w:rsid w:val="000040FB"/>
    <w:rsid w:val="00004293"/>
    <w:rsid w:val="00004363"/>
    <w:rsid w:val="0000444D"/>
    <w:rsid w:val="00004467"/>
    <w:rsid w:val="00004A0C"/>
    <w:rsid w:val="00004AEB"/>
    <w:rsid w:val="00004C05"/>
    <w:rsid w:val="00004E82"/>
    <w:rsid w:val="0000558F"/>
    <w:rsid w:val="0000563B"/>
    <w:rsid w:val="0000563F"/>
    <w:rsid w:val="000056A3"/>
    <w:rsid w:val="00005B6E"/>
    <w:rsid w:val="00005E64"/>
    <w:rsid w:val="00005F08"/>
    <w:rsid w:val="00005FFE"/>
    <w:rsid w:val="00006087"/>
    <w:rsid w:val="000062B4"/>
    <w:rsid w:val="000066CB"/>
    <w:rsid w:val="00006A5B"/>
    <w:rsid w:val="00006B0B"/>
    <w:rsid w:val="00006E0B"/>
    <w:rsid w:val="00007004"/>
    <w:rsid w:val="0000703B"/>
    <w:rsid w:val="000070E6"/>
    <w:rsid w:val="00007168"/>
    <w:rsid w:val="00007351"/>
    <w:rsid w:val="00007601"/>
    <w:rsid w:val="00007849"/>
    <w:rsid w:val="00007905"/>
    <w:rsid w:val="00007A73"/>
    <w:rsid w:val="00007C02"/>
    <w:rsid w:val="00007D4A"/>
    <w:rsid w:val="00007E32"/>
    <w:rsid w:val="00007E91"/>
    <w:rsid w:val="00007F37"/>
    <w:rsid w:val="00007F89"/>
    <w:rsid w:val="00010010"/>
    <w:rsid w:val="00010058"/>
    <w:rsid w:val="000104A1"/>
    <w:rsid w:val="000104BA"/>
    <w:rsid w:val="00010645"/>
    <w:rsid w:val="00010970"/>
    <w:rsid w:val="00010CE2"/>
    <w:rsid w:val="00010DA2"/>
    <w:rsid w:val="00011261"/>
    <w:rsid w:val="00011773"/>
    <w:rsid w:val="000119F6"/>
    <w:rsid w:val="00011A00"/>
    <w:rsid w:val="00011C89"/>
    <w:rsid w:val="0001260B"/>
    <w:rsid w:val="00012896"/>
    <w:rsid w:val="00012A62"/>
    <w:rsid w:val="00012CA6"/>
    <w:rsid w:val="00012DC2"/>
    <w:rsid w:val="0001315A"/>
    <w:rsid w:val="000139B5"/>
    <w:rsid w:val="00013C77"/>
    <w:rsid w:val="00013C7F"/>
    <w:rsid w:val="00013FBA"/>
    <w:rsid w:val="0001408B"/>
    <w:rsid w:val="00014124"/>
    <w:rsid w:val="0001425E"/>
    <w:rsid w:val="000142B3"/>
    <w:rsid w:val="0001464D"/>
    <w:rsid w:val="0001484B"/>
    <w:rsid w:val="000148A7"/>
    <w:rsid w:val="00014A6B"/>
    <w:rsid w:val="00014C3E"/>
    <w:rsid w:val="00014C6E"/>
    <w:rsid w:val="00014F2D"/>
    <w:rsid w:val="0001527F"/>
    <w:rsid w:val="000152DE"/>
    <w:rsid w:val="0001558C"/>
    <w:rsid w:val="000156C4"/>
    <w:rsid w:val="00015A8F"/>
    <w:rsid w:val="00016176"/>
    <w:rsid w:val="00016331"/>
    <w:rsid w:val="00016585"/>
    <w:rsid w:val="00016CAF"/>
    <w:rsid w:val="00016E15"/>
    <w:rsid w:val="00016E42"/>
    <w:rsid w:val="00016F1A"/>
    <w:rsid w:val="000170CC"/>
    <w:rsid w:val="00017103"/>
    <w:rsid w:val="000173B5"/>
    <w:rsid w:val="00017483"/>
    <w:rsid w:val="000177FD"/>
    <w:rsid w:val="00017ABB"/>
    <w:rsid w:val="00017D23"/>
    <w:rsid w:val="00020264"/>
    <w:rsid w:val="000207A7"/>
    <w:rsid w:val="00020CED"/>
    <w:rsid w:val="00020E62"/>
    <w:rsid w:val="00021452"/>
    <w:rsid w:val="000218FF"/>
    <w:rsid w:val="00021973"/>
    <w:rsid w:val="0002224D"/>
    <w:rsid w:val="00022600"/>
    <w:rsid w:val="00022607"/>
    <w:rsid w:val="00022C14"/>
    <w:rsid w:val="0002352B"/>
    <w:rsid w:val="0002354E"/>
    <w:rsid w:val="00023824"/>
    <w:rsid w:val="00023DA4"/>
    <w:rsid w:val="00023E98"/>
    <w:rsid w:val="00024828"/>
    <w:rsid w:val="00024985"/>
    <w:rsid w:val="00024A1C"/>
    <w:rsid w:val="00024B25"/>
    <w:rsid w:val="00024BA4"/>
    <w:rsid w:val="00025955"/>
    <w:rsid w:val="000259EB"/>
    <w:rsid w:val="00025AF4"/>
    <w:rsid w:val="00025B26"/>
    <w:rsid w:val="00025C17"/>
    <w:rsid w:val="00025D16"/>
    <w:rsid w:val="00026282"/>
    <w:rsid w:val="000263B9"/>
    <w:rsid w:val="0002654E"/>
    <w:rsid w:val="00026683"/>
    <w:rsid w:val="000266DB"/>
    <w:rsid w:val="00026758"/>
    <w:rsid w:val="000267E2"/>
    <w:rsid w:val="00026A3C"/>
    <w:rsid w:val="00026DD5"/>
    <w:rsid w:val="00026F0D"/>
    <w:rsid w:val="00026F5A"/>
    <w:rsid w:val="00026F61"/>
    <w:rsid w:val="0002700C"/>
    <w:rsid w:val="00027696"/>
    <w:rsid w:val="000276C5"/>
    <w:rsid w:val="00027838"/>
    <w:rsid w:val="00027A53"/>
    <w:rsid w:val="00027AAF"/>
    <w:rsid w:val="00027F8C"/>
    <w:rsid w:val="0003023B"/>
    <w:rsid w:val="0003023F"/>
    <w:rsid w:val="000302F2"/>
    <w:rsid w:val="00030433"/>
    <w:rsid w:val="00030DCA"/>
    <w:rsid w:val="000312FE"/>
    <w:rsid w:val="00031689"/>
    <w:rsid w:val="000319AE"/>
    <w:rsid w:val="00031B01"/>
    <w:rsid w:val="00031B8C"/>
    <w:rsid w:val="00031FCB"/>
    <w:rsid w:val="0003206B"/>
    <w:rsid w:val="00032570"/>
    <w:rsid w:val="0003260F"/>
    <w:rsid w:val="00032615"/>
    <w:rsid w:val="000326A0"/>
    <w:rsid w:val="0003274B"/>
    <w:rsid w:val="00032880"/>
    <w:rsid w:val="00032999"/>
    <w:rsid w:val="000329C2"/>
    <w:rsid w:val="00032A07"/>
    <w:rsid w:val="00032B39"/>
    <w:rsid w:val="00032BB6"/>
    <w:rsid w:val="00032E01"/>
    <w:rsid w:val="0003304E"/>
    <w:rsid w:val="0003316A"/>
    <w:rsid w:val="000333C4"/>
    <w:rsid w:val="00033732"/>
    <w:rsid w:val="0003382A"/>
    <w:rsid w:val="000338E2"/>
    <w:rsid w:val="00033BF3"/>
    <w:rsid w:val="00033CAC"/>
    <w:rsid w:val="00033E57"/>
    <w:rsid w:val="00033FD2"/>
    <w:rsid w:val="00034130"/>
    <w:rsid w:val="0003416B"/>
    <w:rsid w:val="000347E5"/>
    <w:rsid w:val="00034980"/>
    <w:rsid w:val="00034C00"/>
    <w:rsid w:val="00034E27"/>
    <w:rsid w:val="00034F12"/>
    <w:rsid w:val="0003508A"/>
    <w:rsid w:val="000351CE"/>
    <w:rsid w:val="00035411"/>
    <w:rsid w:val="0003544D"/>
    <w:rsid w:val="00035814"/>
    <w:rsid w:val="00035906"/>
    <w:rsid w:val="000359A2"/>
    <w:rsid w:val="00035FA1"/>
    <w:rsid w:val="000365F5"/>
    <w:rsid w:val="00036834"/>
    <w:rsid w:val="00036976"/>
    <w:rsid w:val="00036C29"/>
    <w:rsid w:val="00037040"/>
    <w:rsid w:val="0003726E"/>
    <w:rsid w:val="000372AB"/>
    <w:rsid w:val="00037390"/>
    <w:rsid w:val="000374D2"/>
    <w:rsid w:val="0003750C"/>
    <w:rsid w:val="0003772E"/>
    <w:rsid w:val="00037748"/>
    <w:rsid w:val="00037BC3"/>
    <w:rsid w:val="00037C9F"/>
    <w:rsid w:val="00037F4B"/>
    <w:rsid w:val="0004037F"/>
    <w:rsid w:val="00040F58"/>
    <w:rsid w:val="0004106D"/>
    <w:rsid w:val="000412B2"/>
    <w:rsid w:val="00041446"/>
    <w:rsid w:val="000414B6"/>
    <w:rsid w:val="000416E7"/>
    <w:rsid w:val="000417FE"/>
    <w:rsid w:val="00041A15"/>
    <w:rsid w:val="00041D81"/>
    <w:rsid w:val="000420F9"/>
    <w:rsid w:val="0004233D"/>
    <w:rsid w:val="00042350"/>
    <w:rsid w:val="0004244B"/>
    <w:rsid w:val="00042535"/>
    <w:rsid w:val="00042798"/>
    <w:rsid w:val="000430EC"/>
    <w:rsid w:val="00043292"/>
    <w:rsid w:val="000432A0"/>
    <w:rsid w:val="0004337F"/>
    <w:rsid w:val="000433F7"/>
    <w:rsid w:val="00043489"/>
    <w:rsid w:val="000437CD"/>
    <w:rsid w:val="0004390B"/>
    <w:rsid w:val="00043ACE"/>
    <w:rsid w:val="00043B39"/>
    <w:rsid w:val="0004424B"/>
    <w:rsid w:val="000442D5"/>
    <w:rsid w:val="000443FD"/>
    <w:rsid w:val="000449A9"/>
    <w:rsid w:val="00044C78"/>
    <w:rsid w:val="00044CC2"/>
    <w:rsid w:val="00044F88"/>
    <w:rsid w:val="000452B9"/>
    <w:rsid w:val="000455B0"/>
    <w:rsid w:val="000457B1"/>
    <w:rsid w:val="00045AD2"/>
    <w:rsid w:val="00045C09"/>
    <w:rsid w:val="000463CC"/>
    <w:rsid w:val="00046644"/>
    <w:rsid w:val="000468CE"/>
    <w:rsid w:val="00046C25"/>
    <w:rsid w:val="00046D6F"/>
    <w:rsid w:val="00046D74"/>
    <w:rsid w:val="00046DED"/>
    <w:rsid w:val="00046E12"/>
    <w:rsid w:val="00046EE0"/>
    <w:rsid w:val="00047014"/>
    <w:rsid w:val="00047056"/>
    <w:rsid w:val="0004728D"/>
    <w:rsid w:val="000473D8"/>
    <w:rsid w:val="0004751B"/>
    <w:rsid w:val="00047E93"/>
    <w:rsid w:val="00050317"/>
    <w:rsid w:val="00050486"/>
    <w:rsid w:val="000505EB"/>
    <w:rsid w:val="000506FF"/>
    <w:rsid w:val="00050983"/>
    <w:rsid w:val="00050AA5"/>
    <w:rsid w:val="00050E4D"/>
    <w:rsid w:val="00051220"/>
    <w:rsid w:val="00051269"/>
    <w:rsid w:val="00051271"/>
    <w:rsid w:val="000514EF"/>
    <w:rsid w:val="00051626"/>
    <w:rsid w:val="00051638"/>
    <w:rsid w:val="00051854"/>
    <w:rsid w:val="00051C3E"/>
    <w:rsid w:val="000522DE"/>
    <w:rsid w:val="00052AED"/>
    <w:rsid w:val="00052B13"/>
    <w:rsid w:val="00052E60"/>
    <w:rsid w:val="00052E67"/>
    <w:rsid w:val="00052F30"/>
    <w:rsid w:val="00053040"/>
    <w:rsid w:val="000530F1"/>
    <w:rsid w:val="0005374C"/>
    <w:rsid w:val="00053A77"/>
    <w:rsid w:val="00053DD1"/>
    <w:rsid w:val="00054354"/>
    <w:rsid w:val="0005447B"/>
    <w:rsid w:val="000544C9"/>
    <w:rsid w:val="000545E5"/>
    <w:rsid w:val="000546C5"/>
    <w:rsid w:val="00054BA0"/>
    <w:rsid w:val="00054CED"/>
    <w:rsid w:val="000550AD"/>
    <w:rsid w:val="000551FF"/>
    <w:rsid w:val="000552A3"/>
    <w:rsid w:val="000554DB"/>
    <w:rsid w:val="000555B5"/>
    <w:rsid w:val="000555D1"/>
    <w:rsid w:val="00055942"/>
    <w:rsid w:val="000559CE"/>
    <w:rsid w:val="00055A70"/>
    <w:rsid w:val="00055A9A"/>
    <w:rsid w:val="00055C80"/>
    <w:rsid w:val="00055CB1"/>
    <w:rsid w:val="00055CE0"/>
    <w:rsid w:val="00055F2D"/>
    <w:rsid w:val="000566B6"/>
    <w:rsid w:val="00056AD2"/>
    <w:rsid w:val="00056C07"/>
    <w:rsid w:val="00056C39"/>
    <w:rsid w:val="000570BC"/>
    <w:rsid w:val="000573B8"/>
    <w:rsid w:val="0005770F"/>
    <w:rsid w:val="0005787C"/>
    <w:rsid w:val="00057932"/>
    <w:rsid w:val="00057AE7"/>
    <w:rsid w:val="00057B7C"/>
    <w:rsid w:val="00057DC0"/>
    <w:rsid w:val="00057E48"/>
    <w:rsid w:val="00057F52"/>
    <w:rsid w:val="000601B5"/>
    <w:rsid w:val="000601E3"/>
    <w:rsid w:val="00060285"/>
    <w:rsid w:val="00060558"/>
    <w:rsid w:val="00060610"/>
    <w:rsid w:val="000609A4"/>
    <w:rsid w:val="000609C7"/>
    <w:rsid w:val="00060F17"/>
    <w:rsid w:val="0006115C"/>
    <w:rsid w:val="00061DB5"/>
    <w:rsid w:val="00061E8C"/>
    <w:rsid w:val="0006220A"/>
    <w:rsid w:val="000622E0"/>
    <w:rsid w:val="0006297B"/>
    <w:rsid w:val="00062D5B"/>
    <w:rsid w:val="00062EC0"/>
    <w:rsid w:val="00063081"/>
    <w:rsid w:val="000637A4"/>
    <w:rsid w:val="000637C8"/>
    <w:rsid w:val="00063926"/>
    <w:rsid w:val="00063DB9"/>
    <w:rsid w:val="00063F39"/>
    <w:rsid w:val="00064182"/>
    <w:rsid w:val="000641E2"/>
    <w:rsid w:val="00064266"/>
    <w:rsid w:val="00064291"/>
    <w:rsid w:val="000645EE"/>
    <w:rsid w:val="000646D1"/>
    <w:rsid w:val="0006471C"/>
    <w:rsid w:val="00064799"/>
    <w:rsid w:val="00064815"/>
    <w:rsid w:val="00064AC1"/>
    <w:rsid w:val="00065109"/>
    <w:rsid w:val="0006518D"/>
    <w:rsid w:val="00065368"/>
    <w:rsid w:val="0006542F"/>
    <w:rsid w:val="00065469"/>
    <w:rsid w:val="000654EC"/>
    <w:rsid w:val="0006553B"/>
    <w:rsid w:val="00065633"/>
    <w:rsid w:val="000657D8"/>
    <w:rsid w:val="00065F74"/>
    <w:rsid w:val="000662A4"/>
    <w:rsid w:val="0006635D"/>
    <w:rsid w:val="000663A2"/>
    <w:rsid w:val="00066477"/>
    <w:rsid w:val="00066560"/>
    <w:rsid w:val="000665EE"/>
    <w:rsid w:val="000669E8"/>
    <w:rsid w:val="00066A84"/>
    <w:rsid w:val="00066BDE"/>
    <w:rsid w:val="00066CFF"/>
    <w:rsid w:val="00066EAA"/>
    <w:rsid w:val="000673C4"/>
    <w:rsid w:val="0006741B"/>
    <w:rsid w:val="0006753F"/>
    <w:rsid w:val="00067709"/>
    <w:rsid w:val="00067E57"/>
    <w:rsid w:val="00067F43"/>
    <w:rsid w:val="00067FDC"/>
    <w:rsid w:val="00070177"/>
    <w:rsid w:val="000703CB"/>
    <w:rsid w:val="00070485"/>
    <w:rsid w:val="000704B3"/>
    <w:rsid w:val="00070655"/>
    <w:rsid w:val="000709C5"/>
    <w:rsid w:val="00070AE4"/>
    <w:rsid w:val="00070B1A"/>
    <w:rsid w:val="000712AC"/>
    <w:rsid w:val="000713CF"/>
    <w:rsid w:val="00071611"/>
    <w:rsid w:val="0007183C"/>
    <w:rsid w:val="00071B06"/>
    <w:rsid w:val="00071C91"/>
    <w:rsid w:val="00071D7A"/>
    <w:rsid w:val="00071E5D"/>
    <w:rsid w:val="00071E9B"/>
    <w:rsid w:val="00071F09"/>
    <w:rsid w:val="000720D3"/>
    <w:rsid w:val="0007211F"/>
    <w:rsid w:val="00072289"/>
    <w:rsid w:val="0007232E"/>
    <w:rsid w:val="000726EA"/>
    <w:rsid w:val="00072795"/>
    <w:rsid w:val="000728A7"/>
    <w:rsid w:val="00072AA6"/>
    <w:rsid w:val="00072B91"/>
    <w:rsid w:val="00072DDA"/>
    <w:rsid w:val="00072E08"/>
    <w:rsid w:val="0007320F"/>
    <w:rsid w:val="00073428"/>
    <w:rsid w:val="0007354D"/>
    <w:rsid w:val="000736EF"/>
    <w:rsid w:val="00073955"/>
    <w:rsid w:val="00073AFF"/>
    <w:rsid w:val="00073C8F"/>
    <w:rsid w:val="00073F5F"/>
    <w:rsid w:val="00074481"/>
    <w:rsid w:val="000744A7"/>
    <w:rsid w:val="000744C9"/>
    <w:rsid w:val="0007471B"/>
    <w:rsid w:val="00074854"/>
    <w:rsid w:val="00074C52"/>
    <w:rsid w:val="00074D10"/>
    <w:rsid w:val="00074D1E"/>
    <w:rsid w:val="00074D23"/>
    <w:rsid w:val="00074E15"/>
    <w:rsid w:val="00074E1E"/>
    <w:rsid w:val="00074F16"/>
    <w:rsid w:val="00074F53"/>
    <w:rsid w:val="00075297"/>
    <w:rsid w:val="00075896"/>
    <w:rsid w:val="00075C97"/>
    <w:rsid w:val="00075F48"/>
    <w:rsid w:val="0007618D"/>
    <w:rsid w:val="00076331"/>
    <w:rsid w:val="0007685C"/>
    <w:rsid w:val="00076926"/>
    <w:rsid w:val="00076A16"/>
    <w:rsid w:val="00076A3B"/>
    <w:rsid w:val="00076BAD"/>
    <w:rsid w:val="00076C4E"/>
    <w:rsid w:val="00076CB7"/>
    <w:rsid w:val="00076D41"/>
    <w:rsid w:val="00076DA5"/>
    <w:rsid w:val="00076FC1"/>
    <w:rsid w:val="0007716D"/>
    <w:rsid w:val="00077282"/>
    <w:rsid w:val="00077291"/>
    <w:rsid w:val="000775BF"/>
    <w:rsid w:val="00077611"/>
    <w:rsid w:val="0007775B"/>
    <w:rsid w:val="00077825"/>
    <w:rsid w:val="0008000F"/>
    <w:rsid w:val="000805E0"/>
    <w:rsid w:val="000805F2"/>
    <w:rsid w:val="0008082B"/>
    <w:rsid w:val="00080AD4"/>
    <w:rsid w:val="00080D54"/>
    <w:rsid w:val="000810AA"/>
    <w:rsid w:val="000810EF"/>
    <w:rsid w:val="000815F7"/>
    <w:rsid w:val="000816FF"/>
    <w:rsid w:val="00081923"/>
    <w:rsid w:val="00081A52"/>
    <w:rsid w:val="00081C35"/>
    <w:rsid w:val="00081E29"/>
    <w:rsid w:val="000828C9"/>
    <w:rsid w:val="00082A74"/>
    <w:rsid w:val="00082ACF"/>
    <w:rsid w:val="00082AFB"/>
    <w:rsid w:val="00082D43"/>
    <w:rsid w:val="00082E80"/>
    <w:rsid w:val="00082E89"/>
    <w:rsid w:val="00083122"/>
    <w:rsid w:val="00083239"/>
    <w:rsid w:val="00083847"/>
    <w:rsid w:val="00083F6C"/>
    <w:rsid w:val="00084000"/>
    <w:rsid w:val="00084117"/>
    <w:rsid w:val="00084199"/>
    <w:rsid w:val="00084386"/>
    <w:rsid w:val="00084513"/>
    <w:rsid w:val="00084752"/>
    <w:rsid w:val="00084B87"/>
    <w:rsid w:val="00084BD5"/>
    <w:rsid w:val="00084EF2"/>
    <w:rsid w:val="0008514F"/>
    <w:rsid w:val="0008533B"/>
    <w:rsid w:val="000853D4"/>
    <w:rsid w:val="00085740"/>
    <w:rsid w:val="00085870"/>
    <w:rsid w:val="00085AD0"/>
    <w:rsid w:val="00085B95"/>
    <w:rsid w:val="00085C82"/>
    <w:rsid w:val="00085D4D"/>
    <w:rsid w:val="00085D9F"/>
    <w:rsid w:val="000862F3"/>
    <w:rsid w:val="000864F3"/>
    <w:rsid w:val="00086548"/>
    <w:rsid w:val="00086A86"/>
    <w:rsid w:val="00086DC5"/>
    <w:rsid w:val="000874DD"/>
    <w:rsid w:val="0008789A"/>
    <w:rsid w:val="0008795D"/>
    <w:rsid w:val="00087BC6"/>
    <w:rsid w:val="00087EFE"/>
    <w:rsid w:val="00087FAE"/>
    <w:rsid w:val="0009002C"/>
    <w:rsid w:val="00090340"/>
    <w:rsid w:val="00090364"/>
    <w:rsid w:val="000903E9"/>
    <w:rsid w:val="00090C34"/>
    <w:rsid w:val="00090C7F"/>
    <w:rsid w:val="00090CE9"/>
    <w:rsid w:val="000912B1"/>
    <w:rsid w:val="00091428"/>
    <w:rsid w:val="00091462"/>
    <w:rsid w:val="000914E8"/>
    <w:rsid w:val="0009168A"/>
    <w:rsid w:val="00091903"/>
    <w:rsid w:val="0009198F"/>
    <w:rsid w:val="00092213"/>
    <w:rsid w:val="00092279"/>
    <w:rsid w:val="000925AF"/>
    <w:rsid w:val="0009263B"/>
    <w:rsid w:val="000926B7"/>
    <w:rsid w:val="000927FF"/>
    <w:rsid w:val="00092955"/>
    <w:rsid w:val="00092B10"/>
    <w:rsid w:val="0009331D"/>
    <w:rsid w:val="0009335A"/>
    <w:rsid w:val="00093539"/>
    <w:rsid w:val="000935EE"/>
    <w:rsid w:val="000936D0"/>
    <w:rsid w:val="00093D16"/>
    <w:rsid w:val="000941D8"/>
    <w:rsid w:val="00094C21"/>
    <w:rsid w:val="0009500D"/>
    <w:rsid w:val="00095096"/>
    <w:rsid w:val="000951AC"/>
    <w:rsid w:val="00095325"/>
    <w:rsid w:val="0009542C"/>
    <w:rsid w:val="00095715"/>
    <w:rsid w:val="0009586A"/>
    <w:rsid w:val="00095B5F"/>
    <w:rsid w:val="00095BE6"/>
    <w:rsid w:val="0009693D"/>
    <w:rsid w:val="00096B2B"/>
    <w:rsid w:val="00096CB7"/>
    <w:rsid w:val="00097349"/>
    <w:rsid w:val="00097372"/>
    <w:rsid w:val="0009741A"/>
    <w:rsid w:val="00097622"/>
    <w:rsid w:val="00097703"/>
    <w:rsid w:val="00097AA8"/>
    <w:rsid w:val="000A00EB"/>
    <w:rsid w:val="000A0823"/>
    <w:rsid w:val="000A0AEB"/>
    <w:rsid w:val="000A0B64"/>
    <w:rsid w:val="000A0BCE"/>
    <w:rsid w:val="000A0C05"/>
    <w:rsid w:val="000A0C3C"/>
    <w:rsid w:val="000A115D"/>
    <w:rsid w:val="000A156F"/>
    <w:rsid w:val="000A1BC7"/>
    <w:rsid w:val="000A2123"/>
    <w:rsid w:val="000A2181"/>
    <w:rsid w:val="000A23A1"/>
    <w:rsid w:val="000A241D"/>
    <w:rsid w:val="000A295B"/>
    <w:rsid w:val="000A2A8F"/>
    <w:rsid w:val="000A2C95"/>
    <w:rsid w:val="000A2D0B"/>
    <w:rsid w:val="000A2DF0"/>
    <w:rsid w:val="000A300C"/>
    <w:rsid w:val="000A3076"/>
    <w:rsid w:val="000A3181"/>
    <w:rsid w:val="000A31F2"/>
    <w:rsid w:val="000A335D"/>
    <w:rsid w:val="000A3523"/>
    <w:rsid w:val="000A36B6"/>
    <w:rsid w:val="000A36D7"/>
    <w:rsid w:val="000A37CB"/>
    <w:rsid w:val="000A3BB7"/>
    <w:rsid w:val="000A3C84"/>
    <w:rsid w:val="000A3CBD"/>
    <w:rsid w:val="000A3DAB"/>
    <w:rsid w:val="000A3E69"/>
    <w:rsid w:val="000A3F43"/>
    <w:rsid w:val="000A4039"/>
    <w:rsid w:val="000A421A"/>
    <w:rsid w:val="000A4565"/>
    <w:rsid w:val="000A4AAC"/>
    <w:rsid w:val="000A4ABE"/>
    <w:rsid w:val="000A51AB"/>
    <w:rsid w:val="000A5340"/>
    <w:rsid w:val="000A560D"/>
    <w:rsid w:val="000A5725"/>
    <w:rsid w:val="000A574A"/>
    <w:rsid w:val="000A5776"/>
    <w:rsid w:val="000A59FA"/>
    <w:rsid w:val="000A5AA7"/>
    <w:rsid w:val="000A5B3D"/>
    <w:rsid w:val="000A5EA6"/>
    <w:rsid w:val="000A6030"/>
    <w:rsid w:val="000A60F7"/>
    <w:rsid w:val="000A61C4"/>
    <w:rsid w:val="000A63CE"/>
    <w:rsid w:val="000A644E"/>
    <w:rsid w:val="000A6542"/>
    <w:rsid w:val="000A6547"/>
    <w:rsid w:val="000A6625"/>
    <w:rsid w:val="000A68E3"/>
    <w:rsid w:val="000A6A3F"/>
    <w:rsid w:val="000A723B"/>
    <w:rsid w:val="000A736D"/>
    <w:rsid w:val="000A75CD"/>
    <w:rsid w:val="000A7664"/>
    <w:rsid w:val="000A77EE"/>
    <w:rsid w:val="000A7DAD"/>
    <w:rsid w:val="000B03CE"/>
    <w:rsid w:val="000B0500"/>
    <w:rsid w:val="000B05B8"/>
    <w:rsid w:val="000B05E0"/>
    <w:rsid w:val="000B06EA"/>
    <w:rsid w:val="000B0709"/>
    <w:rsid w:val="000B095F"/>
    <w:rsid w:val="000B0A35"/>
    <w:rsid w:val="000B0C5B"/>
    <w:rsid w:val="000B0EE1"/>
    <w:rsid w:val="000B13D0"/>
    <w:rsid w:val="000B149C"/>
    <w:rsid w:val="000B14B8"/>
    <w:rsid w:val="000B1559"/>
    <w:rsid w:val="000B174A"/>
    <w:rsid w:val="000B178F"/>
    <w:rsid w:val="000B188D"/>
    <w:rsid w:val="000B1AC4"/>
    <w:rsid w:val="000B209F"/>
    <w:rsid w:val="000B20D9"/>
    <w:rsid w:val="000B29C5"/>
    <w:rsid w:val="000B2A8A"/>
    <w:rsid w:val="000B2A9C"/>
    <w:rsid w:val="000B2C77"/>
    <w:rsid w:val="000B30ED"/>
    <w:rsid w:val="000B3534"/>
    <w:rsid w:val="000B3769"/>
    <w:rsid w:val="000B387D"/>
    <w:rsid w:val="000B3C34"/>
    <w:rsid w:val="000B3F55"/>
    <w:rsid w:val="000B41A2"/>
    <w:rsid w:val="000B4469"/>
    <w:rsid w:val="000B4512"/>
    <w:rsid w:val="000B46E4"/>
    <w:rsid w:val="000B4B3B"/>
    <w:rsid w:val="000B4CA2"/>
    <w:rsid w:val="000B4E46"/>
    <w:rsid w:val="000B4F26"/>
    <w:rsid w:val="000B504E"/>
    <w:rsid w:val="000B5223"/>
    <w:rsid w:val="000B52D0"/>
    <w:rsid w:val="000B561F"/>
    <w:rsid w:val="000B568D"/>
    <w:rsid w:val="000B5817"/>
    <w:rsid w:val="000B59CF"/>
    <w:rsid w:val="000B5CBB"/>
    <w:rsid w:val="000B5D1D"/>
    <w:rsid w:val="000B5D43"/>
    <w:rsid w:val="000B5E2E"/>
    <w:rsid w:val="000B5FF5"/>
    <w:rsid w:val="000B622E"/>
    <w:rsid w:val="000B64AF"/>
    <w:rsid w:val="000B6657"/>
    <w:rsid w:val="000B666F"/>
    <w:rsid w:val="000B67D2"/>
    <w:rsid w:val="000B6882"/>
    <w:rsid w:val="000B68F3"/>
    <w:rsid w:val="000B69FB"/>
    <w:rsid w:val="000B6AA7"/>
    <w:rsid w:val="000B6ADE"/>
    <w:rsid w:val="000B6B57"/>
    <w:rsid w:val="000B6FC3"/>
    <w:rsid w:val="000B6FE2"/>
    <w:rsid w:val="000B700A"/>
    <w:rsid w:val="000B71DB"/>
    <w:rsid w:val="000B7366"/>
    <w:rsid w:val="000B73AB"/>
    <w:rsid w:val="000B7486"/>
    <w:rsid w:val="000B7513"/>
    <w:rsid w:val="000B7BE6"/>
    <w:rsid w:val="000B7CA3"/>
    <w:rsid w:val="000B7CAE"/>
    <w:rsid w:val="000C00BD"/>
    <w:rsid w:val="000C0145"/>
    <w:rsid w:val="000C0228"/>
    <w:rsid w:val="000C0286"/>
    <w:rsid w:val="000C070F"/>
    <w:rsid w:val="000C0934"/>
    <w:rsid w:val="000C0E12"/>
    <w:rsid w:val="000C128F"/>
    <w:rsid w:val="000C1416"/>
    <w:rsid w:val="000C15FE"/>
    <w:rsid w:val="000C1A58"/>
    <w:rsid w:val="000C1B07"/>
    <w:rsid w:val="000C1C36"/>
    <w:rsid w:val="000C1E47"/>
    <w:rsid w:val="000C20A8"/>
    <w:rsid w:val="000C20CF"/>
    <w:rsid w:val="000C222E"/>
    <w:rsid w:val="000C237C"/>
    <w:rsid w:val="000C24AB"/>
    <w:rsid w:val="000C2DB0"/>
    <w:rsid w:val="000C32B3"/>
    <w:rsid w:val="000C3399"/>
    <w:rsid w:val="000C3604"/>
    <w:rsid w:val="000C374B"/>
    <w:rsid w:val="000C3798"/>
    <w:rsid w:val="000C3963"/>
    <w:rsid w:val="000C3A57"/>
    <w:rsid w:val="000C3C46"/>
    <w:rsid w:val="000C3E1E"/>
    <w:rsid w:val="000C3F69"/>
    <w:rsid w:val="000C418A"/>
    <w:rsid w:val="000C460F"/>
    <w:rsid w:val="000C464D"/>
    <w:rsid w:val="000C483D"/>
    <w:rsid w:val="000C49F6"/>
    <w:rsid w:val="000C4B01"/>
    <w:rsid w:val="000C4C8B"/>
    <w:rsid w:val="000C4ED4"/>
    <w:rsid w:val="000C5102"/>
    <w:rsid w:val="000C5451"/>
    <w:rsid w:val="000C5517"/>
    <w:rsid w:val="000C5AD6"/>
    <w:rsid w:val="000C5B56"/>
    <w:rsid w:val="000C5C51"/>
    <w:rsid w:val="000C5DB5"/>
    <w:rsid w:val="000C6007"/>
    <w:rsid w:val="000C6041"/>
    <w:rsid w:val="000C618A"/>
    <w:rsid w:val="000C6221"/>
    <w:rsid w:val="000C6633"/>
    <w:rsid w:val="000C6947"/>
    <w:rsid w:val="000C6AA4"/>
    <w:rsid w:val="000C6D29"/>
    <w:rsid w:val="000C6E74"/>
    <w:rsid w:val="000C6F15"/>
    <w:rsid w:val="000C7563"/>
    <w:rsid w:val="000C7704"/>
    <w:rsid w:val="000C7859"/>
    <w:rsid w:val="000C78E7"/>
    <w:rsid w:val="000C7967"/>
    <w:rsid w:val="000C7B98"/>
    <w:rsid w:val="000C7DC0"/>
    <w:rsid w:val="000D00DD"/>
    <w:rsid w:val="000D0255"/>
    <w:rsid w:val="000D04B2"/>
    <w:rsid w:val="000D0501"/>
    <w:rsid w:val="000D055D"/>
    <w:rsid w:val="000D0C28"/>
    <w:rsid w:val="000D101C"/>
    <w:rsid w:val="000D13D9"/>
    <w:rsid w:val="000D14C5"/>
    <w:rsid w:val="000D1587"/>
    <w:rsid w:val="000D16C1"/>
    <w:rsid w:val="000D1701"/>
    <w:rsid w:val="000D1934"/>
    <w:rsid w:val="000D1A9F"/>
    <w:rsid w:val="000D1D80"/>
    <w:rsid w:val="000D1E56"/>
    <w:rsid w:val="000D203E"/>
    <w:rsid w:val="000D21E2"/>
    <w:rsid w:val="000D23AC"/>
    <w:rsid w:val="000D264A"/>
    <w:rsid w:val="000D26B2"/>
    <w:rsid w:val="000D2B82"/>
    <w:rsid w:val="000D2C33"/>
    <w:rsid w:val="000D2D4D"/>
    <w:rsid w:val="000D2DA6"/>
    <w:rsid w:val="000D34B6"/>
    <w:rsid w:val="000D38C0"/>
    <w:rsid w:val="000D3979"/>
    <w:rsid w:val="000D3A98"/>
    <w:rsid w:val="000D3C04"/>
    <w:rsid w:val="000D3CEE"/>
    <w:rsid w:val="000D3FD2"/>
    <w:rsid w:val="000D3FE2"/>
    <w:rsid w:val="000D419F"/>
    <w:rsid w:val="000D4244"/>
    <w:rsid w:val="000D488D"/>
    <w:rsid w:val="000D498F"/>
    <w:rsid w:val="000D49C4"/>
    <w:rsid w:val="000D4A89"/>
    <w:rsid w:val="000D4C97"/>
    <w:rsid w:val="000D4E0D"/>
    <w:rsid w:val="000D520A"/>
    <w:rsid w:val="000D55D6"/>
    <w:rsid w:val="000D57CA"/>
    <w:rsid w:val="000D57E9"/>
    <w:rsid w:val="000D58CF"/>
    <w:rsid w:val="000D59A7"/>
    <w:rsid w:val="000D5D36"/>
    <w:rsid w:val="000D5ED3"/>
    <w:rsid w:val="000D6011"/>
    <w:rsid w:val="000D6262"/>
    <w:rsid w:val="000D63E4"/>
    <w:rsid w:val="000D6530"/>
    <w:rsid w:val="000D6627"/>
    <w:rsid w:val="000D6786"/>
    <w:rsid w:val="000D692D"/>
    <w:rsid w:val="000D6A27"/>
    <w:rsid w:val="000D6A89"/>
    <w:rsid w:val="000D6AAC"/>
    <w:rsid w:val="000D6B93"/>
    <w:rsid w:val="000D6C3A"/>
    <w:rsid w:val="000D6E4B"/>
    <w:rsid w:val="000D704B"/>
    <w:rsid w:val="000D7118"/>
    <w:rsid w:val="000D7279"/>
    <w:rsid w:val="000D7628"/>
    <w:rsid w:val="000D7A5A"/>
    <w:rsid w:val="000D7CBB"/>
    <w:rsid w:val="000D7E8B"/>
    <w:rsid w:val="000E01D9"/>
    <w:rsid w:val="000E0233"/>
    <w:rsid w:val="000E0343"/>
    <w:rsid w:val="000E0A6D"/>
    <w:rsid w:val="000E0CF6"/>
    <w:rsid w:val="000E0E5A"/>
    <w:rsid w:val="000E0EEA"/>
    <w:rsid w:val="000E0F14"/>
    <w:rsid w:val="000E0F3C"/>
    <w:rsid w:val="000E1173"/>
    <w:rsid w:val="000E1177"/>
    <w:rsid w:val="000E1314"/>
    <w:rsid w:val="000E13CC"/>
    <w:rsid w:val="000E140F"/>
    <w:rsid w:val="000E1788"/>
    <w:rsid w:val="000E1AE9"/>
    <w:rsid w:val="000E1BA3"/>
    <w:rsid w:val="000E1CFC"/>
    <w:rsid w:val="000E1F2E"/>
    <w:rsid w:val="000E2071"/>
    <w:rsid w:val="000E254B"/>
    <w:rsid w:val="000E2866"/>
    <w:rsid w:val="000E2AB5"/>
    <w:rsid w:val="000E2D77"/>
    <w:rsid w:val="000E3194"/>
    <w:rsid w:val="000E326C"/>
    <w:rsid w:val="000E33FD"/>
    <w:rsid w:val="000E3592"/>
    <w:rsid w:val="000E35EA"/>
    <w:rsid w:val="000E3C13"/>
    <w:rsid w:val="000E3D19"/>
    <w:rsid w:val="000E3F44"/>
    <w:rsid w:val="000E44EF"/>
    <w:rsid w:val="000E47EF"/>
    <w:rsid w:val="000E4A83"/>
    <w:rsid w:val="000E4C21"/>
    <w:rsid w:val="000E4E2A"/>
    <w:rsid w:val="000E4F8C"/>
    <w:rsid w:val="000E4F91"/>
    <w:rsid w:val="000E545D"/>
    <w:rsid w:val="000E54FC"/>
    <w:rsid w:val="000E55D1"/>
    <w:rsid w:val="000E5668"/>
    <w:rsid w:val="000E5706"/>
    <w:rsid w:val="000E5D30"/>
    <w:rsid w:val="000E5D5D"/>
    <w:rsid w:val="000E614A"/>
    <w:rsid w:val="000E63D0"/>
    <w:rsid w:val="000E66F5"/>
    <w:rsid w:val="000E694F"/>
    <w:rsid w:val="000E6A75"/>
    <w:rsid w:val="000E7318"/>
    <w:rsid w:val="000E731C"/>
    <w:rsid w:val="000E7524"/>
    <w:rsid w:val="000E75FC"/>
    <w:rsid w:val="000E76D2"/>
    <w:rsid w:val="000E7722"/>
    <w:rsid w:val="000E77FA"/>
    <w:rsid w:val="000E7878"/>
    <w:rsid w:val="000E7B34"/>
    <w:rsid w:val="000E7C0B"/>
    <w:rsid w:val="000E7D0D"/>
    <w:rsid w:val="000E7E5E"/>
    <w:rsid w:val="000E7F5C"/>
    <w:rsid w:val="000F00E1"/>
    <w:rsid w:val="000F0572"/>
    <w:rsid w:val="000F09D7"/>
    <w:rsid w:val="000F0ACB"/>
    <w:rsid w:val="000F102A"/>
    <w:rsid w:val="000F145D"/>
    <w:rsid w:val="000F1760"/>
    <w:rsid w:val="000F176C"/>
    <w:rsid w:val="000F18C2"/>
    <w:rsid w:val="000F1B5D"/>
    <w:rsid w:val="000F1D50"/>
    <w:rsid w:val="000F1F2C"/>
    <w:rsid w:val="000F2102"/>
    <w:rsid w:val="000F217D"/>
    <w:rsid w:val="000F24FC"/>
    <w:rsid w:val="000F2552"/>
    <w:rsid w:val="000F26FE"/>
    <w:rsid w:val="000F27E8"/>
    <w:rsid w:val="000F2A3F"/>
    <w:rsid w:val="000F3254"/>
    <w:rsid w:val="000F34D6"/>
    <w:rsid w:val="000F39C3"/>
    <w:rsid w:val="000F3BE5"/>
    <w:rsid w:val="000F3C9D"/>
    <w:rsid w:val="000F3DEA"/>
    <w:rsid w:val="000F3E6B"/>
    <w:rsid w:val="000F3FEF"/>
    <w:rsid w:val="000F42DF"/>
    <w:rsid w:val="000F46B1"/>
    <w:rsid w:val="000F48F9"/>
    <w:rsid w:val="000F4953"/>
    <w:rsid w:val="000F49EC"/>
    <w:rsid w:val="000F4A43"/>
    <w:rsid w:val="000F4CEB"/>
    <w:rsid w:val="000F4F74"/>
    <w:rsid w:val="000F53EF"/>
    <w:rsid w:val="000F572C"/>
    <w:rsid w:val="000F584E"/>
    <w:rsid w:val="000F5E1B"/>
    <w:rsid w:val="000F5E25"/>
    <w:rsid w:val="000F5EBE"/>
    <w:rsid w:val="000F5EC2"/>
    <w:rsid w:val="000F604D"/>
    <w:rsid w:val="000F60CF"/>
    <w:rsid w:val="000F60EB"/>
    <w:rsid w:val="000F61FB"/>
    <w:rsid w:val="000F649D"/>
    <w:rsid w:val="000F64EB"/>
    <w:rsid w:val="000F65D2"/>
    <w:rsid w:val="000F6951"/>
    <w:rsid w:val="000F6D09"/>
    <w:rsid w:val="000F6D42"/>
    <w:rsid w:val="000F6D74"/>
    <w:rsid w:val="000F6EE3"/>
    <w:rsid w:val="000F71A4"/>
    <w:rsid w:val="000F7627"/>
    <w:rsid w:val="000F772C"/>
    <w:rsid w:val="000F78EA"/>
    <w:rsid w:val="000F7AAF"/>
    <w:rsid w:val="000F7C89"/>
    <w:rsid w:val="000F7F02"/>
    <w:rsid w:val="000F7F36"/>
    <w:rsid w:val="001002B4"/>
    <w:rsid w:val="00100716"/>
    <w:rsid w:val="001007C3"/>
    <w:rsid w:val="00100853"/>
    <w:rsid w:val="00100E13"/>
    <w:rsid w:val="00100FB4"/>
    <w:rsid w:val="001010B7"/>
    <w:rsid w:val="001012FA"/>
    <w:rsid w:val="001013F1"/>
    <w:rsid w:val="00101673"/>
    <w:rsid w:val="00101749"/>
    <w:rsid w:val="00101C40"/>
    <w:rsid w:val="00101EA9"/>
    <w:rsid w:val="001020B3"/>
    <w:rsid w:val="00102423"/>
    <w:rsid w:val="00102603"/>
    <w:rsid w:val="001026A2"/>
    <w:rsid w:val="001026FC"/>
    <w:rsid w:val="00102A32"/>
    <w:rsid w:val="00102C97"/>
    <w:rsid w:val="00102EA1"/>
    <w:rsid w:val="00102F4D"/>
    <w:rsid w:val="001031B0"/>
    <w:rsid w:val="00103360"/>
    <w:rsid w:val="0010360D"/>
    <w:rsid w:val="001036F5"/>
    <w:rsid w:val="00103F68"/>
    <w:rsid w:val="001040FB"/>
    <w:rsid w:val="001045A8"/>
    <w:rsid w:val="00104913"/>
    <w:rsid w:val="00104AB3"/>
    <w:rsid w:val="00104C14"/>
    <w:rsid w:val="00104D21"/>
    <w:rsid w:val="00104F31"/>
    <w:rsid w:val="00105051"/>
    <w:rsid w:val="0010537C"/>
    <w:rsid w:val="00105582"/>
    <w:rsid w:val="00105A0E"/>
    <w:rsid w:val="00105CE6"/>
    <w:rsid w:val="00105D6E"/>
    <w:rsid w:val="00105E9C"/>
    <w:rsid w:val="00106146"/>
    <w:rsid w:val="0010643C"/>
    <w:rsid w:val="001066F2"/>
    <w:rsid w:val="00106960"/>
    <w:rsid w:val="00106C1B"/>
    <w:rsid w:val="001070B6"/>
    <w:rsid w:val="00107173"/>
    <w:rsid w:val="00107638"/>
    <w:rsid w:val="00107672"/>
    <w:rsid w:val="00107774"/>
    <w:rsid w:val="00107791"/>
    <w:rsid w:val="0010783B"/>
    <w:rsid w:val="00107ABC"/>
    <w:rsid w:val="00107CF8"/>
    <w:rsid w:val="001101D5"/>
    <w:rsid w:val="0011025E"/>
    <w:rsid w:val="001108B4"/>
    <w:rsid w:val="001108B6"/>
    <w:rsid w:val="00110912"/>
    <w:rsid w:val="00110979"/>
    <w:rsid w:val="00110A13"/>
    <w:rsid w:val="00110B50"/>
    <w:rsid w:val="00110B90"/>
    <w:rsid w:val="00110BF0"/>
    <w:rsid w:val="00110CE0"/>
    <w:rsid w:val="00111183"/>
    <w:rsid w:val="001111DC"/>
    <w:rsid w:val="0011135F"/>
    <w:rsid w:val="00111546"/>
    <w:rsid w:val="00111BB1"/>
    <w:rsid w:val="00111E0C"/>
    <w:rsid w:val="00111F03"/>
    <w:rsid w:val="00111FE1"/>
    <w:rsid w:val="001122E0"/>
    <w:rsid w:val="0011256E"/>
    <w:rsid w:val="00112C08"/>
    <w:rsid w:val="00112D24"/>
    <w:rsid w:val="00112FFC"/>
    <w:rsid w:val="00113348"/>
    <w:rsid w:val="0011363E"/>
    <w:rsid w:val="001137F1"/>
    <w:rsid w:val="00113B10"/>
    <w:rsid w:val="00113B4D"/>
    <w:rsid w:val="00113C34"/>
    <w:rsid w:val="00113C55"/>
    <w:rsid w:val="00113C66"/>
    <w:rsid w:val="00113F89"/>
    <w:rsid w:val="0011402F"/>
    <w:rsid w:val="0011403F"/>
    <w:rsid w:val="001142DE"/>
    <w:rsid w:val="00114734"/>
    <w:rsid w:val="001148FB"/>
    <w:rsid w:val="001149F2"/>
    <w:rsid w:val="00114A2C"/>
    <w:rsid w:val="00114B26"/>
    <w:rsid w:val="00114B5C"/>
    <w:rsid w:val="00114D2F"/>
    <w:rsid w:val="00114DA8"/>
    <w:rsid w:val="0011524D"/>
    <w:rsid w:val="001154A9"/>
    <w:rsid w:val="0011581B"/>
    <w:rsid w:val="0011583D"/>
    <w:rsid w:val="00115C78"/>
    <w:rsid w:val="0011616C"/>
    <w:rsid w:val="001161ED"/>
    <w:rsid w:val="001162C2"/>
    <w:rsid w:val="00116356"/>
    <w:rsid w:val="00116A5E"/>
    <w:rsid w:val="00116B28"/>
    <w:rsid w:val="00116C88"/>
    <w:rsid w:val="00116E47"/>
    <w:rsid w:val="00116FEF"/>
    <w:rsid w:val="00117177"/>
    <w:rsid w:val="0011731B"/>
    <w:rsid w:val="00117578"/>
    <w:rsid w:val="0011770D"/>
    <w:rsid w:val="00117C08"/>
    <w:rsid w:val="00117C47"/>
    <w:rsid w:val="00117FE9"/>
    <w:rsid w:val="0012020B"/>
    <w:rsid w:val="0012063A"/>
    <w:rsid w:val="001208BA"/>
    <w:rsid w:val="00120E09"/>
    <w:rsid w:val="00120E91"/>
    <w:rsid w:val="00121339"/>
    <w:rsid w:val="001213AA"/>
    <w:rsid w:val="001214D8"/>
    <w:rsid w:val="001218CE"/>
    <w:rsid w:val="0012200F"/>
    <w:rsid w:val="001220AC"/>
    <w:rsid w:val="00122208"/>
    <w:rsid w:val="0012233D"/>
    <w:rsid w:val="0012244A"/>
    <w:rsid w:val="001224A0"/>
    <w:rsid w:val="001224D4"/>
    <w:rsid w:val="001224D8"/>
    <w:rsid w:val="001224F0"/>
    <w:rsid w:val="00122550"/>
    <w:rsid w:val="00122C25"/>
    <w:rsid w:val="00122D21"/>
    <w:rsid w:val="00122D8C"/>
    <w:rsid w:val="00122E5B"/>
    <w:rsid w:val="00122F29"/>
    <w:rsid w:val="0012328D"/>
    <w:rsid w:val="001232E3"/>
    <w:rsid w:val="00123727"/>
    <w:rsid w:val="001239C3"/>
    <w:rsid w:val="001240FB"/>
    <w:rsid w:val="00124247"/>
    <w:rsid w:val="0012431C"/>
    <w:rsid w:val="0012435D"/>
    <w:rsid w:val="00124377"/>
    <w:rsid w:val="00124397"/>
    <w:rsid w:val="001246A1"/>
    <w:rsid w:val="0012476A"/>
    <w:rsid w:val="00124993"/>
    <w:rsid w:val="00124D27"/>
    <w:rsid w:val="00124E13"/>
    <w:rsid w:val="00124E41"/>
    <w:rsid w:val="00124E80"/>
    <w:rsid w:val="00124EC1"/>
    <w:rsid w:val="00124EC8"/>
    <w:rsid w:val="00124F06"/>
    <w:rsid w:val="00124FB0"/>
    <w:rsid w:val="001251FC"/>
    <w:rsid w:val="001252B8"/>
    <w:rsid w:val="0012532E"/>
    <w:rsid w:val="00125345"/>
    <w:rsid w:val="001254FA"/>
    <w:rsid w:val="0012551F"/>
    <w:rsid w:val="0012579E"/>
    <w:rsid w:val="0012595D"/>
    <w:rsid w:val="00125D9D"/>
    <w:rsid w:val="00125E91"/>
    <w:rsid w:val="00126195"/>
    <w:rsid w:val="001264E8"/>
    <w:rsid w:val="00126645"/>
    <w:rsid w:val="0012692E"/>
    <w:rsid w:val="0012697E"/>
    <w:rsid w:val="001269C7"/>
    <w:rsid w:val="00126A71"/>
    <w:rsid w:val="00126AEF"/>
    <w:rsid w:val="00126B7A"/>
    <w:rsid w:val="00126DD7"/>
    <w:rsid w:val="00126E53"/>
    <w:rsid w:val="00126EAA"/>
    <w:rsid w:val="0012705D"/>
    <w:rsid w:val="0012728A"/>
    <w:rsid w:val="00127663"/>
    <w:rsid w:val="0012782A"/>
    <w:rsid w:val="001278A7"/>
    <w:rsid w:val="00127C16"/>
    <w:rsid w:val="00127C33"/>
    <w:rsid w:val="00127D7A"/>
    <w:rsid w:val="00127DD1"/>
    <w:rsid w:val="001303E1"/>
    <w:rsid w:val="00130720"/>
    <w:rsid w:val="0013088F"/>
    <w:rsid w:val="001308C9"/>
    <w:rsid w:val="001309E6"/>
    <w:rsid w:val="00130BE3"/>
    <w:rsid w:val="00130D7A"/>
    <w:rsid w:val="00130DB7"/>
    <w:rsid w:val="00130F85"/>
    <w:rsid w:val="0013100E"/>
    <w:rsid w:val="0013102B"/>
    <w:rsid w:val="001311B1"/>
    <w:rsid w:val="0013122A"/>
    <w:rsid w:val="001313D6"/>
    <w:rsid w:val="0013143D"/>
    <w:rsid w:val="00131521"/>
    <w:rsid w:val="001315C5"/>
    <w:rsid w:val="00131759"/>
    <w:rsid w:val="001318A4"/>
    <w:rsid w:val="001318E3"/>
    <w:rsid w:val="00131E52"/>
    <w:rsid w:val="00131F39"/>
    <w:rsid w:val="00131F75"/>
    <w:rsid w:val="00132167"/>
    <w:rsid w:val="001322A3"/>
    <w:rsid w:val="0013276F"/>
    <w:rsid w:val="001327C3"/>
    <w:rsid w:val="001327DF"/>
    <w:rsid w:val="00132837"/>
    <w:rsid w:val="001329CB"/>
    <w:rsid w:val="00132C40"/>
    <w:rsid w:val="00132E00"/>
    <w:rsid w:val="00133673"/>
    <w:rsid w:val="00133791"/>
    <w:rsid w:val="0013385F"/>
    <w:rsid w:val="001339B7"/>
    <w:rsid w:val="00133A64"/>
    <w:rsid w:val="00133AB3"/>
    <w:rsid w:val="001341F0"/>
    <w:rsid w:val="0013457C"/>
    <w:rsid w:val="001348F4"/>
    <w:rsid w:val="00134DBF"/>
    <w:rsid w:val="00134E7F"/>
    <w:rsid w:val="00134EC8"/>
    <w:rsid w:val="001350AB"/>
    <w:rsid w:val="001352F3"/>
    <w:rsid w:val="00135582"/>
    <w:rsid w:val="001355C7"/>
    <w:rsid w:val="00135712"/>
    <w:rsid w:val="00135A6F"/>
    <w:rsid w:val="00135EF8"/>
    <w:rsid w:val="00136224"/>
    <w:rsid w:val="0013639C"/>
    <w:rsid w:val="0013685A"/>
    <w:rsid w:val="00136861"/>
    <w:rsid w:val="001368A8"/>
    <w:rsid w:val="00136F23"/>
    <w:rsid w:val="00137086"/>
    <w:rsid w:val="001373BA"/>
    <w:rsid w:val="00137603"/>
    <w:rsid w:val="00137911"/>
    <w:rsid w:val="00137927"/>
    <w:rsid w:val="001400E6"/>
    <w:rsid w:val="00140335"/>
    <w:rsid w:val="00140439"/>
    <w:rsid w:val="00140668"/>
    <w:rsid w:val="001409A3"/>
    <w:rsid w:val="00140D82"/>
    <w:rsid w:val="00140DE7"/>
    <w:rsid w:val="001410B6"/>
    <w:rsid w:val="001413F7"/>
    <w:rsid w:val="0014155B"/>
    <w:rsid w:val="001415E8"/>
    <w:rsid w:val="001416AF"/>
    <w:rsid w:val="0014180B"/>
    <w:rsid w:val="001418CF"/>
    <w:rsid w:val="00141DB7"/>
    <w:rsid w:val="00142135"/>
    <w:rsid w:val="0014256C"/>
    <w:rsid w:val="00142602"/>
    <w:rsid w:val="001426B1"/>
    <w:rsid w:val="001427FB"/>
    <w:rsid w:val="001428D5"/>
    <w:rsid w:val="00142C5F"/>
    <w:rsid w:val="00142C93"/>
    <w:rsid w:val="00142E45"/>
    <w:rsid w:val="00142E7A"/>
    <w:rsid w:val="00142F8C"/>
    <w:rsid w:val="001431CC"/>
    <w:rsid w:val="00143241"/>
    <w:rsid w:val="00143323"/>
    <w:rsid w:val="001433CF"/>
    <w:rsid w:val="00143429"/>
    <w:rsid w:val="00143548"/>
    <w:rsid w:val="001437A5"/>
    <w:rsid w:val="001437E7"/>
    <w:rsid w:val="00143D86"/>
    <w:rsid w:val="00143EC3"/>
    <w:rsid w:val="001442BF"/>
    <w:rsid w:val="00144412"/>
    <w:rsid w:val="001446D8"/>
    <w:rsid w:val="0014475A"/>
    <w:rsid w:val="00144AEA"/>
    <w:rsid w:val="00144FEB"/>
    <w:rsid w:val="00145637"/>
    <w:rsid w:val="00145775"/>
    <w:rsid w:val="00145919"/>
    <w:rsid w:val="00145C8F"/>
    <w:rsid w:val="00145FDA"/>
    <w:rsid w:val="00146263"/>
    <w:rsid w:val="00146441"/>
    <w:rsid w:val="0014657B"/>
    <w:rsid w:val="00146599"/>
    <w:rsid w:val="001466D6"/>
    <w:rsid w:val="0014693F"/>
    <w:rsid w:val="00146C8A"/>
    <w:rsid w:val="00146EEC"/>
    <w:rsid w:val="00147143"/>
    <w:rsid w:val="00147256"/>
    <w:rsid w:val="0014725E"/>
    <w:rsid w:val="001475E1"/>
    <w:rsid w:val="00147842"/>
    <w:rsid w:val="001478B0"/>
    <w:rsid w:val="00147B11"/>
    <w:rsid w:val="00147BF6"/>
    <w:rsid w:val="00147FD6"/>
    <w:rsid w:val="001506D4"/>
    <w:rsid w:val="00150987"/>
    <w:rsid w:val="00150A96"/>
    <w:rsid w:val="00150B33"/>
    <w:rsid w:val="00151449"/>
    <w:rsid w:val="0015152B"/>
    <w:rsid w:val="00151B9A"/>
    <w:rsid w:val="00151C5F"/>
    <w:rsid w:val="00151CFB"/>
    <w:rsid w:val="00151D26"/>
    <w:rsid w:val="00151DE4"/>
    <w:rsid w:val="00151F84"/>
    <w:rsid w:val="0015249C"/>
    <w:rsid w:val="0015259B"/>
    <w:rsid w:val="00152C0B"/>
    <w:rsid w:val="00152CAF"/>
    <w:rsid w:val="00152CBE"/>
    <w:rsid w:val="00152EC3"/>
    <w:rsid w:val="00152F1B"/>
    <w:rsid w:val="00152F26"/>
    <w:rsid w:val="00152F54"/>
    <w:rsid w:val="00153012"/>
    <w:rsid w:val="001530A8"/>
    <w:rsid w:val="00153120"/>
    <w:rsid w:val="00153181"/>
    <w:rsid w:val="001534E1"/>
    <w:rsid w:val="00153537"/>
    <w:rsid w:val="00153777"/>
    <w:rsid w:val="00153862"/>
    <w:rsid w:val="001539AF"/>
    <w:rsid w:val="00153B4B"/>
    <w:rsid w:val="00153B6E"/>
    <w:rsid w:val="00153B78"/>
    <w:rsid w:val="00153D10"/>
    <w:rsid w:val="00153E9A"/>
    <w:rsid w:val="001540DB"/>
    <w:rsid w:val="001543C7"/>
    <w:rsid w:val="00154909"/>
    <w:rsid w:val="00154D7A"/>
    <w:rsid w:val="00154E23"/>
    <w:rsid w:val="00155072"/>
    <w:rsid w:val="00155258"/>
    <w:rsid w:val="001553E5"/>
    <w:rsid w:val="0015549B"/>
    <w:rsid w:val="001555BC"/>
    <w:rsid w:val="00155655"/>
    <w:rsid w:val="001556EF"/>
    <w:rsid w:val="001556F4"/>
    <w:rsid w:val="0015584F"/>
    <w:rsid w:val="001558B3"/>
    <w:rsid w:val="00155A4A"/>
    <w:rsid w:val="00155B98"/>
    <w:rsid w:val="00155C5A"/>
    <w:rsid w:val="0015646F"/>
    <w:rsid w:val="001565B8"/>
    <w:rsid w:val="001565DC"/>
    <w:rsid w:val="00156B50"/>
    <w:rsid w:val="00156CC4"/>
    <w:rsid w:val="00156DC9"/>
    <w:rsid w:val="001570BE"/>
    <w:rsid w:val="00157274"/>
    <w:rsid w:val="00157571"/>
    <w:rsid w:val="001575AA"/>
    <w:rsid w:val="00157735"/>
    <w:rsid w:val="0015797F"/>
    <w:rsid w:val="00157A0B"/>
    <w:rsid w:val="00157A97"/>
    <w:rsid w:val="00157DD9"/>
    <w:rsid w:val="0016007B"/>
    <w:rsid w:val="00160353"/>
    <w:rsid w:val="00160566"/>
    <w:rsid w:val="00160645"/>
    <w:rsid w:val="00160875"/>
    <w:rsid w:val="0016089B"/>
    <w:rsid w:val="00160962"/>
    <w:rsid w:val="00160A3F"/>
    <w:rsid w:val="00160CCE"/>
    <w:rsid w:val="00160D8C"/>
    <w:rsid w:val="00160E7E"/>
    <w:rsid w:val="00160FE1"/>
    <w:rsid w:val="0016114C"/>
    <w:rsid w:val="00161D8C"/>
    <w:rsid w:val="00161DBC"/>
    <w:rsid w:val="00161EFD"/>
    <w:rsid w:val="0016262A"/>
    <w:rsid w:val="001628E1"/>
    <w:rsid w:val="00162A6D"/>
    <w:rsid w:val="001632D9"/>
    <w:rsid w:val="00163351"/>
    <w:rsid w:val="00163B9E"/>
    <w:rsid w:val="0016420D"/>
    <w:rsid w:val="00164223"/>
    <w:rsid w:val="0016498A"/>
    <w:rsid w:val="00164B28"/>
    <w:rsid w:val="00164E6C"/>
    <w:rsid w:val="001650F3"/>
    <w:rsid w:val="001652C6"/>
    <w:rsid w:val="00165513"/>
    <w:rsid w:val="001655DE"/>
    <w:rsid w:val="00165ABF"/>
    <w:rsid w:val="00165C43"/>
    <w:rsid w:val="00165EB2"/>
    <w:rsid w:val="00165EEB"/>
    <w:rsid w:val="00165FF2"/>
    <w:rsid w:val="0016609B"/>
    <w:rsid w:val="00166235"/>
    <w:rsid w:val="00166238"/>
    <w:rsid w:val="00166286"/>
    <w:rsid w:val="001662F3"/>
    <w:rsid w:val="00166BBB"/>
    <w:rsid w:val="00166E6F"/>
    <w:rsid w:val="00167171"/>
    <w:rsid w:val="00167195"/>
    <w:rsid w:val="001673B9"/>
    <w:rsid w:val="001674EF"/>
    <w:rsid w:val="00167619"/>
    <w:rsid w:val="0016775F"/>
    <w:rsid w:val="0016781A"/>
    <w:rsid w:val="00167B46"/>
    <w:rsid w:val="00167BC3"/>
    <w:rsid w:val="00167C7C"/>
    <w:rsid w:val="00167CB1"/>
    <w:rsid w:val="0017003B"/>
    <w:rsid w:val="001700A4"/>
    <w:rsid w:val="00170920"/>
    <w:rsid w:val="001709D5"/>
    <w:rsid w:val="00170A65"/>
    <w:rsid w:val="00170E14"/>
    <w:rsid w:val="00170F03"/>
    <w:rsid w:val="00170FF3"/>
    <w:rsid w:val="00171300"/>
    <w:rsid w:val="00171819"/>
    <w:rsid w:val="00171B67"/>
    <w:rsid w:val="00171DE2"/>
    <w:rsid w:val="00171E3E"/>
    <w:rsid w:val="00172116"/>
    <w:rsid w:val="00172364"/>
    <w:rsid w:val="00172856"/>
    <w:rsid w:val="00172C00"/>
    <w:rsid w:val="00172D11"/>
    <w:rsid w:val="00172F51"/>
    <w:rsid w:val="0017300B"/>
    <w:rsid w:val="001734EA"/>
    <w:rsid w:val="0017356F"/>
    <w:rsid w:val="001736BE"/>
    <w:rsid w:val="00173922"/>
    <w:rsid w:val="00173A65"/>
    <w:rsid w:val="00173CC0"/>
    <w:rsid w:val="00173F24"/>
    <w:rsid w:val="00173FFF"/>
    <w:rsid w:val="0017430A"/>
    <w:rsid w:val="0017430F"/>
    <w:rsid w:val="00174387"/>
    <w:rsid w:val="00174425"/>
    <w:rsid w:val="001744DB"/>
    <w:rsid w:val="0017450A"/>
    <w:rsid w:val="00174568"/>
    <w:rsid w:val="00174AE5"/>
    <w:rsid w:val="00174CCF"/>
    <w:rsid w:val="00174D27"/>
    <w:rsid w:val="00174F61"/>
    <w:rsid w:val="00174F9F"/>
    <w:rsid w:val="00174FA7"/>
    <w:rsid w:val="00175141"/>
    <w:rsid w:val="0017515B"/>
    <w:rsid w:val="00175160"/>
    <w:rsid w:val="001753AA"/>
    <w:rsid w:val="001754EC"/>
    <w:rsid w:val="0017560C"/>
    <w:rsid w:val="00175BC2"/>
    <w:rsid w:val="00175EB1"/>
    <w:rsid w:val="0017609A"/>
    <w:rsid w:val="001760AF"/>
    <w:rsid w:val="00176578"/>
    <w:rsid w:val="00176676"/>
    <w:rsid w:val="001768C5"/>
    <w:rsid w:val="0017720A"/>
    <w:rsid w:val="001779B4"/>
    <w:rsid w:val="00177C7C"/>
    <w:rsid w:val="00177F1A"/>
    <w:rsid w:val="00180841"/>
    <w:rsid w:val="00180BC2"/>
    <w:rsid w:val="00180DBB"/>
    <w:rsid w:val="00180E2F"/>
    <w:rsid w:val="00181183"/>
    <w:rsid w:val="001812C5"/>
    <w:rsid w:val="0018130D"/>
    <w:rsid w:val="00181644"/>
    <w:rsid w:val="0018196D"/>
    <w:rsid w:val="00181AFC"/>
    <w:rsid w:val="00181CA3"/>
    <w:rsid w:val="0018200D"/>
    <w:rsid w:val="0018213D"/>
    <w:rsid w:val="0018230F"/>
    <w:rsid w:val="00182570"/>
    <w:rsid w:val="0018269A"/>
    <w:rsid w:val="00182A31"/>
    <w:rsid w:val="00182B04"/>
    <w:rsid w:val="00182C36"/>
    <w:rsid w:val="00182C78"/>
    <w:rsid w:val="00182CED"/>
    <w:rsid w:val="00182DAE"/>
    <w:rsid w:val="00182EB7"/>
    <w:rsid w:val="0018374F"/>
    <w:rsid w:val="001838C5"/>
    <w:rsid w:val="00183D66"/>
    <w:rsid w:val="00183F2C"/>
    <w:rsid w:val="001840DA"/>
    <w:rsid w:val="0018411B"/>
    <w:rsid w:val="0018415B"/>
    <w:rsid w:val="00184205"/>
    <w:rsid w:val="001846A3"/>
    <w:rsid w:val="00184A75"/>
    <w:rsid w:val="00184F80"/>
    <w:rsid w:val="00185037"/>
    <w:rsid w:val="00185153"/>
    <w:rsid w:val="001851F8"/>
    <w:rsid w:val="001853A1"/>
    <w:rsid w:val="00185508"/>
    <w:rsid w:val="00185523"/>
    <w:rsid w:val="00185690"/>
    <w:rsid w:val="001856B7"/>
    <w:rsid w:val="001857E5"/>
    <w:rsid w:val="00185A92"/>
    <w:rsid w:val="00185C32"/>
    <w:rsid w:val="0018624A"/>
    <w:rsid w:val="0018628B"/>
    <w:rsid w:val="00186357"/>
    <w:rsid w:val="0018676F"/>
    <w:rsid w:val="00186847"/>
    <w:rsid w:val="001868A6"/>
    <w:rsid w:val="001868CD"/>
    <w:rsid w:val="00186C67"/>
    <w:rsid w:val="00186C6C"/>
    <w:rsid w:val="001870B4"/>
    <w:rsid w:val="0018714C"/>
    <w:rsid w:val="001875F2"/>
    <w:rsid w:val="001877CF"/>
    <w:rsid w:val="00187C80"/>
    <w:rsid w:val="0019056C"/>
    <w:rsid w:val="00190625"/>
    <w:rsid w:val="00190631"/>
    <w:rsid w:val="00190723"/>
    <w:rsid w:val="0019081A"/>
    <w:rsid w:val="00190976"/>
    <w:rsid w:val="00190C40"/>
    <w:rsid w:val="00190CEF"/>
    <w:rsid w:val="00191120"/>
    <w:rsid w:val="00191781"/>
    <w:rsid w:val="00191C07"/>
    <w:rsid w:val="00191C0E"/>
    <w:rsid w:val="00191C97"/>
    <w:rsid w:val="00191DB7"/>
    <w:rsid w:val="00191E07"/>
    <w:rsid w:val="0019240D"/>
    <w:rsid w:val="001924BF"/>
    <w:rsid w:val="00192515"/>
    <w:rsid w:val="0019271D"/>
    <w:rsid w:val="0019279C"/>
    <w:rsid w:val="00192A1A"/>
    <w:rsid w:val="00192A2A"/>
    <w:rsid w:val="00192B43"/>
    <w:rsid w:val="00192D22"/>
    <w:rsid w:val="001937B5"/>
    <w:rsid w:val="00193BE5"/>
    <w:rsid w:val="00193F8A"/>
    <w:rsid w:val="0019428C"/>
    <w:rsid w:val="0019450B"/>
    <w:rsid w:val="00194806"/>
    <w:rsid w:val="0019483F"/>
    <w:rsid w:val="00194A9E"/>
    <w:rsid w:val="00194B17"/>
    <w:rsid w:val="00194C8C"/>
    <w:rsid w:val="00194D1D"/>
    <w:rsid w:val="00194E31"/>
    <w:rsid w:val="00194F46"/>
    <w:rsid w:val="0019527E"/>
    <w:rsid w:val="001954C1"/>
    <w:rsid w:val="00195563"/>
    <w:rsid w:val="0019563E"/>
    <w:rsid w:val="00195BCF"/>
    <w:rsid w:val="00195CD0"/>
    <w:rsid w:val="00195E83"/>
    <w:rsid w:val="00195F97"/>
    <w:rsid w:val="00196494"/>
    <w:rsid w:val="00196861"/>
    <w:rsid w:val="001968F9"/>
    <w:rsid w:val="00196A63"/>
    <w:rsid w:val="00196AE6"/>
    <w:rsid w:val="00196BE5"/>
    <w:rsid w:val="00196EB2"/>
    <w:rsid w:val="00197167"/>
    <w:rsid w:val="001971C9"/>
    <w:rsid w:val="001971EC"/>
    <w:rsid w:val="001973CE"/>
    <w:rsid w:val="00197A00"/>
    <w:rsid w:val="00197DE8"/>
    <w:rsid w:val="00197E3E"/>
    <w:rsid w:val="00197EDF"/>
    <w:rsid w:val="001A001D"/>
    <w:rsid w:val="001A00C4"/>
    <w:rsid w:val="001A0133"/>
    <w:rsid w:val="001A023A"/>
    <w:rsid w:val="001A02AE"/>
    <w:rsid w:val="001A0397"/>
    <w:rsid w:val="001A0434"/>
    <w:rsid w:val="001A0649"/>
    <w:rsid w:val="001A090A"/>
    <w:rsid w:val="001A0A14"/>
    <w:rsid w:val="001A131A"/>
    <w:rsid w:val="001A1456"/>
    <w:rsid w:val="001A14FB"/>
    <w:rsid w:val="001A1569"/>
    <w:rsid w:val="001A166B"/>
    <w:rsid w:val="001A1966"/>
    <w:rsid w:val="001A1B28"/>
    <w:rsid w:val="001A1B31"/>
    <w:rsid w:val="001A1B48"/>
    <w:rsid w:val="001A1C89"/>
    <w:rsid w:val="001A1E7B"/>
    <w:rsid w:val="001A1F10"/>
    <w:rsid w:val="001A2001"/>
    <w:rsid w:val="001A2074"/>
    <w:rsid w:val="001A20EA"/>
    <w:rsid w:val="001A2189"/>
    <w:rsid w:val="001A2685"/>
    <w:rsid w:val="001A2688"/>
    <w:rsid w:val="001A2E7D"/>
    <w:rsid w:val="001A310C"/>
    <w:rsid w:val="001A3219"/>
    <w:rsid w:val="001A377D"/>
    <w:rsid w:val="001A37FF"/>
    <w:rsid w:val="001A3869"/>
    <w:rsid w:val="001A3894"/>
    <w:rsid w:val="001A3991"/>
    <w:rsid w:val="001A3AFD"/>
    <w:rsid w:val="001A3B34"/>
    <w:rsid w:val="001A3E6E"/>
    <w:rsid w:val="001A3EA0"/>
    <w:rsid w:val="001A3ED0"/>
    <w:rsid w:val="001A4064"/>
    <w:rsid w:val="001A4132"/>
    <w:rsid w:val="001A41DD"/>
    <w:rsid w:val="001A457B"/>
    <w:rsid w:val="001A5019"/>
    <w:rsid w:val="001A5360"/>
    <w:rsid w:val="001A548D"/>
    <w:rsid w:val="001A55D6"/>
    <w:rsid w:val="001A57D6"/>
    <w:rsid w:val="001A58A1"/>
    <w:rsid w:val="001A5A6F"/>
    <w:rsid w:val="001A5DF0"/>
    <w:rsid w:val="001A5E3F"/>
    <w:rsid w:val="001A61A6"/>
    <w:rsid w:val="001A623C"/>
    <w:rsid w:val="001A63FE"/>
    <w:rsid w:val="001A66A8"/>
    <w:rsid w:val="001A6D81"/>
    <w:rsid w:val="001A7064"/>
    <w:rsid w:val="001A707F"/>
    <w:rsid w:val="001A7150"/>
    <w:rsid w:val="001A7389"/>
    <w:rsid w:val="001A7606"/>
    <w:rsid w:val="001A77F3"/>
    <w:rsid w:val="001A7DAD"/>
    <w:rsid w:val="001A7DFD"/>
    <w:rsid w:val="001B050C"/>
    <w:rsid w:val="001B07F3"/>
    <w:rsid w:val="001B0870"/>
    <w:rsid w:val="001B0955"/>
    <w:rsid w:val="001B097D"/>
    <w:rsid w:val="001B0A72"/>
    <w:rsid w:val="001B0C1E"/>
    <w:rsid w:val="001B0C45"/>
    <w:rsid w:val="001B0CE2"/>
    <w:rsid w:val="001B0E6A"/>
    <w:rsid w:val="001B128A"/>
    <w:rsid w:val="001B130F"/>
    <w:rsid w:val="001B1C9E"/>
    <w:rsid w:val="001B2012"/>
    <w:rsid w:val="001B25CE"/>
    <w:rsid w:val="001B2E5B"/>
    <w:rsid w:val="001B3390"/>
    <w:rsid w:val="001B3652"/>
    <w:rsid w:val="001B397A"/>
    <w:rsid w:val="001B39A6"/>
    <w:rsid w:val="001B3F27"/>
    <w:rsid w:val="001B420B"/>
    <w:rsid w:val="001B4750"/>
    <w:rsid w:val="001B4B94"/>
    <w:rsid w:val="001B50D5"/>
    <w:rsid w:val="001B53E3"/>
    <w:rsid w:val="001B5647"/>
    <w:rsid w:val="001B5698"/>
    <w:rsid w:val="001B5D81"/>
    <w:rsid w:val="001B5D9D"/>
    <w:rsid w:val="001B5DE2"/>
    <w:rsid w:val="001B66FB"/>
    <w:rsid w:val="001B67BB"/>
    <w:rsid w:val="001B683D"/>
    <w:rsid w:val="001B68F7"/>
    <w:rsid w:val="001B69F9"/>
    <w:rsid w:val="001B6AD8"/>
    <w:rsid w:val="001B6AFB"/>
    <w:rsid w:val="001B6D4D"/>
    <w:rsid w:val="001B6F9F"/>
    <w:rsid w:val="001B7619"/>
    <w:rsid w:val="001B784D"/>
    <w:rsid w:val="001B796B"/>
    <w:rsid w:val="001B7AD6"/>
    <w:rsid w:val="001B7C3D"/>
    <w:rsid w:val="001C0662"/>
    <w:rsid w:val="001C0CE6"/>
    <w:rsid w:val="001C0CFF"/>
    <w:rsid w:val="001C0D40"/>
    <w:rsid w:val="001C0E54"/>
    <w:rsid w:val="001C0EAB"/>
    <w:rsid w:val="001C0F0B"/>
    <w:rsid w:val="001C1086"/>
    <w:rsid w:val="001C13A0"/>
    <w:rsid w:val="001C146F"/>
    <w:rsid w:val="001C1483"/>
    <w:rsid w:val="001C1558"/>
    <w:rsid w:val="001C17FF"/>
    <w:rsid w:val="001C1800"/>
    <w:rsid w:val="001C18A3"/>
    <w:rsid w:val="001C1A21"/>
    <w:rsid w:val="001C1D91"/>
    <w:rsid w:val="001C2298"/>
    <w:rsid w:val="001C23F1"/>
    <w:rsid w:val="001C2755"/>
    <w:rsid w:val="001C2896"/>
    <w:rsid w:val="001C2987"/>
    <w:rsid w:val="001C2DC9"/>
    <w:rsid w:val="001C3112"/>
    <w:rsid w:val="001C31A0"/>
    <w:rsid w:val="001C356D"/>
    <w:rsid w:val="001C37C7"/>
    <w:rsid w:val="001C3847"/>
    <w:rsid w:val="001C38A9"/>
    <w:rsid w:val="001C3952"/>
    <w:rsid w:val="001C3B5C"/>
    <w:rsid w:val="001C3BA1"/>
    <w:rsid w:val="001C3CB5"/>
    <w:rsid w:val="001C3EC8"/>
    <w:rsid w:val="001C4296"/>
    <w:rsid w:val="001C47FD"/>
    <w:rsid w:val="001C49A6"/>
    <w:rsid w:val="001C4BDB"/>
    <w:rsid w:val="001C4E71"/>
    <w:rsid w:val="001C4F61"/>
    <w:rsid w:val="001C525A"/>
    <w:rsid w:val="001C561A"/>
    <w:rsid w:val="001C58AB"/>
    <w:rsid w:val="001C5BCD"/>
    <w:rsid w:val="001C5C4E"/>
    <w:rsid w:val="001C5D91"/>
    <w:rsid w:val="001C6566"/>
    <w:rsid w:val="001C66F1"/>
    <w:rsid w:val="001C675C"/>
    <w:rsid w:val="001C67FB"/>
    <w:rsid w:val="001C68EA"/>
    <w:rsid w:val="001C697A"/>
    <w:rsid w:val="001C69D9"/>
    <w:rsid w:val="001C6C04"/>
    <w:rsid w:val="001C6D75"/>
    <w:rsid w:val="001C6EF0"/>
    <w:rsid w:val="001C7662"/>
    <w:rsid w:val="001C76DD"/>
    <w:rsid w:val="001C7813"/>
    <w:rsid w:val="001C78B3"/>
    <w:rsid w:val="001C79E8"/>
    <w:rsid w:val="001C7B42"/>
    <w:rsid w:val="001C7CFD"/>
    <w:rsid w:val="001D00AE"/>
    <w:rsid w:val="001D00CC"/>
    <w:rsid w:val="001D0108"/>
    <w:rsid w:val="001D06D7"/>
    <w:rsid w:val="001D0835"/>
    <w:rsid w:val="001D09F2"/>
    <w:rsid w:val="001D0A1B"/>
    <w:rsid w:val="001D0D12"/>
    <w:rsid w:val="001D0D32"/>
    <w:rsid w:val="001D0F44"/>
    <w:rsid w:val="001D1077"/>
    <w:rsid w:val="001D10AE"/>
    <w:rsid w:val="001D1791"/>
    <w:rsid w:val="001D18A2"/>
    <w:rsid w:val="001D1CC5"/>
    <w:rsid w:val="001D1E73"/>
    <w:rsid w:val="001D2006"/>
    <w:rsid w:val="001D20D0"/>
    <w:rsid w:val="001D211A"/>
    <w:rsid w:val="001D2290"/>
    <w:rsid w:val="001D24A4"/>
    <w:rsid w:val="001D2748"/>
    <w:rsid w:val="001D28B4"/>
    <w:rsid w:val="001D290D"/>
    <w:rsid w:val="001D2AA9"/>
    <w:rsid w:val="001D2E23"/>
    <w:rsid w:val="001D2E9C"/>
    <w:rsid w:val="001D2FC6"/>
    <w:rsid w:val="001D3399"/>
    <w:rsid w:val="001D3422"/>
    <w:rsid w:val="001D34B4"/>
    <w:rsid w:val="001D3BB1"/>
    <w:rsid w:val="001D3C14"/>
    <w:rsid w:val="001D3F04"/>
    <w:rsid w:val="001D3F8D"/>
    <w:rsid w:val="001D4062"/>
    <w:rsid w:val="001D408A"/>
    <w:rsid w:val="001D40EC"/>
    <w:rsid w:val="001D427E"/>
    <w:rsid w:val="001D43E4"/>
    <w:rsid w:val="001D4999"/>
    <w:rsid w:val="001D4CD3"/>
    <w:rsid w:val="001D4E62"/>
    <w:rsid w:val="001D4F6A"/>
    <w:rsid w:val="001D511F"/>
    <w:rsid w:val="001D5195"/>
    <w:rsid w:val="001D5402"/>
    <w:rsid w:val="001D544C"/>
    <w:rsid w:val="001D54DE"/>
    <w:rsid w:val="001D5513"/>
    <w:rsid w:val="001D5776"/>
    <w:rsid w:val="001D599A"/>
    <w:rsid w:val="001D5D75"/>
    <w:rsid w:val="001D6027"/>
    <w:rsid w:val="001D6040"/>
    <w:rsid w:val="001D6080"/>
    <w:rsid w:val="001D60DE"/>
    <w:rsid w:val="001D6128"/>
    <w:rsid w:val="001D627A"/>
    <w:rsid w:val="001D62D6"/>
    <w:rsid w:val="001D63CE"/>
    <w:rsid w:val="001D648E"/>
    <w:rsid w:val="001D66A1"/>
    <w:rsid w:val="001D66E9"/>
    <w:rsid w:val="001D67AD"/>
    <w:rsid w:val="001D6CE7"/>
    <w:rsid w:val="001D6E69"/>
    <w:rsid w:val="001D7095"/>
    <w:rsid w:val="001D70F8"/>
    <w:rsid w:val="001D77ED"/>
    <w:rsid w:val="001D78F8"/>
    <w:rsid w:val="001D7C44"/>
    <w:rsid w:val="001D7E02"/>
    <w:rsid w:val="001D7E12"/>
    <w:rsid w:val="001D7F6F"/>
    <w:rsid w:val="001D7FD5"/>
    <w:rsid w:val="001E0184"/>
    <w:rsid w:val="001E01A7"/>
    <w:rsid w:val="001E0445"/>
    <w:rsid w:val="001E0499"/>
    <w:rsid w:val="001E05E2"/>
    <w:rsid w:val="001E0643"/>
    <w:rsid w:val="001E074A"/>
    <w:rsid w:val="001E0A15"/>
    <w:rsid w:val="001E0E40"/>
    <w:rsid w:val="001E0F6A"/>
    <w:rsid w:val="001E11BE"/>
    <w:rsid w:val="001E13B2"/>
    <w:rsid w:val="001E13C1"/>
    <w:rsid w:val="001E1778"/>
    <w:rsid w:val="001E177E"/>
    <w:rsid w:val="001E1A18"/>
    <w:rsid w:val="001E1B4E"/>
    <w:rsid w:val="001E2AB4"/>
    <w:rsid w:val="001E32B1"/>
    <w:rsid w:val="001E363C"/>
    <w:rsid w:val="001E3698"/>
    <w:rsid w:val="001E373E"/>
    <w:rsid w:val="001E39BC"/>
    <w:rsid w:val="001E3A7A"/>
    <w:rsid w:val="001E3C6D"/>
    <w:rsid w:val="001E3F13"/>
    <w:rsid w:val="001E40AF"/>
    <w:rsid w:val="001E4599"/>
    <w:rsid w:val="001E4702"/>
    <w:rsid w:val="001E4CCA"/>
    <w:rsid w:val="001E4D4F"/>
    <w:rsid w:val="001E4D87"/>
    <w:rsid w:val="001E4FC7"/>
    <w:rsid w:val="001E511F"/>
    <w:rsid w:val="001E536C"/>
    <w:rsid w:val="001E5586"/>
    <w:rsid w:val="001E5654"/>
    <w:rsid w:val="001E58F7"/>
    <w:rsid w:val="001E62C2"/>
    <w:rsid w:val="001E68BC"/>
    <w:rsid w:val="001E6C26"/>
    <w:rsid w:val="001E6D60"/>
    <w:rsid w:val="001E6D72"/>
    <w:rsid w:val="001E71B3"/>
    <w:rsid w:val="001E75C1"/>
    <w:rsid w:val="001E7BA5"/>
    <w:rsid w:val="001F03FB"/>
    <w:rsid w:val="001F052E"/>
    <w:rsid w:val="001F061A"/>
    <w:rsid w:val="001F07B4"/>
    <w:rsid w:val="001F0A70"/>
    <w:rsid w:val="001F0F73"/>
    <w:rsid w:val="001F125F"/>
    <w:rsid w:val="001F156C"/>
    <w:rsid w:val="001F1612"/>
    <w:rsid w:val="001F16AE"/>
    <w:rsid w:val="001F1809"/>
    <w:rsid w:val="001F194E"/>
    <w:rsid w:val="001F1A07"/>
    <w:rsid w:val="001F1B1C"/>
    <w:rsid w:val="001F1B9F"/>
    <w:rsid w:val="001F1BAE"/>
    <w:rsid w:val="001F1C2E"/>
    <w:rsid w:val="001F1D32"/>
    <w:rsid w:val="001F2583"/>
    <w:rsid w:val="001F26BA"/>
    <w:rsid w:val="001F2733"/>
    <w:rsid w:val="001F2937"/>
    <w:rsid w:val="001F2B86"/>
    <w:rsid w:val="001F33BD"/>
    <w:rsid w:val="001F361B"/>
    <w:rsid w:val="001F3EB6"/>
    <w:rsid w:val="001F3EB9"/>
    <w:rsid w:val="001F40D6"/>
    <w:rsid w:val="001F4184"/>
    <w:rsid w:val="001F4352"/>
    <w:rsid w:val="001F44F4"/>
    <w:rsid w:val="001F47B5"/>
    <w:rsid w:val="001F48E4"/>
    <w:rsid w:val="001F4C94"/>
    <w:rsid w:val="001F4E66"/>
    <w:rsid w:val="001F508D"/>
    <w:rsid w:val="001F51FA"/>
    <w:rsid w:val="001F53AE"/>
    <w:rsid w:val="001F5416"/>
    <w:rsid w:val="001F583F"/>
    <w:rsid w:val="001F5847"/>
    <w:rsid w:val="001F5943"/>
    <w:rsid w:val="001F5BAE"/>
    <w:rsid w:val="001F6123"/>
    <w:rsid w:val="001F6176"/>
    <w:rsid w:val="001F633B"/>
    <w:rsid w:val="001F634C"/>
    <w:rsid w:val="001F6764"/>
    <w:rsid w:val="001F6811"/>
    <w:rsid w:val="001F684D"/>
    <w:rsid w:val="001F6893"/>
    <w:rsid w:val="001F6ADD"/>
    <w:rsid w:val="001F6F56"/>
    <w:rsid w:val="001F7165"/>
    <w:rsid w:val="001F77F4"/>
    <w:rsid w:val="001F780A"/>
    <w:rsid w:val="001F7A38"/>
    <w:rsid w:val="001F7AF9"/>
    <w:rsid w:val="001F7C88"/>
    <w:rsid w:val="001F7EBC"/>
    <w:rsid w:val="0020032E"/>
    <w:rsid w:val="00200366"/>
    <w:rsid w:val="00200386"/>
    <w:rsid w:val="002007CE"/>
    <w:rsid w:val="00200814"/>
    <w:rsid w:val="00200854"/>
    <w:rsid w:val="00200B20"/>
    <w:rsid w:val="00200B59"/>
    <w:rsid w:val="00200C1A"/>
    <w:rsid w:val="00200D1C"/>
    <w:rsid w:val="00200FD4"/>
    <w:rsid w:val="002013BC"/>
    <w:rsid w:val="0020143E"/>
    <w:rsid w:val="002018D6"/>
    <w:rsid w:val="00201BE6"/>
    <w:rsid w:val="002020B9"/>
    <w:rsid w:val="002021C5"/>
    <w:rsid w:val="0020229E"/>
    <w:rsid w:val="002024F9"/>
    <w:rsid w:val="0020268B"/>
    <w:rsid w:val="00202986"/>
    <w:rsid w:val="00202B78"/>
    <w:rsid w:val="00202DE0"/>
    <w:rsid w:val="00202F95"/>
    <w:rsid w:val="002030E4"/>
    <w:rsid w:val="00203265"/>
    <w:rsid w:val="00203389"/>
    <w:rsid w:val="00203477"/>
    <w:rsid w:val="002034E7"/>
    <w:rsid w:val="002035A5"/>
    <w:rsid w:val="00203A0B"/>
    <w:rsid w:val="00203AE3"/>
    <w:rsid w:val="00203EDF"/>
    <w:rsid w:val="00204174"/>
    <w:rsid w:val="00204283"/>
    <w:rsid w:val="0020448C"/>
    <w:rsid w:val="00204560"/>
    <w:rsid w:val="00204701"/>
    <w:rsid w:val="002047E7"/>
    <w:rsid w:val="0020484D"/>
    <w:rsid w:val="00204B65"/>
    <w:rsid w:val="00204DCD"/>
    <w:rsid w:val="00204FAC"/>
    <w:rsid w:val="0020509B"/>
    <w:rsid w:val="002050CA"/>
    <w:rsid w:val="0020517E"/>
    <w:rsid w:val="00205475"/>
    <w:rsid w:val="002055AF"/>
    <w:rsid w:val="002056E2"/>
    <w:rsid w:val="00205A62"/>
    <w:rsid w:val="00205CBE"/>
    <w:rsid w:val="00205FE9"/>
    <w:rsid w:val="002062D4"/>
    <w:rsid w:val="002062E6"/>
    <w:rsid w:val="00206628"/>
    <w:rsid w:val="002068BF"/>
    <w:rsid w:val="002068FB"/>
    <w:rsid w:val="00206AA3"/>
    <w:rsid w:val="0020701D"/>
    <w:rsid w:val="002072C4"/>
    <w:rsid w:val="00207445"/>
    <w:rsid w:val="00207A55"/>
    <w:rsid w:val="00207FBC"/>
    <w:rsid w:val="00210063"/>
    <w:rsid w:val="00210068"/>
    <w:rsid w:val="002101D3"/>
    <w:rsid w:val="0021027C"/>
    <w:rsid w:val="002108F2"/>
    <w:rsid w:val="002109DC"/>
    <w:rsid w:val="00210B26"/>
    <w:rsid w:val="00210CAB"/>
    <w:rsid w:val="00210D07"/>
    <w:rsid w:val="00210D0E"/>
    <w:rsid w:val="00210E31"/>
    <w:rsid w:val="00210F66"/>
    <w:rsid w:val="002111BF"/>
    <w:rsid w:val="002112D1"/>
    <w:rsid w:val="002114C2"/>
    <w:rsid w:val="00211533"/>
    <w:rsid w:val="0021194F"/>
    <w:rsid w:val="00211A31"/>
    <w:rsid w:val="0021229D"/>
    <w:rsid w:val="0021254A"/>
    <w:rsid w:val="002125CD"/>
    <w:rsid w:val="00212720"/>
    <w:rsid w:val="00212E71"/>
    <w:rsid w:val="00213338"/>
    <w:rsid w:val="00213B43"/>
    <w:rsid w:val="00213FC9"/>
    <w:rsid w:val="00214258"/>
    <w:rsid w:val="002144FF"/>
    <w:rsid w:val="00214551"/>
    <w:rsid w:val="00214819"/>
    <w:rsid w:val="002148A4"/>
    <w:rsid w:val="002148B4"/>
    <w:rsid w:val="0021499F"/>
    <w:rsid w:val="00214FF3"/>
    <w:rsid w:val="002150CB"/>
    <w:rsid w:val="00215820"/>
    <w:rsid w:val="00215C49"/>
    <w:rsid w:val="00215C7A"/>
    <w:rsid w:val="00215DC2"/>
    <w:rsid w:val="00215DC8"/>
    <w:rsid w:val="00215E21"/>
    <w:rsid w:val="002160BA"/>
    <w:rsid w:val="002161CF"/>
    <w:rsid w:val="002162ED"/>
    <w:rsid w:val="002163F2"/>
    <w:rsid w:val="00216BC5"/>
    <w:rsid w:val="00216F6D"/>
    <w:rsid w:val="002171C3"/>
    <w:rsid w:val="002174AE"/>
    <w:rsid w:val="00217705"/>
    <w:rsid w:val="002178CE"/>
    <w:rsid w:val="002179C6"/>
    <w:rsid w:val="00217A50"/>
    <w:rsid w:val="00217D88"/>
    <w:rsid w:val="00217DA9"/>
    <w:rsid w:val="00220056"/>
    <w:rsid w:val="002201D5"/>
    <w:rsid w:val="00220AFD"/>
    <w:rsid w:val="00220BCE"/>
    <w:rsid w:val="00220FD4"/>
    <w:rsid w:val="002213B5"/>
    <w:rsid w:val="002215DA"/>
    <w:rsid w:val="002215DC"/>
    <w:rsid w:val="00221714"/>
    <w:rsid w:val="00221BC5"/>
    <w:rsid w:val="00221D3B"/>
    <w:rsid w:val="00221ED1"/>
    <w:rsid w:val="002222AA"/>
    <w:rsid w:val="0022244B"/>
    <w:rsid w:val="00222786"/>
    <w:rsid w:val="00222912"/>
    <w:rsid w:val="00222ACA"/>
    <w:rsid w:val="002234C8"/>
    <w:rsid w:val="00223A4A"/>
    <w:rsid w:val="00223D77"/>
    <w:rsid w:val="00224222"/>
    <w:rsid w:val="002242F6"/>
    <w:rsid w:val="002243F9"/>
    <w:rsid w:val="00224B2A"/>
    <w:rsid w:val="00224CF4"/>
    <w:rsid w:val="00224D54"/>
    <w:rsid w:val="00224EE3"/>
    <w:rsid w:val="00224F49"/>
    <w:rsid w:val="00225571"/>
    <w:rsid w:val="00225740"/>
    <w:rsid w:val="00225BB3"/>
    <w:rsid w:val="00225E1C"/>
    <w:rsid w:val="00225E59"/>
    <w:rsid w:val="0022639C"/>
    <w:rsid w:val="002267A4"/>
    <w:rsid w:val="00226862"/>
    <w:rsid w:val="00226CB5"/>
    <w:rsid w:val="0022726C"/>
    <w:rsid w:val="00227360"/>
    <w:rsid w:val="0022783D"/>
    <w:rsid w:val="00227BE2"/>
    <w:rsid w:val="00227C16"/>
    <w:rsid w:val="00227F70"/>
    <w:rsid w:val="00227F8E"/>
    <w:rsid w:val="0023015B"/>
    <w:rsid w:val="00230795"/>
    <w:rsid w:val="00230900"/>
    <w:rsid w:val="00230BA3"/>
    <w:rsid w:val="00230C34"/>
    <w:rsid w:val="002314A3"/>
    <w:rsid w:val="00231503"/>
    <w:rsid w:val="00231B68"/>
    <w:rsid w:val="00231C55"/>
    <w:rsid w:val="00231FBC"/>
    <w:rsid w:val="00231FEE"/>
    <w:rsid w:val="002320D2"/>
    <w:rsid w:val="00232121"/>
    <w:rsid w:val="002321FB"/>
    <w:rsid w:val="00232232"/>
    <w:rsid w:val="00232351"/>
    <w:rsid w:val="0023241C"/>
    <w:rsid w:val="002324E3"/>
    <w:rsid w:val="00232905"/>
    <w:rsid w:val="00232A22"/>
    <w:rsid w:val="00232D00"/>
    <w:rsid w:val="00233185"/>
    <w:rsid w:val="00233340"/>
    <w:rsid w:val="0023334A"/>
    <w:rsid w:val="002335EA"/>
    <w:rsid w:val="0023366B"/>
    <w:rsid w:val="0023369F"/>
    <w:rsid w:val="00233D0F"/>
    <w:rsid w:val="00233E53"/>
    <w:rsid w:val="002340B2"/>
    <w:rsid w:val="002341E4"/>
    <w:rsid w:val="00234246"/>
    <w:rsid w:val="002344CC"/>
    <w:rsid w:val="00234718"/>
    <w:rsid w:val="002349BE"/>
    <w:rsid w:val="00234D3B"/>
    <w:rsid w:val="00234E2A"/>
    <w:rsid w:val="00234FB9"/>
    <w:rsid w:val="00235179"/>
    <w:rsid w:val="002351B9"/>
    <w:rsid w:val="002351D7"/>
    <w:rsid w:val="00235288"/>
    <w:rsid w:val="0023586E"/>
    <w:rsid w:val="0023590D"/>
    <w:rsid w:val="00235956"/>
    <w:rsid w:val="00235B8C"/>
    <w:rsid w:val="00235D10"/>
    <w:rsid w:val="00235D26"/>
    <w:rsid w:val="00235EB5"/>
    <w:rsid w:val="00235EE0"/>
    <w:rsid w:val="00235FA9"/>
    <w:rsid w:val="0023608C"/>
    <w:rsid w:val="00236093"/>
    <w:rsid w:val="00236099"/>
    <w:rsid w:val="00236340"/>
    <w:rsid w:val="002368F5"/>
    <w:rsid w:val="00236D7F"/>
    <w:rsid w:val="00236E4B"/>
    <w:rsid w:val="00237295"/>
    <w:rsid w:val="002372E3"/>
    <w:rsid w:val="00237570"/>
    <w:rsid w:val="002375E5"/>
    <w:rsid w:val="00237705"/>
    <w:rsid w:val="0023786F"/>
    <w:rsid w:val="00237ADB"/>
    <w:rsid w:val="00237D93"/>
    <w:rsid w:val="00237F10"/>
    <w:rsid w:val="002400F0"/>
    <w:rsid w:val="00240271"/>
    <w:rsid w:val="00240345"/>
    <w:rsid w:val="0024077F"/>
    <w:rsid w:val="00240CED"/>
    <w:rsid w:val="00240D4C"/>
    <w:rsid w:val="00240F53"/>
    <w:rsid w:val="00240F59"/>
    <w:rsid w:val="00240FC7"/>
    <w:rsid w:val="0024119C"/>
    <w:rsid w:val="002413B6"/>
    <w:rsid w:val="002419DD"/>
    <w:rsid w:val="00241F3E"/>
    <w:rsid w:val="002425F5"/>
    <w:rsid w:val="002427DD"/>
    <w:rsid w:val="00243485"/>
    <w:rsid w:val="00243821"/>
    <w:rsid w:val="00243BEB"/>
    <w:rsid w:val="00243F20"/>
    <w:rsid w:val="0024411B"/>
    <w:rsid w:val="002442C7"/>
    <w:rsid w:val="0024431D"/>
    <w:rsid w:val="00244457"/>
    <w:rsid w:val="00244D36"/>
    <w:rsid w:val="00244E70"/>
    <w:rsid w:val="00244EDE"/>
    <w:rsid w:val="002454D8"/>
    <w:rsid w:val="002457BA"/>
    <w:rsid w:val="002459BF"/>
    <w:rsid w:val="00245AFB"/>
    <w:rsid w:val="00245BD8"/>
    <w:rsid w:val="00245F50"/>
    <w:rsid w:val="002460E8"/>
    <w:rsid w:val="00246384"/>
    <w:rsid w:val="00246398"/>
    <w:rsid w:val="002467E2"/>
    <w:rsid w:val="00246D45"/>
    <w:rsid w:val="00246E48"/>
    <w:rsid w:val="00246E88"/>
    <w:rsid w:val="00246EF9"/>
    <w:rsid w:val="00246F86"/>
    <w:rsid w:val="002470B1"/>
    <w:rsid w:val="002474A6"/>
    <w:rsid w:val="00247A10"/>
    <w:rsid w:val="00247D73"/>
    <w:rsid w:val="00247E7B"/>
    <w:rsid w:val="00247E9D"/>
    <w:rsid w:val="00247F19"/>
    <w:rsid w:val="002500B2"/>
    <w:rsid w:val="002504A6"/>
    <w:rsid w:val="002507D6"/>
    <w:rsid w:val="00250C97"/>
    <w:rsid w:val="00250DE0"/>
    <w:rsid w:val="00250E81"/>
    <w:rsid w:val="00250EEE"/>
    <w:rsid w:val="00250FBB"/>
    <w:rsid w:val="00251028"/>
    <w:rsid w:val="00251325"/>
    <w:rsid w:val="002514FE"/>
    <w:rsid w:val="002516A5"/>
    <w:rsid w:val="002517A1"/>
    <w:rsid w:val="002518C5"/>
    <w:rsid w:val="002518E7"/>
    <w:rsid w:val="00251C56"/>
    <w:rsid w:val="00251D75"/>
    <w:rsid w:val="002520E6"/>
    <w:rsid w:val="00252479"/>
    <w:rsid w:val="002525B0"/>
    <w:rsid w:val="0025264A"/>
    <w:rsid w:val="00252B8A"/>
    <w:rsid w:val="00252C0E"/>
    <w:rsid w:val="00252F64"/>
    <w:rsid w:val="002533F3"/>
    <w:rsid w:val="002536CB"/>
    <w:rsid w:val="00253A77"/>
    <w:rsid w:val="00253B8B"/>
    <w:rsid w:val="00254278"/>
    <w:rsid w:val="0025427B"/>
    <w:rsid w:val="002542A4"/>
    <w:rsid w:val="0025445D"/>
    <w:rsid w:val="00254619"/>
    <w:rsid w:val="00254B3E"/>
    <w:rsid w:val="00255105"/>
    <w:rsid w:val="0025520F"/>
    <w:rsid w:val="00255341"/>
    <w:rsid w:val="00255494"/>
    <w:rsid w:val="002557A2"/>
    <w:rsid w:val="00255965"/>
    <w:rsid w:val="00255A08"/>
    <w:rsid w:val="00256073"/>
    <w:rsid w:val="00256132"/>
    <w:rsid w:val="00256204"/>
    <w:rsid w:val="002562D1"/>
    <w:rsid w:val="002563CB"/>
    <w:rsid w:val="002563DE"/>
    <w:rsid w:val="00256522"/>
    <w:rsid w:val="00256536"/>
    <w:rsid w:val="002566E6"/>
    <w:rsid w:val="00256982"/>
    <w:rsid w:val="002569EF"/>
    <w:rsid w:val="002569FD"/>
    <w:rsid w:val="00256C26"/>
    <w:rsid w:val="0025712A"/>
    <w:rsid w:val="002571FA"/>
    <w:rsid w:val="0025726C"/>
    <w:rsid w:val="002572C2"/>
    <w:rsid w:val="0025754F"/>
    <w:rsid w:val="00257765"/>
    <w:rsid w:val="00257787"/>
    <w:rsid w:val="00257986"/>
    <w:rsid w:val="00257D72"/>
    <w:rsid w:val="00257E52"/>
    <w:rsid w:val="00260330"/>
    <w:rsid w:val="002604F9"/>
    <w:rsid w:val="00260591"/>
    <w:rsid w:val="00260614"/>
    <w:rsid w:val="00260824"/>
    <w:rsid w:val="0026091E"/>
    <w:rsid w:val="0026093D"/>
    <w:rsid w:val="00260966"/>
    <w:rsid w:val="00260986"/>
    <w:rsid w:val="00260BEE"/>
    <w:rsid w:val="00260EBB"/>
    <w:rsid w:val="00260EEB"/>
    <w:rsid w:val="002612CA"/>
    <w:rsid w:val="0026139D"/>
    <w:rsid w:val="0026150E"/>
    <w:rsid w:val="0026154E"/>
    <w:rsid w:val="002617F2"/>
    <w:rsid w:val="00261B6D"/>
    <w:rsid w:val="00261FC3"/>
    <w:rsid w:val="00262101"/>
    <w:rsid w:val="00262307"/>
    <w:rsid w:val="002623BA"/>
    <w:rsid w:val="00262A4A"/>
    <w:rsid w:val="00262B8D"/>
    <w:rsid w:val="00262D59"/>
    <w:rsid w:val="00263075"/>
    <w:rsid w:val="002632A8"/>
    <w:rsid w:val="002632B0"/>
    <w:rsid w:val="002633A0"/>
    <w:rsid w:val="002634E0"/>
    <w:rsid w:val="0026366E"/>
    <w:rsid w:val="0026394A"/>
    <w:rsid w:val="00263964"/>
    <w:rsid w:val="00263AF5"/>
    <w:rsid w:val="00263C49"/>
    <w:rsid w:val="00263C5F"/>
    <w:rsid w:val="00263F94"/>
    <w:rsid w:val="002640BC"/>
    <w:rsid w:val="00264186"/>
    <w:rsid w:val="002642F4"/>
    <w:rsid w:val="0026467B"/>
    <w:rsid w:val="00264833"/>
    <w:rsid w:val="00264CB2"/>
    <w:rsid w:val="00264CFD"/>
    <w:rsid w:val="00264FC3"/>
    <w:rsid w:val="0026500A"/>
    <w:rsid w:val="0026503E"/>
    <w:rsid w:val="002650EC"/>
    <w:rsid w:val="00265192"/>
    <w:rsid w:val="00265373"/>
    <w:rsid w:val="00265486"/>
    <w:rsid w:val="0026550E"/>
    <w:rsid w:val="00265544"/>
    <w:rsid w:val="0026558B"/>
    <w:rsid w:val="00265651"/>
    <w:rsid w:val="00265A78"/>
    <w:rsid w:val="00265A88"/>
    <w:rsid w:val="00265EB1"/>
    <w:rsid w:val="0026619B"/>
    <w:rsid w:val="00266841"/>
    <w:rsid w:val="00266882"/>
    <w:rsid w:val="00266A79"/>
    <w:rsid w:val="00266B21"/>
    <w:rsid w:val="00267176"/>
    <w:rsid w:val="00267261"/>
    <w:rsid w:val="0026734C"/>
    <w:rsid w:val="00267685"/>
    <w:rsid w:val="00267D30"/>
    <w:rsid w:val="00267DC7"/>
    <w:rsid w:val="00267F9F"/>
    <w:rsid w:val="00270725"/>
    <w:rsid w:val="00270731"/>
    <w:rsid w:val="00270C15"/>
    <w:rsid w:val="00270F2E"/>
    <w:rsid w:val="00271440"/>
    <w:rsid w:val="002716E2"/>
    <w:rsid w:val="00271D66"/>
    <w:rsid w:val="002722AE"/>
    <w:rsid w:val="00272660"/>
    <w:rsid w:val="00272881"/>
    <w:rsid w:val="00272AAE"/>
    <w:rsid w:val="00272BBC"/>
    <w:rsid w:val="00272CD3"/>
    <w:rsid w:val="00272F0F"/>
    <w:rsid w:val="0027341A"/>
    <w:rsid w:val="002736D7"/>
    <w:rsid w:val="0027370D"/>
    <w:rsid w:val="00273A24"/>
    <w:rsid w:val="00273DCE"/>
    <w:rsid w:val="00273FA5"/>
    <w:rsid w:val="002741ED"/>
    <w:rsid w:val="00274453"/>
    <w:rsid w:val="0027489E"/>
    <w:rsid w:val="00274A37"/>
    <w:rsid w:val="00274B14"/>
    <w:rsid w:val="00274C8E"/>
    <w:rsid w:val="0027520E"/>
    <w:rsid w:val="0027553C"/>
    <w:rsid w:val="00275652"/>
    <w:rsid w:val="002757FB"/>
    <w:rsid w:val="0027594F"/>
    <w:rsid w:val="00275BBE"/>
    <w:rsid w:val="00275E10"/>
    <w:rsid w:val="002760B6"/>
    <w:rsid w:val="0027613A"/>
    <w:rsid w:val="002762E0"/>
    <w:rsid w:val="00276401"/>
    <w:rsid w:val="00276445"/>
    <w:rsid w:val="0027668C"/>
    <w:rsid w:val="002767B8"/>
    <w:rsid w:val="002768CC"/>
    <w:rsid w:val="002769E7"/>
    <w:rsid w:val="00276E75"/>
    <w:rsid w:val="002771C7"/>
    <w:rsid w:val="00277243"/>
    <w:rsid w:val="00277630"/>
    <w:rsid w:val="002777A9"/>
    <w:rsid w:val="002779B1"/>
    <w:rsid w:val="00277CF0"/>
    <w:rsid w:val="00277D60"/>
    <w:rsid w:val="00277DA4"/>
    <w:rsid w:val="0028014F"/>
    <w:rsid w:val="002801D8"/>
    <w:rsid w:val="0028024F"/>
    <w:rsid w:val="002802F5"/>
    <w:rsid w:val="0028058D"/>
    <w:rsid w:val="002805F6"/>
    <w:rsid w:val="0028072A"/>
    <w:rsid w:val="002809AC"/>
    <w:rsid w:val="00280DBB"/>
    <w:rsid w:val="00280ECF"/>
    <w:rsid w:val="00280F3F"/>
    <w:rsid w:val="00280FF9"/>
    <w:rsid w:val="002810A6"/>
    <w:rsid w:val="002811BD"/>
    <w:rsid w:val="0028155A"/>
    <w:rsid w:val="0028188C"/>
    <w:rsid w:val="0028191D"/>
    <w:rsid w:val="00281B8A"/>
    <w:rsid w:val="00281C75"/>
    <w:rsid w:val="00281D92"/>
    <w:rsid w:val="00281FC6"/>
    <w:rsid w:val="00282103"/>
    <w:rsid w:val="00282712"/>
    <w:rsid w:val="00282BA4"/>
    <w:rsid w:val="00282E00"/>
    <w:rsid w:val="00283183"/>
    <w:rsid w:val="0028336A"/>
    <w:rsid w:val="0028352E"/>
    <w:rsid w:val="002837F9"/>
    <w:rsid w:val="0028380E"/>
    <w:rsid w:val="00283A12"/>
    <w:rsid w:val="002841DF"/>
    <w:rsid w:val="0028429C"/>
    <w:rsid w:val="00284862"/>
    <w:rsid w:val="00284A20"/>
    <w:rsid w:val="00284AA3"/>
    <w:rsid w:val="00284C45"/>
    <w:rsid w:val="00284FDB"/>
    <w:rsid w:val="002853A0"/>
    <w:rsid w:val="002858F2"/>
    <w:rsid w:val="00285F4F"/>
    <w:rsid w:val="00286063"/>
    <w:rsid w:val="0028637C"/>
    <w:rsid w:val="00286476"/>
    <w:rsid w:val="0028651A"/>
    <w:rsid w:val="002865E1"/>
    <w:rsid w:val="002869BE"/>
    <w:rsid w:val="00286A89"/>
    <w:rsid w:val="00286E12"/>
    <w:rsid w:val="00286E8B"/>
    <w:rsid w:val="00286F88"/>
    <w:rsid w:val="00287352"/>
    <w:rsid w:val="00287396"/>
    <w:rsid w:val="002876C5"/>
    <w:rsid w:val="002877A9"/>
    <w:rsid w:val="00287900"/>
    <w:rsid w:val="00287905"/>
    <w:rsid w:val="00287CC6"/>
    <w:rsid w:val="00290017"/>
    <w:rsid w:val="0029068E"/>
    <w:rsid w:val="002909C3"/>
    <w:rsid w:val="00290BB3"/>
    <w:rsid w:val="00290C6F"/>
    <w:rsid w:val="00290D49"/>
    <w:rsid w:val="00290F8D"/>
    <w:rsid w:val="0029108F"/>
    <w:rsid w:val="002913D4"/>
    <w:rsid w:val="002918CD"/>
    <w:rsid w:val="00291B90"/>
    <w:rsid w:val="00291C66"/>
    <w:rsid w:val="00291CF8"/>
    <w:rsid w:val="00291D05"/>
    <w:rsid w:val="00291EA2"/>
    <w:rsid w:val="00291FE6"/>
    <w:rsid w:val="00292512"/>
    <w:rsid w:val="002925A6"/>
    <w:rsid w:val="002926CB"/>
    <w:rsid w:val="00292727"/>
    <w:rsid w:val="002929F6"/>
    <w:rsid w:val="00292A29"/>
    <w:rsid w:val="00292A99"/>
    <w:rsid w:val="00293195"/>
    <w:rsid w:val="002931FA"/>
    <w:rsid w:val="00294020"/>
    <w:rsid w:val="00294226"/>
    <w:rsid w:val="002945D3"/>
    <w:rsid w:val="002945FF"/>
    <w:rsid w:val="0029467C"/>
    <w:rsid w:val="0029496B"/>
    <w:rsid w:val="0029525F"/>
    <w:rsid w:val="00295263"/>
    <w:rsid w:val="0029571E"/>
    <w:rsid w:val="002958A9"/>
    <w:rsid w:val="00295A5C"/>
    <w:rsid w:val="00295BA6"/>
    <w:rsid w:val="00295C36"/>
    <w:rsid w:val="00295D41"/>
    <w:rsid w:val="00295E81"/>
    <w:rsid w:val="00296455"/>
    <w:rsid w:val="002964E3"/>
    <w:rsid w:val="0029674A"/>
    <w:rsid w:val="00296764"/>
    <w:rsid w:val="00296C35"/>
    <w:rsid w:val="00297041"/>
    <w:rsid w:val="002971D8"/>
    <w:rsid w:val="00297200"/>
    <w:rsid w:val="0029720C"/>
    <w:rsid w:val="00297306"/>
    <w:rsid w:val="0029753D"/>
    <w:rsid w:val="0029756D"/>
    <w:rsid w:val="002979C8"/>
    <w:rsid w:val="00297A51"/>
    <w:rsid w:val="00297B5A"/>
    <w:rsid w:val="00297CE9"/>
    <w:rsid w:val="002A0034"/>
    <w:rsid w:val="002A016C"/>
    <w:rsid w:val="002A045B"/>
    <w:rsid w:val="002A07BF"/>
    <w:rsid w:val="002A0A1F"/>
    <w:rsid w:val="002A0DEB"/>
    <w:rsid w:val="002A11B5"/>
    <w:rsid w:val="002A136E"/>
    <w:rsid w:val="002A1487"/>
    <w:rsid w:val="002A198A"/>
    <w:rsid w:val="002A1FC9"/>
    <w:rsid w:val="002A2084"/>
    <w:rsid w:val="002A20E4"/>
    <w:rsid w:val="002A22D9"/>
    <w:rsid w:val="002A2358"/>
    <w:rsid w:val="002A249C"/>
    <w:rsid w:val="002A2D80"/>
    <w:rsid w:val="002A34CC"/>
    <w:rsid w:val="002A354A"/>
    <w:rsid w:val="002A39BA"/>
    <w:rsid w:val="002A3C86"/>
    <w:rsid w:val="002A40AE"/>
    <w:rsid w:val="002A42C5"/>
    <w:rsid w:val="002A43D7"/>
    <w:rsid w:val="002A49C9"/>
    <w:rsid w:val="002A4ADD"/>
    <w:rsid w:val="002A4BD0"/>
    <w:rsid w:val="002A4F12"/>
    <w:rsid w:val="002A4F5A"/>
    <w:rsid w:val="002A513C"/>
    <w:rsid w:val="002A53CB"/>
    <w:rsid w:val="002A546A"/>
    <w:rsid w:val="002A5EF5"/>
    <w:rsid w:val="002A611D"/>
    <w:rsid w:val="002A62EE"/>
    <w:rsid w:val="002A644D"/>
    <w:rsid w:val="002A649C"/>
    <w:rsid w:val="002A6577"/>
    <w:rsid w:val="002A6658"/>
    <w:rsid w:val="002A6900"/>
    <w:rsid w:val="002A696B"/>
    <w:rsid w:val="002A6A45"/>
    <w:rsid w:val="002A6F1B"/>
    <w:rsid w:val="002A70B8"/>
    <w:rsid w:val="002A7148"/>
    <w:rsid w:val="002A71C3"/>
    <w:rsid w:val="002A73B2"/>
    <w:rsid w:val="002A77F8"/>
    <w:rsid w:val="002A7824"/>
    <w:rsid w:val="002A7996"/>
    <w:rsid w:val="002A7CAF"/>
    <w:rsid w:val="002A7DF0"/>
    <w:rsid w:val="002B01DC"/>
    <w:rsid w:val="002B02BE"/>
    <w:rsid w:val="002B094E"/>
    <w:rsid w:val="002B0CA4"/>
    <w:rsid w:val="002B0DA7"/>
    <w:rsid w:val="002B0DBF"/>
    <w:rsid w:val="002B103F"/>
    <w:rsid w:val="002B1121"/>
    <w:rsid w:val="002B11AB"/>
    <w:rsid w:val="002B1422"/>
    <w:rsid w:val="002B1496"/>
    <w:rsid w:val="002B17C4"/>
    <w:rsid w:val="002B1908"/>
    <w:rsid w:val="002B1D58"/>
    <w:rsid w:val="002B1DBD"/>
    <w:rsid w:val="002B1EE8"/>
    <w:rsid w:val="002B1F80"/>
    <w:rsid w:val="002B2605"/>
    <w:rsid w:val="002B2659"/>
    <w:rsid w:val="002B28F3"/>
    <w:rsid w:val="002B2CA0"/>
    <w:rsid w:val="002B2EDB"/>
    <w:rsid w:val="002B2FCC"/>
    <w:rsid w:val="002B326F"/>
    <w:rsid w:val="002B32E0"/>
    <w:rsid w:val="002B345B"/>
    <w:rsid w:val="002B346C"/>
    <w:rsid w:val="002B3726"/>
    <w:rsid w:val="002B3807"/>
    <w:rsid w:val="002B3ED6"/>
    <w:rsid w:val="002B4113"/>
    <w:rsid w:val="002B41B8"/>
    <w:rsid w:val="002B46C0"/>
    <w:rsid w:val="002B47A8"/>
    <w:rsid w:val="002B48DD"/>
    <w:rsid w:val="002B4A2D"/>
    <w:rsid w:val="002B4AA0"/>
    <w:rsid w:val="002B4E61"/>
    <w:rsid w:val="002B4F4B"/>
    <w:rsid w:val="002B51E1"/>
    <w:rsid w:val="002B53DD"/>
    <w:rsid w:val="002B54DE"/>
    <w:rsid w:val="002B5521"/>
    <w:rsid w:val="002B5E06"/>
    <w:rsid w:val="002B5E7C"/>
    <w:rsid w:val="002B60B6"/>
    <w:rsid w:val="002B6212"/>
    <w:rsid w:val="002B6381"/>
    <w:rsid w:val="002B6681"/>
    <w:rsid w:val="002B6BFB"/>
    <w:rsid w:val="002B6ED0"/>
    <w:rsid w:val="002B7108"/>
    <w:rsid w:val="002B71B1"/>
    <w:rsid w:val="002B739E"/>
    <w:rsid w:val="002B73AE"/>
    <w:rsid w:val="002B7688"/>
    <w:rsid w:val="002B7A49"/>
    <w:rsid w:val="002B7CB1"/>
    <w:rsid w:val="002B7D17"/>
    <w:rsid w:val="002B7DD4"/>
    <w:rsid w:val="002B7FFA"/>
    <w:rsid w:val="002C0071"/>
    <w:rsid w:val="002C0205"/>
    <w:rsid w:val="002C04CC"/>
    <w:rsid w:val="002C060F"/>
    <w:rsid w:val="002C07DB"/>
    <w:rsid w:val="002C0823"/>
    <w:rsid w:val="002C091F"/>
    <w:rsid w:val="002C0972"/>
    <w:rsid w:val="002C0B57"/>
    <w:rsid w:val="002C0CBF"/>
    <w:rsid w:val="002C0CD9"/>
    <w:rsid w:val="002C0DB7"/>
    <w:rsid w:val="002C0DC3"/>
    <w:rsid w:val="002C0E4F"/>
    <w:rsid w:val="002C0F1C"/>
    <w:rsid w:val="002C0F20"/>
    <w:rsid w:val="002C1204"/>
    <w:rsid w:val="002C1276"/>
    <w:rsid w:val="002C14A0"/>
    <w:rsid w:val="002C15A3"/>
    <w:rsid w:val="002C163C"/>
    <w:rsid w:val="002C1BC7"/>
    <w:rsid w:val="002C1C53"/>
    <w:rsid w:val="002C1E5E"/>
    <w:rsid w:val="002C215B"/>
    <w:rsid w:val="002C21AE"/>
    <w:rsid w:val="002C2231"/>
    <w:rsid w:val="002C227D"/>
    <w:rsid w:val="002C24EA"/>
    <w:rsid w:val="002C2506"/>
    <w:rsid w:val="002C2B83"/>
    <w:rsid w:val="002C2C74"/>
    <w:rsid w:val="002C2CE4"/>
    <w:rsid w:val="002C2F98"/>
    <w:rsid w:val="002C2FC0"/>
    <w:rsid w:val="002C2FC5"/>
    <w:rsid w:val="002C310B"/>
    <w:rsid w:val="002C3417"/>
    <w:rsid w:val="002C34A6"/>
    <w:rsid w:val="002C34D1"/>
    <w:rsid w:val="002C3640"/>
    <w:rsid w:val="002C36D0"/>
    <w:rsid w:val="002C3F9C"/>
    <w:rsid w:val="002C41C1"/>
    <w:rsid w:val="002C475C"/>
    <w:rsid w:val="002C4B34"/>
    <w:rsid w:val="002C4DA9"/>
    <w:rsid w:val="002C4EB2"/>
    <w:rsid w:val="002C4F54"/>
    <w:rsid w:val="002C51E2"/>
    <w:rsid w:val="002C5217"/>
    <w:rsid w:val="002C52A7"/>
    <w:rsid w:val="002C54F6"/>
    <w:rsid w:val="002C56C4"/>
    <w:rsid w:val="002C5F30"/>
    <w:rsid w:val="002C600F"/>
    <w:rsid w:val="002C6132"/>
    <w:rsid w:val="002C619D"/>
    <w:rsid w:val="002C624B"/>
    <w:rsid w:val="002C647A"/>
    <w:rsid w:val="002C64A4"/>
    <w:rsid w:val="002C6700"/>
    <w:rsid w:val="002C68AD"/>
    <w:rsid w:val="002C696F"/>
    <w:rsid w:val="002C6A70"/>
    <w:rsid w:val="002C6D4E"/>
    <w:rsid w:val="002C6D4F"/>
    <w:rsid w:val="002C7083"/>
    <w:rsid w:val="002C70A4"/>
    <w:rsid w:val="002C7191"/>
    <w:rsid w:val="002C7349"/>
    <w:rsid w:val="002C74D1"/>
    <w:rsid w:val="002C75BB"/>
    <w:rsid w:val="002C7618"/>
    <w:rsid w:val="002C7677"/>
    <w:rsid w:val="002C7892"/>
    <w:rsid w:val="002C79A8"/>
    <w:rsid w:val="002C79D8"/>
    <w:rsid w:val="002D022E"/>
    <w:rsid w:val="002D0709"/>
    <w:rsid w:val="002D083C"/>
    <w:rsid w:val="002D0AD7"/>
    <w:rsid w:val="002D0B62"/>
    <w:rsid w:val="002D0B93"/>
    <w:rsid w:val="002D0B95"/>
    <w:rsid w:val="002D0CAB"/>
    <w:rsid w:val="002D0F3B"/>
    <w:rsid w:val="002D11C5"/>
    <w:rsid w:val="002D152A"/>
    <w:rsid w:val="002D1950"/>
    <w:rsid w:val="002D1C04"/>
    <w:rsid w:val="002D1F73"/>
    <w:rsid w:val="002D1F83"/>
    <w:rsid w:val="002D23EC"/>
    <w:rsid w:val="002D24D2"/>
    <w:rsid w:val="002D27D6"/>
    <w:rsid w:val="002D28F3"/>
    <w:rsid w:val="002D2912"/>
    <w:rsid w:val="002D29A8"/>
    <w:rsid w:val="002D2A1B"/>
    <w:rsid w:val="002D2BE5"/>
    <w:rsid w:val="002D2F23"/>
    <w:rsid w:val="002D3389"/>
    <w:rsid w:val="002D36BB"/>
    <w:rsid w:val="002D39EF"/>
    <w:rsid w:val="002D3A7A"/>
    <w:rsid w:val="002D3C82"/>
    <w:rsid w:val="002D4257"/>
    <w:rsid w:val="002D433A"/>
    <w:rsid w:val="002D4379"/>
    <w:rsid w:val="002D437C"/>
    <w:rsid w:val="002D4417"/>
    <w:rsid w:val="002D4845"/>
    <w:rsid w:val="002D48AA"/>
    <w:rsid w:val="002D4FDA"/>
    <w:rsid w:val="002D4FEC"/>
    <w:rsid w:val="002D50E0"/>
    <w:rsid w:val="002D55A2"/>
    <w:rsid w:val="002D561D"/>
    <w:rsid w:val="002D5651"/>
    <w:rsid w:val="002D587C"/>
    <w:rsid w:val="002D5909"/>
    <w:rsid w:val="002D5C5F"/>
    <w:rsid w:val="002D5CEB"/>
    <w:rsid w:val="002D5E87"/>
    <w:rsid w:val="002D606D"/>
    <w:rsid w:val="002D6193"/>
    <w:rsid w:val="002D61C2"/>
    <w:rsid w:val="002D6822"/>
    <w:rsid w:val="002D6915"/>
    <w:rsid w:val="002D692A"/>
    <w:rsid w:val="002D6A9E"/>
    <w:rsid w:val="002D6B68"/>
    <w:rsid w:val="002D6C27"/>
    <w:rsid w:val="002D6E5F"/>
    <w:rsid w:val="002D6F1B"/>
    <w:rsid w:val="002D787F"/>
    <w:rsid w:val="002D78EA"/>
    <w:rsid w:val="002D792F"/>
    <w:rsid w:val="002D7CEE"/>
    <w:rsid w:val="002D7FD5"/>
    <w:rsid w:val="002E0035"/>
    <w:rsid w:val="002E0278"/>
    <w:rsid w:val="002E05A1"/>
    <w:rsid w:val="002E095C"/>
    <w:rsid w:val="002E0A2C"/>
    <w:rsid w:val="002E0AF7"/>
    <w:rsid w:val="002E0D65"/>
    <w:rsid w:val="002E110F"/>
    <w:rsid w:val="002E11EB"/>
    <w:rsid w:val="002E127E"/>
    <w:rsid w:val="002E1304"/>
    <w:rsid w:val="002E16AD"/>
    <w:rsid w:val="002E19F7"/>
    <w:rsid w:val="002E1B9B"/>
    <w:rsid w:val="002E1C11"/>
    <w:rsid w:val="002E1FDB"/>
    <w:rsid w:val="002E2487"/>
    <w:rsid w:val="002E25A3"/>
    <w:rsid w:val="002E27B2"/>
    <w:rsid w:val="002E28A2"/>
    <w:rsid w:val="002E29F1"/>
    <w:rsid w:val="002E2C7B"/>
    <w:rsid w:val="002E2E34"/>
    <w:rsid w:val="002E2ECB"/>
    <w:rsid w:val="002E31A5"/>
    <w:rsid w:val="002E33E7"/>
    <w:rsid w:val="002E3553"/>
    <w:rsid w:val="002E3565"/>
    <w:rsid w:val="002E35FD"/>
    <w:rsid w:val="002E364C"/>
    <w:rsid w:val="002E37BD"/>
    <w:rsid w:val="002E3913"/>
    <w:rsid w:val="002E3A1A"/>
    <w:rsid w:val="002E3D4E"/>
    <w:rsid w:val="002E3F59"/>
    <w:rsid w:val="002E4392"/>
    <w:rsid w:val="002E440D"/>
    <w:rsid w:val="002E440E"/>
    <w:rsid w:val="002E4436"/>
    <w:rsid w:val="002E462B"/>
    <w:rsid w:val="002E49C5"/>
    <w:rsid w:val="002E4D00"/>
    <w:rsid w:val="002E4EF9"/>
    <w:rsid w:val="002E51AE"/>
    <w:rsid w:val="002E51D2"/>
    <w:rsid w:val="002E52FB"/>
    <w:rsid w:val="002E53C1"/>
    <w:rsid w:val="002E5401"/>
    <w:rsid w:val="002E571C"/>
    <w:rsid w:val="002E5895"/>
    <w:rsid w:val="002E5A20"/>
    <w:rsid w:val="002E5A93"/>
    <w:rsid w:val="002E5E6A"/>
    <w:rsid w:val="002E5F41"/>
    <w:rsid w:val="002E60BF"/>
    <w:rsid w:val="002E6354"/>
    <w:rsid w:val="002E6665"/>
    <w:rsid w:val="002E68E8"/>
    <w:rsid w:val="002E6E61"/>
    <w:rsid w:val="002E6E6F"/>
    <w:rsid w:val="002E7189"/>
    <w:rsid w:val="002E7419"/>
    <w:rsid w:val="002E753E"/>
    <w:rsid w:val="002E7555"/>
    <w:rsid w:val="002E79CA"/>
    <w:rsid w:val="002E7A69"/>
    <w:rsid w:val="002E7B01"/>
    <w:rsid w:val="002E7C31"/>
    <w:rsid w:val="002F0648"/>
    <w:rsid w:val="002F0712"/>
    <w:rsid w:val="002F0A30"/>
    <w:rsid w:val="002F0D4D"/>
    <w:rsid w:val="002F0FDC"/>
    <w:rsid w:val="002F1339"/>
    <w:rsid w:val="002F158D"/>
    <w:rsid w:val="002F16BA"/>
    <w:rsid w:val="002F17F9"/>
    <w:rsid w:val="002F189B"/>
    <w:rsid w:val="002F1A9E"/>
    <w:rsid w:val="002F1D28"/>
    <w:rsid w:val="002F1D6D"/>
    <w:rsid w:val="002F238A"/>
    <w:rsid w:val="002F23EE"/>
    <w:rsid w:val="002F2434"/>
    <w:rsid w:val="002F27B4"/>
    <w:rsid w:val="002F2A61"/>
    <w:rsid w:val="002F2C63"/>
    <w:rsid w:val="002F3009"/>
    <w:rsid w:val="002F319F"/>
    <w:rsid w:val="002F34B3"/>
    <w:rsid w:val="002F35AD"/>
    <w:rsid w:val="002F35AF"/>
    <w:rsid w:val="002F361B"/>
    <w:rsid w:val="002F364A"/>
    <w:rsid w:val="002F3792"/>
    <w:rsid w:val="002F37B4"/>
    <w:rsid w:val="002F3D3C"/>
    <w:rsid w:val="002F4063"/>
    <w:rsid w:val="002F4299"/>
    <w:rsid w:val="002F4B9D"/>
    <w:rsid w:val="002F4E85"/>
    <w:rsid w:val="002F4F6E"/>
    <w:rsid w:val="002F4FA2"/>
    <w:rsid w:val="002F5304"/>
    <w:rsid w:val="002F558F"/>
    <w:rsid w:val="002F5D05"/>
    <w:rsid w:val="002F61B4"/>
    <w:rsid w:val="002F63A8"/>
    <w:rsid w:val="002F6B83"/>
    <w:rsid w:val="002F6C79"/>
    <w:rsid w:val="002F719E"/>
    <w:rsid w:val="002F72CD"/>
    <w:rsid w:val="002F75A8"/>
    <w:rsid w:val="002F7D2C"/>
    <w:rsid w:val="00300105"/>
    <w:rsid w:val="0030037D"/>
    <w:rsid w:val="00300445"/>
    <w:rsid w:val="0030058E"/>
    <w:rsid w:val="0030081C"/>
    <w:rsid w:val="00300876"/>
    <w:rsid w:val="00300C25"/>
    <w:rsid w:val="00300E7F"/>
    <w:rsid w:val="00300E9D"/>
    <w:rsid w:val="00300F32"/>
    <w:rsid w:val="00300F4B"/>
    <w:rsid w:val="00300FB2"/>
    <w:rsid w:val="00300FDA"/>
    <w:rsid w:val="003010EB"/>
    <w:rsid w:val="00301479"/>
    <w:rsid w:val="003014CA"/>
    <w:rsid w:val="003016A5"/>
    <w:rsid w:val="003016CD"/>
    <w:rsid w:val="00301EE3"/>
    <w:rsid w:val="00302104"/>
    <w:rsid w:val="0030215B"/>
    <w:rsid w:val="0030220B"/>
    <w:rsid w:val="003022E2"/>
    <w:rsid w:val="0030261E"/>
    <w:rsid w:val="00302B25"/>
    <w:rsid w:val="00302BC5"/>
    <w:rsid w:val="00302E89"/>
    <w:rsid w:val="00303134"/>
    <w:rsid w:val="003031F9"/>
    <w:rsid w:val="003032A3"/>
    <w:rsid w:val="003033C9"/>
    <w:rsid w:val="00303800"/>
    <w:rsid w:val="00303A46"/>
    <w:rsid w:val="00303BA6"/>
    <w:rsid w:val="003040D0"/>
    <w:rsid w:val="003044D6"/>
    <w:rsid w:val="0030459D"/>
    <w:rsid w:val="003046EA"/>
    <w:rsid w:val="00304821"/>
    <w:rsid w:val="003049AB"/>
    <w:rsid w:val="0030533B"/>
    <w:rsid w:val="00305357"/>
    <w:rsid w:val="003056F5"/>
    <w:rsid w:val="003059CA"/>
    <w:rsid w:val="00305C53"/>
    <w:rsid w:val="00305D5D"/>
    <w:rsid w:val="00305E5C"/>
    <w:rsid w:val="00306273"/>
    <w:rsid w:val="00306543"/>
    <w:rsid w:val="00306ACB"/>
    <w:rsid w:val="00306E15"/>
    <w:rsid w:val="00306F52"/>
    <w:rsid w:val="003070A2"/>
    <w:rsid w:val="0030728A"/>
    <w:rsid w:val="0030785B"/>
    <w:rsid w:val="00307898"/>
    <w:rsid w:val="00307C00"/>
    <w:rsid w:val="00307C0B"/>
    <w:rsid w:val="00307C45"/>
    <w:rsid w:val="00307DBB"/>
    <w:rsid w:val="00307DFA"/>
    <w:rsid w:val="0031001E"/>
    <w:rsid w:val="00310134"/>
    <w:rsid w:val="00310138"/>
    <w:rsid w:val="003106F7"/>
    <w:rsid w:val="00310A27"/>
    <w:rsid w:val="00310A6A"/>
    <w:rsid w:val="00310BC0"/>
    <w:rsid w:val="00310CFD"/>
    <w:rsid w:val="00310F4D"/>
    <w:rsid w:val="00310FCB"/>
    <w:rsid w:val="00310FEE"/>
    <w:rsid w:val="00311086"/>
    <w:rsid w:val="003110B5"/>
    <w:rsid w:val="0031118C"/>
    <w:rsid w:val="00311512"/>
    <w:rsid w:val="00311573"/>
    <w:rsid w:val="00311594"/>
    <w:rsid w:val="003116B7"/>
    <w:rsid w:val="00312002"/>
    <w:rsid w:val="00312144"/>
    <w:rsid w:val="00312493"/>
    <w:rsid w:val="003124A2"/>
    <w:rsid w:val="003124F6"/>
    <w:rsid w:val="00312593"/>
    <w:rsid w:val="00312FD0"/>
    <w:rsid w:val="00313075"/>
    <w:rsid w:val="00313116"/>
    <w:rsid w:val="00313379"/>
    <w:rsid w:val="003135D9"/>
    <w:rsid w:val="003136C2"/>
    <w:rsid w:val="0031376F"/>
    <w:rsid w:val="0031386E"/>
    <w:rsid w:val="00313901"/>
    <w:rsid w:val="00313A4B"/>
    <w:rsid w:val="00313AA4"/>
    <w:rsid w:val="00313B5D"/>
    <w:rsid w:val="00313D57"/>
    <w:rsid w:val="0031424D"/>
    <w:rsid w:val="003144C4"/>
    <w:rsid w:val="00314A4F"/>
    <w:rsid w:val="00314CCD"/>
    <w:rsid w:val="00314F1C"/>
    <w:rsid w:val="00315217"/>
    <w:rsid w:val="003152EA"/>
    <w:rsid w:val="00315395"/>
    <w:rsid w:val="003153BA"/>
    <w:rsid w:val="00315977"/>
    <w:rsid w:val="00315B08"/>
    <w:rsid w:val="00315BE4"/>
    <w:rsid w:val="00315C39"/>
    <w:rsid w:val="00315C94"/>
    <w:rsid w:val="00315D43"/>
    <w:rsid w:val="00315F60"/>
    <w:rsid w:val="00316571"/>
    <w:rsid w:val="003165D7"/>
    <w:rsid w:val="00316EC4"/>
    <w:rsid w:val="00316F0C"/>
    <w:rsid w:val="00317001"/>
    <w:rsid w:val="00317501"/>
    <w:rsid w:val="003175CC"/>
    <w:rsid w:val="003177F2"/>
    <w:rsid w:val="00317ADC"/>
    <w:rsid w:val="00317BFB"/>
    <w:rsid w:val="00317CE7"/>
    <w:rsid w:val="00317D7D"/>
    <w:rsid w:val="00317E6D"/>
    <w:rsid w:val="00320368"/>
    <w:rsid w:val="003205B2"/>
    <w:rsid w:val="0032086A"/>
    <w:rsid w:val="003209FC"/>
    <w:rsid w:val="00320C56"/>
    <w:rsid w:val="00320DBF"/>
    <w:rsid w:val="00320E12"/>
    <w:rsid w:val="003214EB"/>
    <w:rsid w:val="003214F5"/>
    <w:rsid w:val="00321734"/>
    <w:rsid w:val="003218E6"/>
    <w:rsid w:val="00321B24"/>
    <w:rsid w:val="00321C67"/>
    <w:rsid w:val="00321DB0"/>
    <w:rsid w:val="00321DC7"/>
    <w:rsid w:val="00321F30"/>
    <w:rsid w:val="00321F95"/>
    <w:rsid w:val="00321FEF"/>
    <w:rsid w:val="00322151"/>
    <w:rsid w:val="003221C5"/>
    <w:rsid w:val="003223FB"/>
    <w:rsid w:val="00322964"/>
    <w:rsid w:val="00322971"/>
    <w:rsid w:val="00322ACF"/>
    <w:rsid w:val="00322BF2"/>
    <w:rsid w:val="00322DC7"/>
    <w:rsid w:val="003234A7"/>
    <w:rsid w:val="0032357E"/>
    <w:rsid w:val="003238A4"/>
    <w:rsid w:val="00323C55"/>
    <w:rsid w:val="00323C62"/>
    <w:rsid w:val="003241BB"/>
    <w:rsid w:val="00324364"/>
    <w:rsid w:val="00324394"/>
    <w:rsid w:val="00324A48"/>
    <w:rsid w:val="00324AA4"/>
    <w:rsid w:val="00324AE4"/>
    <w:rsid w:val="00324AEC"/>
    <w:rsid w:val="00324C23"/>
    <w:rsid w:val="00324DD0"/>
    <w:rsid w:val="00325071"/>
    <w:rsid w:val="00325127"/>
    <w:rsid w:val="0032540B"/>
    <w:rsid w:val="00325455"/>
    <w:rsid w:val="0032586D"/>
    <w:rsid w:val="00325F46"/>
    <w:rsid w:val="00325F65"/>
    <w:rsid w:val="0032616B"/>
    <w:rsid w:val="00326170"/>
    <w:rsid w:val="00326388"/>
    <w:rsid w:val="003264FC"/>
    <w:rsid w:val="0032652E"/>
    <w:rsid w:val="00326B60"/>
    <w:rsid w:val="00326C9E"/>
    <w:rsid w:val="0032703F"/>
    <w:rsid w:val="003275D4"/>
    <w:rsid w:val="00327AAA"/>
    <w:rsid w:val="00327FCF"/>
    <w:rsid w:val="003301C7"/>
    <w:rsid w:val="003301E9"/>
    <w:rsid w:val="00330457"/>
    <w:rsid w:val="003306E3"/>
    <w:rsid w:val="0033074B"/>
    <w:rsid w:val="003308A8"/>
    <w:rsid w:val="00330980"/>
    <w:rsid w:val="00330B43"/>
    <w:rsid w:val="00330BD4"/>
    <w:rsid w:val="00330C4A"/>
    <w:rsid w:val="00330F3F"/>
    <w:rsid w:val="00330FB2"/>
    <w:rsid w:val="003310C6"/>
    <w:rsid w:val="00331686"/>
    <w:rsid w:val="003316DA"/>
    <w:rsid w:val="00331819"/>
    <w:rsid w:val="00331A29"/>
    <w:rsid w:val="00331B9B"/>
    <w:rsid w:val="00331F11"/>
    <w:rsid w:val="0033234A"/>
    <w:rsid w:val="00332519"/>
    <w:rsid w:val="0033277E"/>
    <w:rsid w:val="0033286B"/>
    <w:rsid w:val="003328A5"/>
    <w:rsid w:val="00332FF1"/>
    <w:rsid w:val="003330E6"/>
    <w:rsid w:val="00333E78"/>
    <w:rsid w:val="00334062"/>
    <w:rsid w:val="00334196"/>
    <w:rsid w:val="003341AE"/>
    <w:rsid w:val="00334231"/>
    <w:rsid w:val="00334B3F"/>
    <w:rsid w:val="00334BB5"/>
    <w:rsid w:val="00334F52"/>
    <w:rsid w:val="00334FDF"/>
    <w:rsid w:val="00335092"/>
    <w:rsid w:val="003350A1"/>
    <w:rsid w:val="003351C5"/>
    <w:rsid w:val="00335221"/>
    <w:rsid w:val="003352DD"/>
    <w:rsid w:val="00335439"/>
    <w:rsid w:val="003355B7"/>
    <w:rsid w:val="003358CB"/>
    <w:rsid w:val="003358F3"/>
    <w:rsid w:val="00335AF5"/>
    <w:rsid w:val="00335CFC"/>
    <w:rsid w:val="00335D86"/>
    <w:rsid w:val="00335F79"/>
    <w:rsid w:val="00336700"/>
    <w:rsid w:val="00336725"/>
    <w:rsid w:val="003368EA"/>
    <w:rsid w:val="00336B02"/>
    <w:rsid w:val="00336B27"/>
    <w:rsid w:val="00336C1F"/>
    <w:rsid w:val="00336CF0"/>
    <w:rsid w:val="003371E8"/>
    <w:rsid w:val="003375AF"/>
    <w:rsid w:val="00337688"/>
    <w:rsid w:val="00337923"/>
    <w:rsid w:val="00337A91"/>
    <w:rsid w:val="00337EC8"/>
    <w:rsid w:val="003400FA"/>
    <w:rsid w:val="0034018D"/>
    <w:rsid w:val="0034022B"/>
    <w:rsid w:val="003403AB"/>
    <w:rsid w:val="00340637"/>
    <w:rsid w:val="00340702"/>
    <w:rsid w:val="00340789"/>
    <w:rsid w:val="0034087F"/>
    <w:rsid w:val="00340B5E"/>
    <w:rsid w:val="00340BC2"/>
    <w:rsid w:val="00340DCF"/>
    <w:rsid w:val="00340EC1"/>
    <w:rsid w:val="003410B9"/>
    <w:rsid w:val="003414B1"/>
    <w:rsid w:val="003414DD"/>
    <w:rsid w:val="00341ACC"/>
    <w:rsid w:val="00341E77"/>
    <w:rsid w:val="00342159"/>
    <w:rsid w:val="00342195"/>
    <w:rsid w:val="003423EA"/>
    <w:rsid w:val="00342466"/>
    <w:rsid w:val="00342477"/>
    <w:rsid w:val="00342730"/>
    <w:rsid w:val="00342DCA"/>
    <w:rsid w:val="003432D9"/>
    <w:rsid w:val="00343873"/>
    <w:rsid w:val="00343885"/>
    <w:rsid w:val="0034390D"/>
    <w:rsid w:val="0034391C"/>
    <w:rsid w:val="00343A8B"/>
    <w:rsid w:val="00343B63"/>
    <w:rsid w:val="0034414C"/>
    <w:rsid w:val="00344190"/>
    <w:rsid w:val="00344774"/>
    <w:rsid w:val="003447D2"/>
    <w:rsid w:val="00344AB9"/>
    <w:rsid w:val="00344BA3"/>
    <w:rsid w:val="00344E4E"/>
    <w:rsid w:val="0034509F"/>
    <w:rsid w:val="003450A2"/>
    <w:rsid w:val="00345227"/>
    <w:rsid w:val="003453AE"/>
    <w:rsid w:val="0034551A"/>
    <w:rsid w:val="00345A9D"/>
    <w:rsid w:val="00345B5B"/>
    <w:rsid w:val="00345E29"/>
    <w:rsid w:val="00345E9E"/>
    <w:rsid w:val="003460D1"/>
    <w:rsid w:val="003464B0"/>
    <w:rsid w:val="003465DF"/>
    <w:rsid w:val="003466F8"/>
    <w:rsid w:val="00346721"/>
    <w:rsid w:val="003467D5"/>
    <w:rsid w:val="003468FA"/>
    <w:rsid w:val="00346C93"/>
    <w:rsid w:val="00346E13"/>
    <w:rsid w:val="00347155"/>
    <w:rsid w:val="003472F5"/>
    <w:rsid w:val="00347463"/>
    <w:rsid w:val="00347495"/>
    <w:rsid w:val="003475DE"/>
    <w:rsid w:val="00347B85"/>
    <w:rsid w:val="00347C5A"/>
    <w:rsid w:val="00347CE9"/>
    <w:rsid w:val="00347F37"/>
    <w:rsid w:val="003502DF"/>
    <w:rsid w:val="00350320"/>
    <w:rsid w:val="00350659"/>
    <w:rsid w:val="003507CB"/>
    <w:rsid w:val="00350C31"/>
    <w:rsid w:val="00350D87"/>
    <w:rsid w:val="0035109E"/>
    <w:rsid w:val="003511B8"/>
    <w:rsid w:val="00351329"/>
    <w:rsid w:val="0035170A"/>
    <w:rsid w:val="003518B3"/>
    <w:rsid w:val="00351B85"/>
    <w:rsid w:val="00351F06"/>
    <w:rsid w:val="00352015"/>
    <w:rsid w:val="0035261B"/>
    <w:rsid w:val="00352819"/>
    <w:rsid w:val="00352B7B"/>
    <w:rsid w:val="00352E5F"/>
    <w:rsid w:val="00352EB4"/>
    <w:rsid w:val="00353376"/>
    <w:rsid w:val="003534B8"/>
    <w:rsid w:val="0035383B"/>
    <w:rsid w:val="00353869"/>
    <w:rsid w:val="00354356"/>
    <w:rsid w:val="0035537B"/>
    <w:rsid w:val="003556E0"/>
    <w:rsid w:val="003559CA"/>
    <w:rsid w:val="00355A7D"/>
    <w:rsid w:val="00355AA8"/>
    <w:rsid w:val="00355F47"/>
    <w:rsid w:val="00356069"/>
    <w:rsid w:val="00356340"/>
    <w:rsid w:val="003566C9"/>
    <w:rsid w:val="003567A4"/>
    <w:rsid w:val="00356846"/>
    <w:rsid w:val="00356ABC"/>
    <w:rsid w:val="00356B34"/>
    <w:rsid w:val="00356C3F"/>
    <w:rsid w:val="00356F3A"/>
    <w:rsid w:val="00357037"/>
    <w:rsid w:val="003573AF"/>
    <w:rsid w:val="003573E9"/>
    <w:rsid w:val="00357485"/>
    <w:rsid w:val="00357642"/>
    <w:rsid w:val="00357771"/>
    <w:rsid w:val="003579BF"/>
    <w:rsid w:val="003579FE"/>
    <w:rsid w:val="00357BCE"/>
    <w:rsid w:val="00357E09"/>
    <w:rsid w:val="00357FCA"/>
    <w:rsid w:val="00360439"/>
    <w:rsid w:val="00360753"/>
    <w:rsid w:val="003608AF"/>
    <w:rsid w:val="00360D9D"/>
    <w:rsid w:val="00361233"/>
    <w:rsid w:val="0036152D"/>
    <w:rsid w:val="003615A0"/>
    <w:rsid w:val="003615AA"/>
    <w:rsid w:val="00361625"/>
    <w:rsid w:val="0036162A"/>
    <w:rsid w:val="00361841"/>
    <w:rsid w:val="003618EF"/>
    <w:rsid w:val="00361EAA"/>
    <w:rsid w:val="00361F5C"/>
    <w:rsid w:val="00362049"/>
    <w:rsid w:val="00362064"/>
    <w:rsid w:val="003621AA"/>
    <w:rsid w:val="00362740"/>
    <w:rsid w:val="003627A1"/>
    <w:rsid w:val="00362B34"/>
    <w:rsid w:val="00362B66"/>
    <w:rsid w:val="00362CB1"/>
    <w:rsid w:val="00362DCD"/>
    <w:rsid w:val="00362F23"/>
    <w:rsid w:val="00362FB6"/>
    <w:rsid w:val="00363098"/>
    <w:rsid w:val="0036326D"/>
    <w:rsid w:val="0036337B"/>
    <w:rsid w:val="003633E2"/>
    <w:rsid w:val="003634A6"/>
    <w:rsid w:val="003634C2"/>
    <w:rsid w:val="0036370C"/>
    <w:rsid w:val="00363843"/>
    <w:rsid w:val="00363FDC"/>
    <w:rsid w:val="003643B5"/>
    <w:rsid w:val="00364674"/>
    <w:rsid w:val="0036475E"/>
    <w:rsid w:val="00364814"/>
    <w:rsid w:val="0036485F"/>
    <w:rsid w:val="00364A0D"/>
    <w:rsid w:val="00364B0B"/>
    <w:rsid w:val="00364C2B"/>
    <w:rsid w:val="00364CFA"/>
    <w:rsid w:val="003651BD"/>
    <w:rsid w:val="00365300"/>
    <w:rsid w:val="003654EB"/>
    <w:rsid w:val="00365AA1"/>
    <w:rsid w:val="00365CD2"/>
    <w:rsid w:val="00365DCC"/>
    <w:rsid w:val="00365E61"/>
    <w:rsid w:val="003660D8"/>
    <w:rsid w:val="0036627A"/>
    <w:rsid w:val="00366302"/>
    <w:rsid w:val="003666D2"/>
    <w:rsid w:val="0036681D"/>
    <w:rsid w:val="00366976"/>
    <w:rsid w:val="00366B90"/>
    <w:rsid w:val="00366BAA"/>
    <w:rsid w:val="00366C7E"/>
    <w:rsid w:val="00366DBE"/>
    <w:rsid w:val="00367036"/>
    <w:rsid w:val="003670CD"/>
    <w:rsid w:val="00367160"/>
    <w:rsid w:val="0036718D"/>
    <w:rsid w:val="003671F9"/>
    <w:rsid w:val="00367243"/>
    <w:rsid w:val="003672C1"/>
    <w:rsid w:val="0036795A"/>
    <w:rsid w:val="00367BAB"/>
    <w:rsid w:val="00367E17"/>
    <w:rsid w:val="00367E8B"/>
    <w:rsid w:val="00367FBF"/>
    <w:rsid w:val="003703D1"/>
    <w:rsid w:val="00370493"/>
    <w:rsid w:val="003704BF"/>
    <w:rsid w:val="003707F3"/>
    <w:rsid w:val="0037087C"/>
    <w:rsid w:val="00370A1B"/>
    <w:rsid w:val="00370A47"/>
    <w:rsid w:val="00370AC5"/>
    <w:rsid w:val="00371320"/>
    <w:rsid w:val="0037149D"/>
    <w:rsid w:val="00371530"/>
    <w:rsid w:val="003715F4"/>
    <w:rsid w:val="003718D5"/>
    <w:rsid w:val="00371AAA"/>
    <w:rsid w:val="00371E10"/>
    <w:rsid w:val="0037203C"/>
    <w:rsid w:val="00372061"/>
    <w:rsid w:val="003722C7"/>
    <w:rsid w:val="00372316"/>
    <w:rsid w:val="0037258C"/>
    <w:rsid w:val="003725D9"/>
    <w:rsid w:val="00372604"/>
    <w:rsid w:val="00372721"/>
    <w:rsid w:val="00372A63"/>
    <w:rsid w:val="00372B8D"/>
    <w:rsid w:val="00372B96"/>
    <w:rsid w:val="00372BDD"/>
    <w:rsid w:val="00372D30"/>
    <w:rsid w:val="00372FED"/>
    <w:rsid w:val="003730C0"/>
    <w:rsid w:val="003733BB"/>
    <w:rsid w:val="00373698"/>
    <w:rsid w:val="0037373B"/>
    <w:rsid w:val="003737BB"/>
    <w:rsid w:val="00373B40"/>
    <w:rsid w:val="00373D62"/>
    <w:rsid w:val="00373D9F"/>
    <w:rsid w:val="00373E2F"/>
    <w:rsid w:val="00374095"/>
    <w:rsid w:val="003740BD"/>
    <w:rsid w:val="003741E1"/>
    <w:rsid w:val="003742D4"/>
    <w:rsid w:val="00374349"/>
    <w:rsid w:val="003744EF"/>
    <w:rsid w:val="003746BB"/>
    <w:rsid w:val="00374CA7"/>
    <w:rsid w:val="00374D17"/>
    <w:rsid w:val="00374FB6"/>
    <w:rsid w:val="003755CC"/>
    <w:rsid w:val="003756E0"/>
    <w:rsid w:val="003757EF"/>
    <w:rsid w:val="00375871"/>
    <w:rsid w:val="003758D0"/>
    <w:rsid w:val="00375AC2"/>
    <w:rsid w:val="00375AF7"/>
    <w:rsid w:val="00375F25"/>
    <w:rsid w:val="00376683"/>
    <w:rsid w:val="00376EB9"/>
    <w:rsid w:val="00376FFC"/>
    <w:rsid w:val="0037708C"/>
    <w:rsid w:val="003770FA"/>
    <w:rsid w:val="00377379"/>
    <w:rsid w:val="0037741E"/>
    <w:rsid w:val="003776A8"/>
    <w:rsid w:val="003777E2"/>
    <w:rsid w:val="00377AE0"/>
    <w:rsid w:val="00380065"/>
    <w:rsid w:val="00380352"/>
    <w:rsid w:val="003806CB"/>
    <w:rsid w:val="00380862"/>
    <w:rsid w:val="00380A21"/>
    <w:rsid w:val="00380B05"/>
    <w:rsid w:val="00380B32"/>
    <w:rsid w:val="00380C3A"/>
    <w:rsid w:val="00380DBF"/>
    <w:rsid w:val="0038133F"/>
    <w:rsid w:val="003814D0"/>
    <w:rsid w:val="003815D9"/>
    <w:rsid w:val="00381652"/>
    <w:rsid w:val="0038180C"/>
    <w:rsid w:val="0038195E"/>
    <w:rsid w:val="00381BA0"/>
    <w:rsid w:val="00381C1D"/>
    <w:rsid w:val="00381C90"/>
    <w:rsid w:val="00381D1B"/>
    <w:rsid w:val="003820EC"/>
    <w:rsid w:val="00382753"/>
    <w:rsid w:val="00382A75"/>
    <w:rsid w:val="00382BDA"/>
    <w:rsid w:val="00382CB0"/>
    <w:rsid w:val="00382CFF"/>
    <w:rsid w:val="00382E30"/>
    <w:rsid w:val="00382F48"/>
    <w:rsid w:val="00382FF3"/>
    <w:rsid w:val="00383131"/>
    <w:rsid w:val="00383133"/>
    <w:rsid w:val="00383199"/>
    <w:rsid w:val="003831F0"/>
    <w:rsid w:val="003834E9"/>
    <w:rsid w:val="0038379F"/>
    <w:rsid w:val="003839F2"/>
    <w:rsid w:val="00383ACA"/>
    <w:rsid w:val="00383B63"/>
    <w:rsid w:val="00384339"/>
    <w:rsid w:val="00384665"/>
    <w:rsid w:val="00384A27"/>
    <w:rsid w:val="00384EF7"/>
    <w:rsid w:val="00384FE3"/>
    <w:rsid w:val="003855FB"/>
    <w:rsid w:val="0038561A"/>
    <w:rsid w:val="003859DA"/>
    <w:rsid w:val="00385ADE"/>
    <w:rsid w:val="00385C88"/>
    <w:rsid w:val="00385CBD"/>
    <w:rsid w:val="00385F17"/>
    <w:rsid w:val="00385FE3"/>
    <w:rsid w:val="0038614F"/>
    <w:rsid w:val="003861E9"/>
    <w:rsid w:val="003861EE"/>
    <w:rsid w:val="003864A1"/>
    <w:rsid w:val="003865B7"/>
    <w:rsid w:val="00386796"/>
    <w:rsid w:val="0038698E"/>
    <w:rsid w:val="00386B0E"/>
    <w:rsid w:val="00386B49"/>
    <w:rsid w:val="00386B7E"/>
    <w:rsid w:val="00386C13"/>
    <w:rsid w:val="00386C1A"/>
    <w:rsid w:val="00386CA6"/>
    <w:rsid w:val="00386E3D"/>
    <w:rsid w:val="00386EBD"/>
    <w:rsid w:val="00387109"/>
    <w:rsid w:val="00387137"/>
    <w:rsid w:val="003874EA"/>
    <w:rsid w:val="003878C5"/>
    <w:rsid w:val="00387905"/>
    <w:rsid w:val="0038790C"/>
    <w:rsid w:val="00387CAA"/>
    <w:rsid w:val="00390137"/>
    <w:rsid w:val="003903AE"/>
    <w:rsid w:val="003903B2"/>
    <w:rsid w:val="00390616"/>
    <w:rsid w:val="00390698"/>
    <w:rsid w:val="003907B3"/>
    <w:rsid w:val="003908F4"/>
    <w:rsid w:val="00390CE5"/>
    <w:rsid w:val="00390EED"/>
    <w:rsid w:val="00390F87"/>
    <w:rsid w:val="00391081"/>
    <w:rsid w:val="00391372"/>
    <w:rsid w:val="00391580"/>
    <w:rsid w:val="003915B8"/>
    <w:rsid w:val="003918D9"/>
    <w:rsid w:val="00391AEF"/>
    <w:rsid w:val="00391D4F"/>
    <w:rsid w:val="0039229A"/>
    <w:rsid w:val="00392414"/>
    <w:rsid w:val="0039248F"/>
    <w:rsid w:val="0039257C"/>
    <w:rsid w:val="00392A32"/>
    <w:rsid w:val="00392DB0"/>
    <w:rsid w:val="00392F5C"/>
    <w:rsid w:val="003930E7"/>
    <w:rsid w:val="00393147"/>
    <w:rsid w:val="003931FA"/>
    <w:rsid w:val="00393320"/>
    <w:rsid w:val="00393B28"/>
    <w:rsid w:val="00393C6F"/>
    <w:rsid w:val="00393CB5"/>
    <w:rsid w:val="00393CB6"/>
    <w:rsid w:val="00393DE7"/>
    <w:rsid w:val="003940BF"/>
    <w:rsid w:val="00394378"/>
    <w:rsid w:val="003943C6"/>
    <w:rsid w:val="0039496F"/>
    <w:rsid w:val="00394EB8"/>
    <w:rsid w:val="003952B9"/>
    <w:rsid w:val="00395450"/>
    <w:rsid w:val="003954FA"/>
    <w:rsid w:val="00395518"/>
    <w:rsid w:val="0039588E"/>
    <w:rsid w:val="00395976"/>
    <w:rsid w:val="00395D1F"/>
    <w:rsid w:val="0039616F"/>
    <w:rsid w:val="00396BB1"/>
    <w:rsid w:val="00396BD5"/>
    <w:rsid w:val="00396EE2"/>
    <w:rsid w:val="003972B7"/>
    <w:rsid w:val="003973DE"/>
    <w:rsid w:val="00397800"/>
    <w:rsid w:val="00397811"/>
    <w:rsid w:val="00397A66"/>
    <w:rsid w:val="00397D31"/>
    <w:rsid w:val="00397F8A"/>
    <w:rsid w:val="003A043B"/>
    <w:rsid w:val="003A04D6"/>
    <w:rsid w:val="003A06A0"/>
    <w:rsid w:val="003A0920"/>
    <w:rsid w:val="003A0A8C"/>
    <w:rsid w:val="003A0B1A"/>
    <w:rsid w:val="003A0B73"/>
    <w:rsid w:val="003A0C0B"/>
    <w:rsid w:val="003A0C53"/>
    <w:rsid w:val="003A0D85"/>
    <w:rsid w:val="003A0DAD"/>
    <w:rsid w:val="003A0E8C"/>
    <w:rsid w:val="003A0EF3"/>
    <w:rsid w:val="003A1550"/>
    <w:rsid w:val="003A17BD"/>
    <w:rsid w:val="003A1968"/>
    <w:rsid w:val="003A1C0A"/>
    <w:rsid w:val="003A1EAC"/>
    <w:rsid w:val="003A1F5F"/>
    <w:rsid w:val="003A2085"/>
    <w:rsid w:val="003A21BD"/>
    <w:rsid w:val="003A2512"/>
    <w:rsid w:val="003A2607"/>
    <w:rsid w:val="003A269E"/>
    <w:rsid w:val="003A26A5"/>
    <w:rsid w:val="003A274F"/>
    <w:rsid w:val="003A2842"/>
    <w:rsid w:val="003A284F"/>
    <w:rsid w:val="003A2A89"/>
    <w:rsid w:val="003A2C97"/>
    <w:rsid w:val="003A2EF7"/>
    <w:rsid w:val="003A3054"/>
    <w:rsid w:val="003A36C4"/>
    <w:rsid w:val="003A3860"/>
    <w:rsid w:val="003A3BFF"/>
    <w:rsid w:val="003A3C99"/>
    <w:rsid w:val="003A3CDA"/>
    <w:rsid w:val="003A3F68"/>
    <w:rsid w:val="003A4084"/>
    <w:rsid w:val="003A4274"/>
    <w:rsid w:val="003A4483"/>
    <w:rsid w:val="003A45B1"/>
    <w:rsid w:val="003A46C2"/>
    <w:rsid w:val="003A4914"/>
    <w:rsid w:val="003A493E"/>
    <w:rsid w:val="003A4CCD"/>
    <w:rsid w:val="003A4FFE"/>
    <w:rsid w:val="003A50C4"/>
    <w:rsid w:val="003A539D"/>
    <w:rsid w:val="003A55D0"/>
    <w:rsid w:val="003A583D"/>
    <w:rsid w:val="003A58AD"/>
    <w:rsid w:val="003A5A8B"/>
    <w:rsid w:val="003A5AA3"/>
    <w:rsid w:val="003A5C5A"/>
    <w:rsid w:val="003A5F87"/>
    <w:rsid w:val="003A6240"/>
    <w:rsid w:val="003A66CF"/>
    <w:rsid w:val="003A68BF"/>
    <w:rsid w:val="003A699D"/>
    <w:rsid w:val="003A6A83"/>
    <w:rsid w:val="003A6D29"/>
    <w:rsid w:val="003A6DEC"/>
    <w:rsid w:val="003A70B6"/>
    <w:rsid w:val="003A73AA"/>
    <w:rsid w:val="003A798F"/>
    <w:rsid w:val="003A7A32"/>
    <w:rsid w:val="003A7BC9"/>
    <w:rsid w:val="003A7E87"/>
    <w:rsid w:val="003B0587"/>
    <w:rsid w:val="003B09CD"/>
    <w:rsid w:val="003B09F2"/>
    <w:rsid w:val="003B0B58"/>
    <w:rsid w:val="003B0B86"/>
    <w:rsid w:val="003B0E84"/>
    <w:rsid w:val="003B0F12"/>
    <w:rsid w:val="003B12FB"/>
    <w:rsid w:val="003B1CC1"/>
    <w:rsid w:val="003B1DA3"/>
    <w:rsid w:val="003B1DF4"/>
    <w:rsid w:val="003B2144"/>
    <w:rsid w:val="003B21AD"/>
    <w:rsid w:val="003B247A"/>
    <w:rsid w:val="003B2622"/>
    <w:rsid w:val="003B2B84"/>
    <w:rsid w:val="003B2E75"/>
    <w:rsid w:val="003B320D"/>
    <w:rsid w:val="003B3430"/>
    <w:rsid w:val="003B3B6B"/>
    <w:rsid w:val="003B3BE0"/>
    <w:rsid w:val="003B3E89"/>
    <w:rsid w:val="003B4110"/>
    <w:rsid w:val="003B426A"/>
    <w:rsid w:val="003B440C"/>
    <w:rsid w:val="003B475C"/>
    <w:rsid w:val="003B4798"/>
    <w:rsid w:val="003B4BBE"/>
    <w:rsid w:val="003B4F57"/>
    <w:rsid w:val="003B554E"/>
    <w:rsid w:val="003B592F"/>
    <w:rsid w:val="003B5AAD"/>
    <w:rsid w:val="003B5B4C"/>
    <w:rsid w:val="003B5C34"/>
    <w:rsid w:val="003B5FAE"/>
    <w:rsid w:val="003B60AA"/>
    <w:rsid w:val="003B6171"/>
    <w:rsid w:val="003B6253"/>
    <w:rsid w:val="003B6626"/>
    <w:rsid w:val="003B687B"/>
    <w:rsid w:val="003B6E0E"/>
    <w:rsid w:val="003B7160"/>
    <w:rsid w:val="003B71BA"/>
    <w:rsid w:val="003B71F8"/>
    <w:rsid w:val="003B7344"/>
    <w:rsid w:val="003B7400"/>
    <w:rsid w:val="003B751F"/>
    <w:rsid w:val="003B757C"/>
    <w:rsid w:val="003B7672"/>
    <w:rsid w:val="003B7823"/>
    <w:rsid w:val="003B7D58"/>
    <w:rsid w:val="003B7E9E"/>
    <w:rsid w:val="003C00F2"/>
    <w:rsid w:val="003C00FD"/>
    <w:rsid w:val="003C03C3"/>
    <w:rsid w:val="003C05D0"/>
    <w:rsid w:val="003C0792"/>
    <w:rsid w:val="003C090C"/>
    <w:rsid w:val="003C106F"/>
    <w:rsid w:val="003C15B2"/>
    <w:rsid w:val="003C1680"/>
    <w:rsid w:val="003C185C"/>
    <w:rsid w:val="003C18B0"/>
    <w:rsid w:val="003C1B5A"/>
    <w:rsid w:val="003C1EF2"/>
    <w:rsid w:val="003C1FC9"/>
    <w:rsid w:val="003C23EA"/>
    <w:rsid w:val="003C25EA"/>
    <w:rsid w:val="003C2D0A"/>
    <w:rsid w:val="003C2D3E"/>
    <w:rsid w:val="003C2EE8"/>
    <w:rsid w:val="003C3154"/>
    <w:rsid w:val="003C3203"/>
    <w:rsid w:val="003C38E2"/>
    <w:rsid w:val="003C3A3F"/>
    <w:rsid w:val="003C3AF5"/>
    <w:rsid w:val="003C3D3E"/>
    <w:rsid w:val="003C3DC8"/>
    <w:rsid w:val="003C3EA4"/>
    <w:rsid w:val="003C4098"/>
    <w:rsid w:val="003C4176"/>
    <w:rsid w:val="003C428C"/>
    <w:rsid w:val="003C443E"/>
    <w:rsid w:val="003C4B03"/>
    <w:rsid w:val="003C4D85"/>
    <w:rsid w:val="003C5051"/>
    <w:rsid w:val="003C52CB"/>
    <w:rsid w:val="003C52FA"/>
    <w:rsid w:val="003C54DD"/>
    <w:rsid w:val="003C5A9A"/>
    <w:rsid w:val="003C5ACC"/>
    <w:rsid w:val="003C5E1B"/>
    <w:rsid w:val="003C5F7B"/>
    <w:rsid w:val="003C5F83"/>
    <w:rsid w:val="003C6093"/>
    <w:rsid w:val="003C6097"/>
    <w:rsid w:val="003C630B"/>
    <w:rsid w:val="003C67AD"/>
    <w:rsid w:val="003C6B32"/>
    <w:rsid w:val="003C6BEC"/>
    <w:rsid w:val="003C707B"/>
    <w:rsid w:val="003C777E"/>
    <w:rsid w:val="003C77B8"/>
    <w:rsid w:val="003D01FE"/>
    <w:rsid w:val="003D021B"/>
    <w:rsid w:val="003D0432"/>
    <w:rsid w:val="003D0459"/>
    <w:rsid w:val="003D097E"/>
    <w:rsid w:val="003D0A6F"/>
    <w:rsid w:val="003D0FA3"/>
    <w:rsid w:val="003D106C"/>
    <w:rsid w:val="003D14E2"/>
    <w:rsid w:val="003D17DF"/>
    <w:rsid w:val="003D1C84"/>
    <w:rsid w:val="003D1D0B"/>
    <w:rsid w:val="003D1EAE"/>
    <w:rsid w:val="003D210C"/>
    <w:rsid w:val="003D2439"/>
    <w:rsid w:val="003D2629"/>
    <w:rsid w:val="003D2656"/>
    <w:rsid w:val="003D2691"/>
    <w:rsid w:val="003D290E"/>
    <w:rsid w:val="003D2A42"/>
    <w:rsid w:val="003D2B67"/>
    <w:rsid w:val="003D2C79"/>
    <w:rsid w:val="003D2D00"/>
    <w:rsid w:val="003D2D2D"/>
    <w:rsid w:val="003D2DF6"/>
    <w:rsid w:val="003D313E"/>
    <w:rsid w:val="003D33AA"/>
    <w:rsid w:val="003D3896"/>
    <w:rsid w:val="003D3DC0"/>
    <w:rsid w:val="003D3EE1"/>
    <w:rsid w:val="003D41C5"/>
    <w:rsid w:val="003D4224"/>
    <w:rsid w:val="003D43B9"/>
    <w:rsid w:val="003D4582"/>
    <w:rsid w:val="003D46D0"/>
    <w:rsid w:val="003D4737"/>
    <w:rsid w:val="003D48D0"/>
    <w:rsid w:val="003D4B62"/>
    <w:rsid w:val="003D546A"/>
    <w:rsid w:val="003D54C9"/>
    <w:rsid w:val="003D552C"/>
    <w:rsid w:val="003D58CF"/>
    <w:rsid w:val="003D592E"/>
    <w:rsid w:val="003D5E6D"/>
    <w:rsid w:val="003D5F97"/>
    <w:rsid w:val="003D60D1"/>
    <w:rsid w:val="003D62DD"/>
    <w:rsid w:val="003D6406"/>
    <w:rsid w:val="003D64EF"/>
    <w:rsid w:val="003D6545"/>
    <w:rsid w:val="003D6BBC"/>
    <w:rsid w:val="003D6C4D"/>
    <w:rsid w:val="003D6FF0"/>
    <w:rsid w:val="003D70CB"/>
    <w:rsid w:val="003D74F7"/>
    <w:rsid w:val="003D7920"/>
    <w:rsid w:val="003D792D"/>
    <w:rsid w:val="003D7A0F"/>
    <w:rsid w:val="003D7CC0"/>
    <w:rsid w:val="003D7E16"/>
    <w:rsid w:val="003D7EBE"/>
    <w:rsid w:val="003E0429"/>
    <w:rsid w:val="003E08DC"/>
    <w:rsid w:val="003E0A25"/>
    <w:rsid w:val="003E0DDD"/>
    <w:rsid w:val="003E1002"/>
    <w:rsid w:val="003E17D8"/>
    <w:rsid w:val="003E1E3F"/>
    <w:rsid w:val="003E21D1"/>
    <w:rsid w:val="003E2498"/>
    <w:rsid w:val="003E28BB"/>
    <w:rsid w:val="003E2A37"/>
    <w:rsid w:val="003E2BF7"/>
    <w:rsid w:val="003E2C31"/>
    <w:rsid w:val="003E2F43"/>
    <w:rsid w:val="003E30D3"/>
    <w:rsid w:val="003E374A"/>
    <w:rsid w:val="003E3831"/>
    <w:rsid w:val="003E3847"/>
    <w:rsid w:val="003E3C35"/>
    <w:rsid w:val="003E40B7"/>
    <w:rsid w:val="003E43EB"/>
    <w:rsid w:val="003E4940"/>
    <w:rsid w:val="003E4A77"/>
    <w:rsid w:val="003E4C2B"/>
    <w:rsid w:val="003E4CB4"/>
    <w:rsid w:val="003E4CEE"/>
    <w:rsid w:val="003E4FE9"/>
    <w:rsid w:val="003E52B6"/>
    <w:rsid w:val="003E538B"/>
    <w:rsid w:val="003E5460"/>
    <w:rsid w:val="003E55E7"/>
    <w:rsid w:val="003E580F"/>
    <w:rsid w:val="003E581D"/>
    <w:rsid w:val="003E5A6C"/>
    <w:rsid w:val="003E5ECD"/>
    <w:rsid w:val="003E606F"/>
    <w:rsid w:val="003E62BB"/>
    <w:rsid w:val="003E6455"/>
    <w:rsid w:val="003E65A4"/>
    <w:rsid w:val="003E67E6"/>
    <w:rsid w:val="003E6872"/>
    <w:rsid w:val="003E6B9F"/>
    <w:rsid w:val="003E6C77"/>
    <w:rsid w:val="003E6FF5"/>
    <w:rsid w:val="003E70DF"/>
    <w:rsid w:val="003E7162"/>
    <w:rsid w:val="003E74BC"/>
    <w:rsid w:val="003E7641"/>
    <w:rsid w:val="003E7913"/>
    <w:rsid w:val="003E7926"/>
    <w:rsid w:val="003E795F"/>
    <w:rsid w:val="003E7C40"/>
    <w:rsid w:val="003F000D"/>
    <w:rsid w:val="003F0134"/>
    <w:rsid w:val="003F0163"/>
    <w:rsid w:val="003F0753"/>
    <w:rsid w:val="003F0791"/>
    <w:rsid w:val="003F09C8"/>
    <w:rsid w:val="003F0A1D"/>
    <w:rsid w:val="003F0A4A"/>
    <w:rsid w:val="003F0CD2"/>
    <w:rsid w:val="003F0D05"/>
    <w:rsid w:val="003F1040"/>
    <w:rsid w:val="003F152E"/>
    <w:rsid w:val="003F15EA"/>
    <w:rsid w:val="003F1872"/>
    <w:rsid w:val="003F19DB"/>
    <w:rsid w:val="003F19FA"/>
    <w:rsid w:val="003F1C12"/>
    <w:rsid w:val="003F2126"/>
    <w:rsid w:val="003F22A0"/>
    <w:rsid w:val="003F257B"/>
    <w:rsid w:val="003F2664"/>
    <w:rsid w:val="003F2690"/>
    <w:rsid w:val="003F28A2"/>
    <w:rsid w:val="003F296A"/>
    <w:rsid w:val="003F29EF"/>
    <w:rsid w:val="003F2F88"/>
    <w:rsid w:val="003F2F8F"/>
    <w:rsid w:val="003F305D"/>
    <w:rsid w:val="003F3294"/>
    <w:rsid w:val="003F32FC"/>
    <w:rsid w:val="003F341C"/>
    <w:rsid w:val="003F36A9"/>
    <w:rsid w:val="003F3ADE"/>
    <w:rsid w:val="003F3F25"/>
    <w:rsid w:val="003F3F97"/>
    <w:rsid w:val="003F3FFA"/>
    <w:rsid w:val="003F4003"/>
    <w:rsid w:val="003F41EB"/>
    <w:rsid w:val="003F4257"/>
    <w:rsid w:val="003F43C5"/>
    <w:rsid w:val="003F4417"/>
    <w:rsid w:val="003F45EC"/>
    <w:rsid w:val="003F48B5"/>
    <w:rsid w:val="003F4ADF"/>
    <w:rsid w:val="003F4B38"/>
    <w:rsid w:val="003F5481"/>
    <w:rsid w:val="003F58DF"/>
    <w:rsid w:val="003F5983"/>
    <w:rsid w:val="003F5B17"/>
    <w:rsid w:val="003F5BC7"/>
    <w:rsid w:val="003F673D"/>
    <w:rsid w:val="003F6ACD"/>
    <w:rsid w:val="003F6C07"/>
    <w:rsid w:val="003F73B1"/>
    <w:rsid w:val="003F7670"/>
    <w:rsid w:val="003F7B17"/>
    <w:rsid w:val="003F7B83"/>
    <w:rsid w:val="003F7BB8"/>
    <w:rsid w:val="003F7E7B"/>
    <w:rsid w:val="003F7F0A"/>
    <w:rsid w:val="003F7F4A"/>
    <w:rsid w:val="003F7FC3"/>
    <w:rsid w:val="00400126"/>
    <w:rsid w:val="0040030D"/>
    <w:rsid w:val="00400321"/>
    <w:rsid w:val="004004F3"/>
    <w:rsid w:val="00400677"/>
    <w:rsid w:val="004009D1"/>
    <w:rsid w:val="00400C1E"/>
    <w:rsid w:val="00400F53"/>
    <w:rsid w:val="00401064"/>
    <w:rsid w:val="0040122B"/>
    <w:rsid w:val="0040127F"/>
    <w:rsid w:val="00401421"/>
    <w:rsid w:val="0040180E"/>
    <w:rsid w:val="00401915"/>
    <w:rsid w:val="00401916"/>
    <w:rsid w:val="00401A24"/>
    <w:rsid w:val="00401E6A"/>
    <w:rsid w:val="00401FC7"/>
    <w:rsid w:val="00401FFC"/>
    <w:rsid w:val="00402147"/>
    <w:rsid w:val="0040250C"/>
    <w:rsid w:val="0040284E"/>
    <w:rsid w:val="0040293C"/>
    <w:rsid w:val="004029A5"/>
    <w:rsid w:val="00402AC2"/>
    <w:rsid w:val="00402B68"/>
    <w:rsid w:val="00402EE3"/>
    <w:rsid w:val="0040318B"/>
    <w:rsid w:val="00403686"/>
    <w:rsid w:val="00403C78"/>
    <w:rsid w:val="00403E8D"/>
    <w:rsid w:val="00404030"/>
    <w:rsid w:val="004045C5"/>
    <w:rsid w:val="0040461C"/>
    <w:rsid w:val="00404B22"/>
    <w:rsid w:val="00404C2A"/>
    <w:rsid w:val="00404C74"/>
    <w:rsid w:val="00404D33"/>
    <w:rsid w:val="004054AE"/>
    <w:rsid w:val="004054FC"/>
    <w:rsid w:val="004055FF"/>
    <w:rsid w:val="0040595B"/>
    <w:rsid w:val="00405A29"/>
    <w:rsid w:val="00405D15"/>
    <w:rsid w:val="00405DF1"/>
    <w:rsid w:val="00405F3F"/>
    <w:rsid w:val="00405F92"/>
    <w:rsid w:val="004060F6"/>
    <w:rsid w:val="00406394"/>
    <w:rsid w:val="00406466"/>
    <w:rsid w:val="00406B04"/>
    <w:rsid w:val="00406B7F"/>
    <w:rsid w:val="00406CCF"/>
    <w:rsid w:val="00406D05"/>
    <w:rsid w:val="00407286"/>
    <w:rsid w:val="0040729D"/>
    <w:rsid w:val="004072B3"/>
    <w:rsid w:val="004076A5"/>
    <w:rsid w:val="0040770E"/>
    <w:rsid w:val="00407999"/>
    <w:rsid w:val="00407A0D"/>
    <w:rsid w:val="00407C08"/>
    <w:rsid w:val="00407C29"/>
    <w:rsid w:val="00407E07"/>
    <w:rsid w:val="0041001D"/>
    <w:rsid w:val="0041060B"/>
    <w:rsid w:val="00410980"/>
    <w:rsid w:val="00410BA0"/>
    <w:rsid w:val="00410D71"/>
    <w:rsid w:val="00410F5F"/>
    <w:rsid w:val="004114A1"/>
    <w:rsid w:val="004117DB"/>
    <w:rsid w:val="004119BF"/>
    <w:rsid w:val="00411A12"/>
    <w:rsid w:val="00411D7B"/>
    <w:rsid w:val="00411D94"/>
    <w:rsid w:val="00411EC7"/>
    <w:rsid w:val="00412104"/>
    <w:rsid w:val="004122DD"/>
    <w:rsid w:val="0041232B"/>
    <w:rsid w:val="00412670"/>
    <w:rsid w:val="00412A5F"/>
    <w:rsid w:val="00412D64"/>
    <w:rsid w:val="00413097"/>
    <w:rsid w:val="00413195"/>
    <w:rsid w:val="004131EF"/>
    <w:rsid w:val="00413370"/>
    <w:rsid w:val="0041354A"/>
    <w:rsid w:val="0041391B"/>
    <w:rsid w:val="00413925"/>
    <w:rsid w:val="00413DC3"/>
    <w:rsid w:val="00414017"/>
    <w:rsid w:val="004140D1"/>
    <w:rsid w:val="00414BD8"/>
    <w:rsid w:val="00414C19"/>
    <w:rsid w:val="00414C1D"/>
    <w:rsid w:val="00415162"/>
    <w:rsid w:val="0041581C"/>
    <w:rsid w:val="00415AA9"/>
    <w:rsid w:val="00415CD3"/>
    <w:rsid w:val="00415D10"/>
    <w:rsid w:val="00415D46"/>
    <w:rsid w:val="00415E00"/>
    <w:rsid w:val="00415E16"/>
    <w:rsid w:val="004162EA"/>
    <w:rsid w:val="00416359"/>
    <w:rsid w:val="004163B2"/>
    <w:rsid w:val="004163DF"/>
    <w:rsid w:val="00416463"/>
    <w:rsid w:val="00416473"/>
    <w:rsid w:val="00416548"/>
    <w:rsid w:val="00416680"/>
    <w:rsid w:val="0041674A"/>
    <w:rsid w:val="004169CF"/>
    <w:rsid w:val="00416A5A"/>
    <w:rsid w:val="00416D90"/>
    <w:rsid w:val="00416F16"/>
    <w:rsid w:val="00416F35"/>
    <w:rsid w:val="0041732A"/>
    <w:rsid w:val="00417370"/>
    <w:rsid w:val="004174AF"/>
    <w:rsid w:val="00417B2D"/>
    <w:rsid w:val="00417F36"/>
    <w:rsid w:val="004202E9"/>
    <w:rsid w:val="00420656"/>
    <w:rsid w:val="004206DE"/>
    <w:rsid w:val="004208E8"/>
    <w:rsid w:val="00420AAF"/>
    <w:rsid w:val="00420E75"/>
    <w:rsid w:val="00420E79"/>
    <w:rsid w:val="00421369"/>
    <w:rsid w:val="00421712"/>
    <w:rsid w:val="0042188A"/>
    <w:rsid w:val="004219DD"/>
    <w:rsid w:val="00421A22"/>
    <w:rsid w:val="00421B13"/>
    <w:rsid w:val="00421CEF"/>
    <w:rsid w:val="00421EA1"/>
    <w:rsid w:val="00422201"/>
    <w:rsid w:val="00422493"/>
    <w:rsid w:val="00422726"/>
    <w:rsid w:val="00422934"/>
    <w:rsid w:val="004229CF"/>
    <w:rsid w:val="004229F9"/>
    <w:rsid w:val="00422DF9"/>
    <w:rsid w:val="00422EA5"/>
    <w:rsid w:val="004232B5"/>
    <w:rsid w:val="00423753"/>
    <w:rsid w:val="00423849"/>
    <w:rsid w:val="00424160"/>
    <w:rsid w:val="0042436C"/>
    <w:rsid w:val="004245A3"/>
    <w:rsid w:val="004246C4"/>
    <w:rsid w:val="004249C0"/>
    <w:rsid w:val="00424E6B"/>
    <w:rsid w:val="004251DB"/>
    <w:rsid w:val="00425974"/>
    <w:rsid w:val="00425EDC"/>
    <w:rsid w:val="0042673B"/>
    <w:rsid w:val="004269A2"/>
    <w:rsid w:val="00426C3A"/>
    <w:rsid w:val="00426CE4"/>
    <w:rsid w:val="00426F4D"/>
    <w:rsid w:val="00426FF2"/>
    <w:rsid w:val="00427052"/>
    <w:rsid w:val="004271A2"/>
    <w:rsid w:val="00427326"/>
    <w:rsid w:val="00427383"/>
    <w:rsid w:val="004275A4"/>
    <w:rsid w:val="00427651"/>
    <w:rsid w:val="0042769F"/>
    <w:rsid w:val="004277B0"/>
    <w:rsid w:val="00427969"/>
    <w:rsid w:val="00427B36"/>
    <w:rsid w:val="00427EC6"/>
    <w:rsid w:val="00427ED4"/>
    <w:rsid w:val="00427EDB"/>
    <w:rsid w:val="00430436"/>
    <w:rsid w:val="00430533"/>
    <w:rsid w:val="004305DA"/>
    <w:rsid w:val="0043084E"/>
    <w:rsid w:val="00430C39"/>
    <w:rsid w:val="00430C7F"/>
    <w:rsid w:val="00430ED8"/>
    <w:rsid w:val="00430F33"/>
    <w:rsid w:val="004312E3"/>
    <w:rsid w:val="004313F2"/>
    <w:rsid w:val="004313FF"/>
    <w:rsid w:val="00431598"/>
    <w:rsid w:val="004315C4"/>
    <w:rsid w:val="00431A90"/>
    <w:rsid w:val="00431AD6"/>
    <w:rsid w:val="00431CA9"/>
    <w:rsid w:val="0043238A"/>
    <w:rsid w:val="00432626"/>
    <w:rsid w:val="00432680"/>
    <w:rsid w:val="00432C39"/>
    <w:rsid w:val="004330EC"/>
    <w:rsid w:val="00433214"/>
    <w:rsid w:val="004332E9"/>
    <w:rsid w:val="0043367D"/>
    <w:rsid w:val="0043371C"/>
    <w:rsid w:val="004339CD"/>
    <w:rsid w:val="00433E27"/>
    <w:rsid w:val="004348AA"/>
    <w:rsid w:val="00434C4E"/>
    <w:rsid w:val="00434D1B"/>
    <w:rsid w:val="00434F80"/>
    <w:rsid w:val="0043520A"/>
    <w:rsid w:val="00435253"/>
    <w:rsid w:val="00435301"/>
    <w:rsid w:val="00435448"/>
    <w:rsid w:val="00435AF5"/>
    <w:rsid w:val="00435E4B"/>
    <w:rsid w:val="00435FDF"/>
    <w:rsid w:val="00436058"/>
    <w:rsid w:val="004360C0"/>
    <w:rsid w:val="00436224"/>
    <w:rsid w:val="00436C6E"/>
    <w:rsid w:val="00437057"/>
    <w:rsid w:val="004371D8"/>
    <w:rsid w:val="00437555"/>
    <w:rsid w:val="004377E8"/>
    <w:rsid w:val="00437B17"/>
    <w:rsid w:val="00437F2A"/>
    <w:rsid w:val="00437F3D"/>
    <w:rsid w:val="00440015"/>
    <w:rsid w:val="004402D7"/>
    <w:rsid w:val="004404A3"/>
    <w:rsid w:val="00440DC2"/>
    <w:rsid w:val="00440DEA"/>
    <w:rsid w:val="00440DFC"/>
    <w:rsid w:val="00440E9D"/>
    <w:rsid w:val="00441374"/>
    <w:rsid w:val="0044169A"/>
    <w:rsid w:val="004417C0"/>
    <w:rsid w:val="0044198E"/>
    <w:rsid w:val="00441B14"/>
    <w:rsid w:val="00441F01"/>
    <w:rsid w:val="004420CE"/>
    <w:rsid w:val="0044212C"/>
    <w:rsid w:val="00442358"/>
    <w:rsid w:val="004423F4"/>
    <w:rsid w:val="00442436"/>
    <w:rsid w:val="0044266F"/>
    <w:rsid w:val="00442944"/>
    <w:rsid w:val="00442C4B"/>
    <w:rsid w:val="00442C7E"/>
    <w:rsid w:val="00442CDF"/>
    <w:rsid w:val="00442D48"/>
    <w:rsid w:val="00443264"/>
    <w:rsid w:val="004433DC"/>
    <w:rsid w:val="00443430"/>
    <w:rsid w:val="00443835"/>
    <w:rsid w:val="00443BA4"/>
    <w:rsid w:val="00443F7B"/>
    <w:rsid w:val="004443F8"/>
    <w:rsid w:val="0044446C"/>
    <w:rsid w:val="004445F6"/>
    <w:rsid w:val="00444726"/>
    <w:rsid w:val="00444A39"/>
    <w:rsid w:val="00444C0F"/>
    <w:rsid w:val="00444E00"/>
    <w:rsid w:val="00445024"/>
    <w:rsid w:val="00445073"/>
    <w:rsid w:val="004451A5"/>
    <w:rsid w:val="004452A2"/>
    <w:rsid w:val="00445352"/>
    <w:rsid w:val="0044553F"/>
    <w:rsid w:val="00445847"/>
    <w:rsid w:val="0044587E"/>
    <w:rsid w:val="00445904"/>
    <w:rsid w:val="004459F3"/>
    <w:rsid w:val="00445B53"/>
    <w:rsid w:val="00445B6F"/>
    <w:rsid w:val="00445CA7"/>
    <w:rsid w:val="00445CAC"/>
    <w:rsid w:val="00445D3E"/>
    <w:rsid w:val="00445DA2"/>
    <w:rsid w:val="00445F6D"/>
    <w:rsid w:val="00446874"/>
    <w:rsid w:val="00446A66"/>
    <w:rsid w:val="00446BFC"/>
    <w:rsid w:val="00446C6B"/>
    <w:rsid w:val="00446F62"/>
    <w:rsid w:val="00446F8D"/>
    <w:rsid w:val="00447957"/>
    <w:rsid w:val="0044795B"/>
    <w:rsid w:val="00447A6E"/>
    <w:rsid w:val="00447D5E"/>
    <w:rsid w:val="004504F3"/>
    <w:rsid w:val="00450AD8"/>
    <w:rsid w:val="00450BD8"/>
    <w:rsid w:val="00450C96"/>
    <w:rsid w:val="00450CD1"/>
    <w:rsid w:val="00450D51"/>
    <w:rsid w:val="00450E7C"/>
    <w:rsid w:val="0045111A"/>
    <w:rsid w:val="00451394"/>
    <w:rsid w:val="004514BA"/>
    <w:rsid w:val="00451512"/>
    <w:rsid w:val="0045156C"/>
    <w:rsid w:val="00451A4F"/>
    <w:rsid w:val="00451BD0"/>
    <w:rsid w:val="00451FDD"/>
    <w:rsid w:val="00452093"/>
    <w:rsid w:val="004521A7"/>
    <w:rsid w:val="004522B2"/>
    <w:rsid w:val="0045256F"/>
    <w:rsid w:val="004525E7"/>
    <w:rsid w:val="0045269C"/>
    <w:rsid w:val="00452A7E"/>
    <w:rsid w:val="00452E9F"/>
    <w:rsid w:val="0045305D"/>
    <w:rsid w:val="004536DA"/>
    <w:rsid w:val="0045390D"/>
    <w:rsid w:val="004539F6"/>
    <w:rsid w:val="00454119"/>
    <w:rsid w:val="00454307"/>
    <w:rsid w:val="0045445B"/>
    <w:rsid w:val="0045498C"/>
    <w:rsid w:val="00454B80"/>
    <w:rsid w:val="00454F79"/>
    <w:rsid w:val="00455044"/>
    <w:rsid w:val="0045508B"/>
    <w:rsid w:val="00455996"/>
    <w:rsid w:val="00455AD8"/>
    <w:rsid w:val="00455C42"/>
    <w:rsid w:val="004561E9"/>
    <w:rsid w:val="0045633A"/>
    <w:rsid w:val="004563E2"/>
    <w:rsid w:val="004569AC"/>
    <w:rsid w:val="00456BBC"/>
    <w:rsid w:val="00456EB4"/>
    <w:rsid w:val="0045747E"/>
    <w:rsid w:val="004577B0"/>
    <w:rsid w:val="00457858"/>
    <w:rsid w:val="00457A24"/>
    <w:rsid w:val="00457C8C"/>
    <w:rsid w:val="00457D52"/>
    <w:rsid w:val="00457F99"/>
    <w:rsid w:val="004601FF"/>
    <w:rsid w:val="0046038E"/>
    <w:rsid w:val="004603DD"/>
    <w:rsid w:val="0046055E"/>
    <w:rsid w:val="00460CE8"/>
    <w:rsid w:val="00460FB5"/>
    <w:rsid w:val="0046127A"/>
    <w:rsid w:val="00461505"/>
    <w:rsid w:val="0046155E"/>
    <w:rsid w:val="004617FD"/>
    <w:rsid w:val="004618B5"/>
    <w:rsid w:val="0046192F"/>
    <w:rsid w:val="00461A3C"/>
    <w:rsid w:val="00461C1B"/>
    <w:rsid w:val="0046290A"/>
    <w:rsid w:val="00462A4D"/>
    <w:rsid w:val="00462EA6"/>
    <w:rsid w:val="00462FFC"/>
    <w:rsid w:val="004630C8"/>
    <w:rsid w:val="0046319A"/>
    <w:rsid w:val="00463219"/>
    <w:rsid w:val="00463489"/>
    <w:rsid w:val="004638DF"/>
    <w:rsid w:val="0046393C"/>
    <w:rsid w:val="00463940"/>
    <w:rsid w:val="004640F4"/>
    <w:rsid w:val="004646F9"/>
    <w:rsid w:val="00464875"/>
    <w:rsid w:val="004648CD"/>
    <w:rsid w:val="00464A67"/>
    <w:rsid w:val="00464ACE"/>
    <w:rsid w:val="00464AD1"/>
    <w:rsid w:val="00464BD7"/>
    <w:rsid w:val="00464DB7"/>
    <w:rsid w:val="00464FBF"/>
    <w:rsid w:val="00465073"/>
    <w:rsid w:val="00465806"/>
    <w:rsid w:val="00465CD9"/>
    <w:rsid w:val="00465DE1"/>
    <w:rsid w:val="00465E06"/>
    <w:rsid w:val="0046627E"/>
    <w:rsid w:val="004662C1"/>
    <w:rsid w:val="00466FA7"/>
    <w:rsid w:val="00467211"/>
    <w:rsid w:val="0046722D"/>
    <w:rsid w:val="0046727A"/>
    <w:rsid w:val="00467593"/>
    <w:rsid w:val="004675B8"/>
    <w:rsid w:val="004675BE"/>
    <w:rsid w:val="00467E43"/>
    <w:rsid w:val="00467F4F"/>
    <w:rsid w:val="0047017D"/>
    <w:rsid w:val="0047039C"/>
    <w:rsid w:val="004703DA"/>
    <w:rsid w:val="004704B9"/>
    <w:rsid w:val="004704D1"/>
    <w:rsid w:val="0047085A"/>
    <w:rsid w:val="00470D69"/>
    <w:rsid w:val="00470DD1"/>
    <w:rsid w:val="00470E2F"/>
    <w:rsid w:val="004710FB"/>
    <w:rsid w:val="0047112B"/>
    <w:rsid w:val="004711BE"/>
    <w:rsid w:val="004711D7"/>
    <w:rsid w:val="00471EC3"/>
    <w:rsid w:val="00472148"/>
    <w:rsid w:val="0047243D"/>
    <w:rsid w:val="004724AF"/>
    <w:rsid w:val="004724C2"/>
    <w:rsid w:val="004725E5"/>
    <w:rsid w:val="00472750"/>
    <w:rsid w:val="004728C0"/>
    <w:rsid w:val="00472DE8"/>
    <w:rsid w:val="00472E18"/>
    <w:rsid w:val="0047323A"/>
    <w:rsid w:val="00473271"/>
    <w:rsid w:val="004732C5"/>
    <w:rsid w:val="0047370F"/>
    <w:rsid w:val="004737B0"/>
    <w:rsid w:val="004737B7"/>
    <w:rsid w:val="0047383C"/>
    <w:rsid w:val="0047397A"/>
    <w:rsid w:val="00473A18"/>
    <w:rsid w:val="00473AF7"/>
    <w:rsid w:val="00473C37"/>
    <w:rsid w:val="00473C7A"/>
    <w:rsid w:val="00474148"/>
    <w:rsid w:val="00474206"/>
    <w:rsid w:val="00474752"/>
    <w:rsid w:val="00474947"/>
    <w:rsid w:val="00474C25"/>
    <w:rsid w:val="00474DD8"/>
    <w:rsid w:val="00474E84"/>
    <w:rsid w:val="004751A8"/>
    <w:rsid w:val="0047543D"/>
    <w:rsid w:val="004756EC"/>
    <w:rsid w:val="004758CF"/>
    <w:rsid w:val="0047595B"/>
    <w:rsid w:val="00476154"/>
    <w:rsid w:val="00476189"/>
    <w:rsid w:val="0047644D"/>
    <w:rsid w:val="00476545"/>
    <w:rsid w:val="004765AE"/>
    <w:rsid w:val="0047673F"/>
    <w:rsid w:val="0047676E"/>
    <w:rsid w:val="00476AFF"/>
    <w:rsid w:val="00476ECC"/>
    <w:rsid w:val="00476EF8"/>
    <w:rsid w:val="00477113"/>
    <w:rsid w:val="0047730D"/>
    <w:rsid w:val="004773D2"/>
    <w:rsid w:val="004777B6"/>
    <w:rsid w:val="004777FC"/>
    <w:rsid w:val="00477895"/>
    <w:rsid w:val="004779A7"/>
    <w:rsid w:val="00477A40"/>
    <w:rsid w:val="00477D15"/>
    <w:rsid w:val="004800BE"/>
    <w:rsid w:val="0048022A"/>
    <w:rsid w:val="00480424"/>
    <w:rsid w:val="0048046B"/>
    <w:rsid w:val="00480D40"/>
    <w:rsid w:val="00480DA9"/>
    <w:rsid w:val="00481173"/>
    <w:rsid w:val="00481313"/>
    <w:rsid w:val="00481515"/>
    <w:rsid w:val="00481526"/>
    <w:rsid w:val="00481A64"/>
    <w:rsid w:val="0048202E"/>
    <w:rsid w:val="00482202"/>
    <w:rsid w:val="00482374"/>
    <w:rsid w:val="004824BA"/>
    <w:rsid w:val="004828C6"/>
    <w:rsid w:val="00482E04"/>
    <w:rsid w:val="004830A3"/>
    <w:rsid w:val="00483142"/>
    <w:rsid w:val="004832F0"/>
    <w:rsid w:val="0048336D"/>
    <w:rsid w:val="00483439"/>
    <w:rsid w:val="0048371C"/>
    <w:rsid w:val="004837B4"/>
    <w:rsid w:val="00483BA2"/>
    <w:rsid w:val="00483CAF"/>
    <w:rsid w:val="00484141"/>
    <w:rsid w:val="00484489"/>
    <w:rsid w:val="00484878"/>
    <w:rsid w:val="00484FBA"/>
    <w:rsid w:val="00485155"/>
    <w:rsid w:val="00485362"/>
    <w:rsid w:val="004857C4"/>
    <w:rsid w:val="00485916"/>
    <w:rsid w:val="00485A57"/>
    <w:rsid w:val="00486058"/>
    <w:rsid w:val="00486065"/>
    <w:rsid w:val="00486191"/>
    <w:rsid w:val="00486735"/>
    <w:rsid w:val="004869E5"/>
    <w:rsid w:val="00486D59"/>
    <w:rsid w:val="00486DB4"/>
    <w:rsid w:val="00486E85"/>
    <w:rsid w:val="00486F5D"/>
    <w:rsid w:val="0048722A"/>
    <w:rsid w:val="004872AE"/>
    <w:rsid w:val="00487587"/>
    <w:rsid w:val="00487661"/>
    <w:rsid w:val="004876C1"/>
    <w:rsid w:val="00487714"/>
    <w:rsid w:val="00487783"/>
    <w:rsid w:val="004879A8"/>
    <w:rsid w:val="00487EEF"/>
    <w:rsid w:val="00487FED"/>
    <w:rsid w:val="0049002C"/>
    <w:rsid w:val="0049003C"/>
    <w:rsid w:val="00490428"/>
    <w:rsid w:val="00490442"/>
    <w:rsid w:val="004904E5"/>
    <w:rsid w:val="004905B1"/>
    <w:rsid w:val="004906FE"/>
    <w:rsid w:val="004909C4"/>
    <w:rsid w:val="00490D81"/>
    <w:rsid w:val="00490F54"/>
    <w:rsid w:val="00491432"/>
    <w:rsid w:val="0049146D"/>
    <w:rsid w:val="004914C0"/>
    <w:rsid w:val="0049163F"/>
    <w:rsid w:val="00491D08"/>
    <w:rsid w:val="00491D2A"/>
    <w:rsid w:val="00492099"/>
    <w:rsid w:val="004920AB"/>
    <w:rsid w:val="0049220D"/>
    <w:rsid w:val="004925C7"/>
    <w:rsid w:val="0049275E"/>
    <w:rsid w:val="00492CF7"/>
    <w:rsid w:val="00492D44"/>
    <w:rsid w:val="00493266"/>
    <w:rsid w:val="00493474"/>
    <w:rsid w:val="004935FF"/>
    <w:rsid w:val="00493835"/>
    <w:rsid w:val="00493AD5"/>
    <w:rsid w:val="00493F93"/>
    <w:rsid w:val="0049406C"/>
    <w:rsid w:val="00494250"/>
    <w:rsid w:val="004942B1"/>
    <w:rsid w:val="0049447E"/>
    <w:rsid w:val="00494682"/>
    <w:rsid w:val="00494745"/>
    <w:rsid w:val="004947D4"/>
    <w:rsid w:val="00494A6F"/>
    <w:rsid w:val="00494D67"/>
    <w:rsid w:val="00494E10"/>
    <w:rsid w:val="00494F4D"/>
    <w:rsid w:val="0049562F"/>
    <w:rsid w:val="004959C2"/>
    <w:rsid w:val="00495ADF"/>
    <w:rsid w:val="00495C2E"/>
    <w:rsid w:val="00496229"/>
    <w:rsid w:val="00496353"/>
    <w:rsid w:val="0049636B"/>
    <w:rsid w:val="0049641E"/>
    <w:rsid w:val="00496541"/>
    <w:rsid w:val="00496668"/>
    <w:rsid w:val="004967B5"/>
    <w:rsid w:val="004968E4"/>
    <w:rsid w:val="00496BC9"/>
    <w:rsid w:val="00496C54"/>
    <w:rsid w:val="00496DA4"/>
    <w:rsid w:val="00496EFB"/>
    <w:rsid w:val="00497240"/>
    <w:rsid w:val="004972FD"/>
    <w:rsid w:val="00497689"/>
    <w:rsid w:val="00497728"/>
    <w:rsid w:val="00497A18"/>
    <w:rsid w:val="00497AE8"/>
    <w:rsid w:val="00497DA0"/>
    <w:rsid w:val="004A04EF"/>
    <w:rsid w:val="004A0795"/>
    <w:rsid w:val="004A0836"/>
    <w:rsid w:val="004A0A53"/>
    <w:rsid w:val="004A0AE7"/>
    <w:rsid w:val="004A0B64"/>
    <w:rsid w:val="004A0F00"/>
    <w:rsid w:val="004A13D5"/>
    <w:rsid w:val="004A14A2"/>
    <w:rsid w:val="004A151F"/>
    <w:rsid w:val="004A15D2"/>
    <w:rsid w:val="004A1695"/>
    <w:rsid w:val="004A16C4"/>
    <w:rsid w:val="004A1761"/>
    <w:rsid w:val="004A18F3"/>
    <w:rsid w:val="004A1BE4"/>
    <w:rsid w:val="004A2290"/>
    <w:rsid w:val="004A239C"/>
    <w:rsid w:val="004A2BF0"/>
    <w:rsid w:val="004A2D3E"/>
    <w:rsid w:val="004A32E0"/>
    <w:rsid w:val="004A37B6"/>
    <w:rsid w:val="004A3906"/>
    <w:rsid w:val="004A3E62"/>
    <w:rsid w:val="004A3FCE"/>
    <w:rsid w:val="004A41E0"/>
    <w:rsid w:val="004A43F4"/>
    <w:rsid w:val="004A44F2"/>
    <w:rsid w:val="004A48AD"/>
    <w:rsid w:val="004A4929"/>
    <w:rsid w:val="004A4B2E"/>
    <w:rsid w:val="004A4FDF"/>
    <w:rsid w:val="004A5532"/>
    <w:rsid w:val="004A5859"/>
    <w:rsid w:val="004A59BC"/>
    <w:rsid w:val="004A5A6C"/>
    <w:rsid w:val="004A5CEE"/>
    <w:rsid w:val="004A607B"/>
    <w:rsid w:val="004A6342"/>
    <w:rsid w:val="004A650F"/>
    <w:rsid w:val="004A6B01"/>
    <w:rsid w:val="004A6B65"/>
    <w:rsid w:val="004A6F2C"/>
    <w:rsid w:val="004A7218"/>
    <w:rsid w:val="004A7346"/>
    <w:rsid w:val="004A7496"/>
    <w:rsid w:val="004A7553"/>
    <w:rsid w:val="004A7675"/>
    <w:rsid w:val="004A76FF"/>
    <w:rsid w:val="004A7874"/>
    <w:rsid w:val="004A7B0B"/>
    <w:rsid w:val="004A7F73"/>
    <w:rsid w:val="004B0367"/>
    <w:rsid w:val="004B0509"/>
    <w:rsid w:val="004B0599"/>
    <w:rsid w:val="004B0655"/>
    <w:rsid w:val="004B075F"/>
    <w:rsid w:val="004B09A1"/>
    <w:rsid w:val="004B0B38"/>
    <w:rsid w:val="004B0BF5"/>
    <w:rsid w:val="004B0D11"/>
    <w:rsid w:val="004B0F97"/>
    <w:rsid w:val="004B10E6"/>
    <w:rsid w:val="004B134C"/>
    <w:rsid w:val="004B1470"/>
    <w:rsid w:val="004B155C"/>
    <w:rsid w:val="004B15A6"/>
    <w:rsid w:val="004B15CB"/>
    <w:rsid w:val="004B1634"/>
    <w:rsid w:val="004B1764"/>
    <w:rsid w:val="004B1EEA"/>
    <w:rsid w:val="004B1FFF"/>
    <w:rsid w:val="004B2624"/>
    <w:rsid w:val="004B28BC"/>
    <w:rsid w:val="004B2A53"/>
    <w:rsid w:val="004B2F9E"/>
    <w:rsid w:val="004B3067"/>
    <w:rsid w:val="004B30DA"/>
    <w:rsid w:val="004B32FF"/>
    <w:rsid w:val="004B34ED"/>
    <w:rsid w:val="004B39F0"/>
    <w:rsid w:val="004B3BE5"/>
    <w:rsid w:val="004B3D14"/>
    <w:rsid w:val="004B3E9D"/>
    <w:rsid w:val="004B410E"/>
    <w:rsid w:val="004B41EF"/>
    <w:rsid w:val="004B44CE"/>
    <w:rsid w:val="004B4803"/>
    <w:rsid w:val="004B48A1"/>
    <w:rsid w:val="004B4A6C"/>
    <w:rsid w:val="004B4A80"/>
    <w:rsid w:val="004B4B77"/>
    <w:rsid w:val="004B4F32"/>
    <w:rsid w:val="004B516A"/>
    <w:rsid w:val="004B5258"/>
    <w:rsid w:val="004B5354"/>
    <w:rsid w:val="004B54BF"/>
    <w:rsid w:val="004B54FE"/>
    <w:rsid w:val="004B563C"/>
    <w:rsid w:val="004B5703"/>
    <w:rsid w:val="004B5842"/>
    <w:rsid w:val="004B5994"/>
    <w:rsid w:val="004B5B4E"/>
    <w:rsid w:val="004B5BAF"/>
    <w:rsid w:val="004B5BB5"/>
    <w:rsid w:val="004B5D0E"/>
    <w:rsid w:val="004B6578"/>
    <w:rsid w:val="004B65F1"/>
    <w:rsid w:val="004B6653"/>
    <w:rsid w:val="004B6BBB"/>
    <w:rsid w:val="004B6E82"/>
    <w:rsid w:val="004B6FC8"/>
    <w:rsid w:val="004B700E"/>
    <w:rsid w:val="004B7047"/>
    <w:rsid w:val="004B70B8"/>
    <w:rsid w:val="004B77EE"/>
    <w:rsid w:val="004C02A6"/>
    <w:rsid w:val="004C0389"/>
    <w:rsid w:val="004C051B"/>
    <w:rsid w:val="004C0CA4"/>
    <w:rsid w:val="004C0CBA"/>
    <w:rsid w:val="004C0D87"/>
    <w:rsid w:val="004C0E6A"/>
    <w:rsid w:val="004C0E79"/>
    <w:rsid w:val="004C0EC9"/>
    <w:rsid w:val="004C1047"/>
    <w:rsid w:val="004C11CF"/>
    <w:rsid w:val="004C16A8"/>
    <w:rsid w:val="004C1C0E"/>
    <w:rsid w:val="004C1DE6"/>
    <w:rsid w:val="004C1F6C"/>
    <w:rsid w:val="004C1FA3"/>
    <w:rsid w:val="004C2005"/>
    <w:rsid w:val="004C200B"/>
    <w:rsid w:val="004C226E"/>
    <w:rsid w:val="004C24DB"/>
    <w:rsid w:val="004C2696"/>
    <w:rsid w:val="004C2741"/>
    <w:rsid w:val="004C2AA6"/>
    <w:rsid w:val="004C2D4A"/>
    <w:rsid w:val="004C30C5"/>
    <w:rsid w:val="004C30EB"/>
    <w:rsid w:val="004C34D1"/>
    <w:rsid w:val="004C37D9"/>
    <w:rsid w:val="004C3993"/>
    <w:rsid w:val="004C3D8F"/>
    <w:rsid w:val="004C4424"/>
    <w:rsid w:val="004C4814"/>
    <w:rsid w:val="004C496C"/>
    <w:rsid w:val="004C4E2B"/>
    <w:rsid w:val="004C51E3"/>
    <w:rsid w:val="004C52BE"/>
    <w:rsid w:val="004C546A"/>
    <w:rsid w:val="004C5539"/>
    <w:rsid w:val="004C55EE"/>
    <w:rsid w:val="004C5817"/>
    <w:rsid w:val="004C5974"/>
    <w:rsid w:val="004C5A6C"/>
    <w:rsid w:val="004C5B79"/>
    <w:rsid w:val="004C5C12"/>
    <w:rsid w:val="004C5C29"/>
    <w:rsid w:val="004C5DA1"/>
    <w:rsid w:val="004C5FE4"/>
    <w:rsid w:val="004C62B8"/>
    <w:rsid w:val="004C665C"/>
    <w:rsid w:val="004C6889"/>
    <w:rsid w:val="004C6AD4"/>
    <w:rsid w:val="004C6F2D"/>
    <w:rsid w:val="004C6FE2"/>
    <w:rsid w:val="004C71E6"/>
    <w:rsid w:val="004C7337"/>
    <w:rsid w:val="004C737B"/>
    <w:rsid w:val="004C76BD"/>
    <w:rsid w:val="004C7785"/>
    <w:rsid w:val="004C790D"/>
    <w:rsid w:val="004C7AED"/>
    <w:rsid w:val="004C7D71"/>
    <w:rsid w:val="004C7D88"/>
    <w:rsid w:val="004D024F"/>
    <w:rsid w:val="004D0556"/>
    <w:rsid w:val="004D061F"/>
    <w:rsid w:val="004D0638"/>
    <w:rsid w:val="004D069C"/>
    <w:rsid w:val="004D08BA"/>
    <w:rsid w:val="004D0DF0"/>
    <w:rsid w:val="004D0DF8"/>
    <w:rsid w:val="004D10E4"/>
    <w:rsid w:val="004D1352"/>
    <w:rsid w:val="004D13A5"/>
    <w:rsid w:val="004D1557"/>
    <w:rsid w:val="004D15F6"/>
    <w:rsid w:val="004D1A0E"/>
    <w:rsid w:val="004D1A1D"/>
    <w:rsid w:val="004D1F20"/>
    <w:rsid w:val="004D20C0"/>
    <w:rsid w:val="004D20D8"/>
    <w:rsid w:val="004D220D"/>
    <w:rsid w:val="004D252D"/>
    <w:rsid w:val="004D2657"/>
    <w:rsid w:val="004D28B0"/>
    <w:rsid w:val="004D28C9"/>
    <w:rsid w:val="004D291C"/>
    <w:rsid w:val="004D2A96"/>
    <w:rsid w:val="004D2ADB"/>
    <w:rsid w:val="004D2E99"/>
    <w:rsid w:val="004D30A7"/>
    <w:rsid w:val="004D31C7"/>
    <w:rsid w:val="004D3328"/>
    <w:rsid w:val="004D338E"/>
    <w:rsid w:val="004D3793"/>
    <w:rsid w:val="004D3799"/>
    <w:rsid w:val="004D3910"/>
    <w:rsid w:val="004D3920"/>
    <w:rsid w:val="004D39F7"/>
    <w:rsid w:val="004D3D07"/>
    <w:rsid w:val="004D3DCF"/>
    <w:rsid w:val="004D3E78"/>
    <w:rsid w:val="004D3FD5"/>
    <w:rsid w:val="004D44B1"/>
    <w:rsid w:val="004D4562"/>
    <w:rsid w:val="004D45D7"/>
    <w:rsid w:val="004D45DD"/>
    <w:rsid w:val="004D466E"/>
    <w:rsid w:val="004D47CD"/>
    <w:rsid w:val="004D5181"/>
    <w:rsid w:val="004D57A3"/>
    <w:rsid w:val="004D581E"/>
    <w:rsid w:val="004D583D"/>
    <w:rsid w:val="004D5B2C"/>
    <w:rsid w:val="004D5CCF"/>
    <w:rsid w:val="004D5DD8"/>
    <w:rsid w:val="004D5E37"/>
    <w:rsid w:val="004D5E8F"/>
    <w:rsid w:val="004D5F4D"/>
    <w:rsid w:val="004D6169"/>
    <w:rsid w:val="004D6188"/>
    <w:rsid w:val="004D61C5"/>
    <w:rsid w:val="004D6289"/>
    <w:rsid w:val="004D658A"/>
    <w:rsid w:val="004D6772"/>
    <w:rsid w:val="004D6A5F"/>
    <w:rsid w:val="004D6CC8"/>
    <w:rsid w:val="004D6D17"/>
    <w:rsid w:val="004D7192"/>
    <w:rsid w:val="004D73B5"/>
    <w:rsid w:val="004D7506"/>
    <w:rsid w:val="004D759F"/>
    <w:rsid w:val="004D764F"/>
    <w:rsid w:val="004D7804"/>
    <w:rsid w:val="004D7A40"/>
    <w:rsid w:val="004D7C10"/>
    <w:rsid w:val="004D7E61"/>
    <w:rsid w:val="004D7F24"/>
    <w:rsid w:val="004E0222"/>
    <w:rsid w:val="004E0695"/>
    <w:rsid w:val="004E0986"/>
    <w:rsid w:val="004E0B8D"/>
    <w:rsid w:val="004E0EF0"/>
    <w:rsid w:val="004E0FC4"/>
    <w:rsid w:val="004E110E"/>
    <w:rsid w:val="004E1138"/>
    <w:rsid w:val="004E11FF"/>
    <w:rsid w:val="004E15E8"/>
    <w:rsid w:val="004E1872"/>
    <w:rsid w:val="004E1D9C"/>
    <w:rsid w:val="004E1EEF"/>
    <w:rsid w:val="004E2069"/>
    <w:rsid w:val="004E261D"/>
    <w:rsid w:val="004E295A"/>
    <w:rsid w:val="004E2A99"/>
    <w:rsid w:val="004E2D75"/>
    <w:rsid w:val="004E3150"/>
    <w:rsid w:val="004E3176"/>
    <w:rsid w:val="004E319C"/>
    <w:rsid w:val="004E328B"/>
    <w:rsid w:val="004E365D"/>
    <w:rsid w:val="004E391A"/>
    <w:rsid w:val="004E39D6"/>
    <w:rsid w:val="004E3CF6"/>
    <w:rsid w:val="004E3D6F"/>
    <w:rsid w:val="004E4160"/>
    <w:rsid w:val="004E4D01"/>
    <w:rsid w:val="004E4F83"/>
    <w:rsid w:val="004E4FB4"/>
    <w:rsid w:val="004E5454"/>
    <w:rsid w:val="004E55E5"/>
    <w:rsid w:val="004E5918"/>
    <w:rsid w:val="004E59F7"/>
    <w:rsid w:val="004E5CB5"/>
    <w:rsid w:val="004E5F1D"/>
    <w:rsid w:val="004E6007"/>
    <w:rsid w:val="004E61EC"/>
    <w:rsid w:val="004E6268"/>
    <w:rsid w:val="004E641C"/>
    <w:rsid w:val="004E664D"/>
    <w:rsid w:val="004E6D4B"/>
    <w:rsid w:val="004E6E34"/>
    <w:rsid w:val="004E6FB2"/>
    <w:rsid w:val="004E724D"/>
    <w:rsid w:val="004E731D"/>
    <w:rsid w:val="004E7585"/>
    <w:rsid w:val="004E762E"/>
    <w:rsid w:val="004E7A29"/>
    <w:rsid w:val="004F007A"/>
    <w:rsid w:val="004F010F"/>
    <w:rsid w:val="004F02B7"/>
    <w:rsid w:val="004F02DB"/>
    <w:rsid w:val="004F0412"/>
    <w:rsid w:val="004F06DF"/>
    <w:rsid w:val="004F076C"/>
    <w:rsid w:val="004F0ED7"/>
    <w:rsid w:val="004F1580"/>
    <w:rsid w:val="004F164E"/>
    <w:rsid w:val="004F182C"/>
    <w:rsid w:val="004F18ED"/>
    <w:rsid w:val="004F1930"/>
    <w:rsid w:val="004F1A4A"/>
    <w:rsid w:val="004F1A57"/>
    <w:rsid w:val="004F1E41"/>
    <w:rsid w:val="004F1F58"/>
    <w:rsid w:val="004F230A"/>
    <w:rsid w:val="004F232C"/>
    <w:rsid w:val="004F2467"/>
    <w:rsid w:val="004F2A5C"/>
    <w:rsid w:val="004F2C6B"/>
    <w:rsid w:val="004F2E66"/>
    <w:rsid w:val="004F31C1"/>
    <w:rsid w:val="004F33D7"/>
    <w:rsid w:val="004F34E4"/>
    <w:rsid w:val="004F3569"/>
    <w:rsid w:val="004F3573"/>
    <w:rsid w:val="004F3915"/>
    <w:rsid w:val="004F3CD7"/>
    <w:rsid w:val="004F3D3F"/>
    <w:rsid w:val="004F4323"/>
    <w:rsid w:val="004F43D5"/>
    <w:rsid w:val="004F4402"/>
    <w:rsid w:val="004F4874"/>
    <w:rsid w:val="004F4920"/>
    <w:rsid w:val="004F4C09"/>
    <w:rsid w:val="004F4D2E"/>
    <w:rsid w:val="004F4DAD"/>
    <w:rsid w:val="004F51AB"/>
    <w:rsid w:val="004F531D"/>
    <w:rsid w:val="004F53BD"/>
    <w:rsid w:val="004F5401"/>
    <w:rsid w:val="004F5635"/>
    <w:rsid w:val="004F57D4"/>
    <w:rsid w:val="004F60D4"/>
    <w:rsid w:val="004F6593"/>
    <w:rsid w:val="004F6678"/>
    <w:rsid w:val="004F689B"/>
    <w:rsid w:val="004F6988"/>
    <w:rsid w:val="004F69EF"/>
    <w:rsid w:val="004F7286"/>
    <w:rsid w:val="004F79F2"/>
    <w:rsid w:val="004F7B56"/>
    <w:rsid w:val="0050029E"/>
    <w:rsid w:val="005002E0"/>
    <w:rsid w:val="005004C2"/>
    <w:rsid w:val="005005DB"/>
    <w:rsid w:val="00500811"/>
    <w:rsid w:val="00500DA2"/>
    <w:rsid w:val="00501234"/>
    <w:rsid w:val="005017CA"/>
    <w:rsid w:val="00501965"/>
    <w:rsid w:val="0050199E"/>
    <w:rsid w:val="00501A29"/>
    <w:rsid w:val="00501A8F"/>
    <w:rsid w:val="00501D77"/>
    <w:rsid w:val="00501E0C"/>
    <w:rsid w:val="00501E8F"/>
    <w:rsid w:val="00502231"/>
    <w:rsid w:val="0050230C"/>
    <w:rsid w:val="005024DF"/>
    <w:rsid w:val="00502573"/>
    <w:rsid w:val="005025DB"/>
    <w:rsid w:val="00502822"/>
    <w:rsid w:val="00502829"/>
    <w:rsid w:val="00502D33"/>
    <w:rsid w:val="0050300D"/>
    <w:rsid w:val="00503310"/>
    <w:rsid w:val="00503386"/>
    <w:rsid w:val="005033B3"/>
    <w:rsid w:val="0050349E"/>
    <w:rsid w:val="00503502"/>
    <w:rsid w:val="00503C2F"/>
    <w:rsid w:val="00503ED1"/>
    <w:rsid w:val="0050414A"/>
    <w:rsid w:val="0050423B"/>
    <w:rsid w:val="00504726"/>
    <w:rsid w:val="00504B1C"/>
    <w:rsid w:val="00504C1B"/>
    <w:rsid w:val="00504CD1"/>
    <w:rsid w:val="00504D42"/>
    <w:rsid w:val="00505013"/>
    <w:rsid w:val="005050EB"/>
    <w:rsid w:val="005051C5"/>
    <w:rsid w:val="005051D3"/>
    <w:rsid w:val="00505314"/>
    <w:rsid w:val="005056CD"/>
    <w:rsid w:val="005056EE"/>
    <w:rsid w:val="00505AD9"/>
    <w:rsid w:val="00505B17"/>
    <w:rsid w:val="00505C4A"/>
    <w:rsid w:val="00505C98"/>
    <w:rsid w:val="00505E57"/>
    <w:rsid w:val="00506060"/>
    <w:rsid w:val="005061FF"/>
    <w:rsid w:val="005062CB"/>
    <w:rsid w:val="00506683"/>
    <w:rsid w:val="00506786"/>
    <w:rsid w:val="00506B5E"/>
    <w:rsid w:val="0050749E"/>
    <w:rsid w:val="00507706"/>
    <w:rsid w:val="0050771C"/>
    <w:rsid w:val="00510150"/>
    <w:rsid w:val="00510464"/>
    <w:rsid w:val="0051099B"/>
    <w:rsid w:val="005110EE"/>
    <w:rsid w:val="00511283"/>
    <w:rsid w:val="00511392"/>
    <w:rsid w:val="005114CA"/>
    <w:rsid w:val="005118B4"/>
    <w:rsid w:val="005118E7"/>
    <w:rsid w:val="00511AAE"/>
    <w:rsid w:val="00511BD9"/>
    <w:rsid w:val="00511F58"/>
    <w:rsid w:val="00511FEE"/>
    <w:rsid w:val="005120FC"/>
    <w:rsid w:val="0051253D"/>
    <w:rsid w:val="00512579"/>
    <w:rsid w:val="005129AA"/>
    <w:rsid w:val="005129F5"/>
    <w:rsid w:val="0051358B"/>
    <w:rsid w:val="005136D0"/>
    <w:rsid w:val="00513B51"/>
    <w:rsid w:val="00513BE4"/>
    <w:rsid w:val="00513DD3"/>
    <w:rsid w:val="0051417C"/>
    <w:rsid w:val="0051428D"/>
    <w:rsid w:val="005142D7"/>
    <w:rsid w:val="00514432"/>
    <w:rsid w:val="005146AA"/>
    <w:rsid w:val="00514800"/>
    <w:rsid w:val="00515114"/>
    <w:rsid w:val="005151BD"/>
    <w:rsid w:val="005152F1"/>
    <w:rsid w:val="005153E3"/>
    <w:rsid w:val="005157BC"/>
    <w:rsid w:val="00515946"/>
    <w:rsid w:val="00515E34"/>
    <w:rsid w:val="00515F78"/>
    <w:rsid w:val="00516069"/>
    <w:rsid w:val="005160D9"/>
    <w:rsid w:val="00516295"/>
    <w:rsid w:val="0051629B"/>
    <w:rsid w:val="005164EB"/>
    <w:rsid w:val="0051671F"/>
    <w:rsid w:val="005167F8"/>
    <w:rsid w:val="0051685B"/>
    <w:rsid w:val="005168A6"/>
    <w:rsid w:val="00516994"/>
    <w:rsid w:val="00516BD5"/>
    <w:rsid w:val="00516BDB"/>
    <w:rsid w:val="00516C06"/>
    <w:rsid w:val="00516C65"/>
    <w:rsid w:val="00516DF0"/>
    <w:rsid w:val="0051705F"/>
    <w:rsid w:val="00517102"/>
    <w:rsid w:val="005174D3"/>
    <w:rsid w:val="00517692"/>
    <w:rsid w:val="00517751"/>
    <w:rsid w:val="0051791E"/>
    <w:rsid w:val="00517A44"/>
    <w:rsid w:val="005201CB"/>
    <w:rsid w:val="00520652"/>
    <w:rsid w:val="00520833"/>
    <w:rsid w:val="00520C32"/>
    <w:rsid w:val="00520E05"/>
    <w:rsid w:val="005212C9"/>
    <w:rsid w:val="0052193B"/>
    <w:rsid w:val="00521A04"/>
    <w:rsid w:val="00522250"/>
    <w:rsid w:val="005222B0"/>
    <w:rsid w:val="0052270B"/>
    <w:rsid w:val="00522871"/>
    <w:rsid w:val="005229BE"/>
    <w:rsid w:val="00522CAD"/>
    <w:rsid w:val="00523288"/>
    <w:rsid w:val="0052329F"/>
    <w:rsid w:val="005232D7"/>
    <w:rsid w:val="00523A41"/>
    <w:rsid w:val="00523BA9"/>
    <w:rsid w:val="00523E5D"/>
    <w:rsid w:val="00523ED3"/>
    <w:rsid w:val="00524317"/>
    <w:rsid w:val="005243CB"/>
    <w:rsid w:val="00524525"/>
    <w:rsid w:val="005249B4"/>
    <w:rsid w:val="00524A32"/>
    <w:rsid w:val="00524AFB"/>
    <w:rsid w:val="00524B98"/>
    <w:rsid w:val="00524C86"/>
    <w:rsid w:val="00524CB8"/>
    <w:rsid w:val="00524D43"/>
    <w:rsid w:val="005252EC"/>
    <w:rsid w:val="005253C7"/>
    <w:rsid w:val="005256FD"/>
    <w:rsid w:val="00525929"/>
    <w:rsid w:val="00525C51"/>
    <w:rsid w:val="00525FDC"/>
    <w:rsid w:val="005261C5"/>
    <w:rsid w:val="005266CD"/>
    <w:rsid w:val="005266FB"/>
    <w:rsid w:val="0052696D"/>
    <w:rsid w:val="0052705E"/>
    <w:rsid w:val="0052781C"/>
    <w:rsid w:val="00527825"/>
    <w:rsid w:val="00527B18"/>
    <w:rsid w:val="00527C41"/>
    <w:rsid w:val="00527EDC"/>
    <w:rsid w:val="00530163"/>
    <w:rsid w:val="005301D4"/>
    <w:rsid w:val="00530207"/>
    <w:rsid w:val="00530334"/>
    <w:rsid w:val="0053059A"/>
    <w:rsid w:val="005305DC"/>
    <w:rsid w:val="005306CB"/>
    <w:rsid w:val="00530BCE"/>
    <w:rsid w:val="00530E1A"/>
    <w:rsid w:val="00530E85"/>
    <w:rsid w:val="00530F85"/>
    <w:rsid w:val="00531161"/>
    <w:rsid w:val="00531231"/>
    <w:rsid w:val="00531647"/>
    <w:rsid w:val="0053187B"/>
    <w:rsid w:val="00531BAD"/>
    <w:rsid w:val="00531E6C"/>
    <w:rsid w:val="00532040"/>
    <w:rsid w:val="005325A0"/>
    <w:rsid w:val="0053280F"/>
    <w:rsid w:val="00532AB7"/>
    <w:rsid w:val="00532AC0"/>
    <w:rsid w:val="00532D1C"/>
    <w:rsid w:val="00532E2C"/>
    <w:rsid w:val="00533389"/>
    <w:rsid w:val="00533414"/>
    <w:rsid w:val="00533C4E"/>
    <w:rsid w:val="00534224"/>
    <w:rsid w:val="005344D0"/>
    <w:rsid w:val="00534513"/>
    <w:rsid w:val="0053456C"/>
    <w:rsid w:val="005348B8"/>
    <w:rsid w:val="00534E76"/>
    <w:rsid w:val="005350AB"/>
    <w:rsid w:val="00535125"/>
    <w:rsid w:val="005356BA"/>
    <w:rsid w:val="00535892"/>
    <w:rsid w:val="00535C88"/>
    <w:rsid w:val="00535CD2"/>
    <w:rsid w:val="00535D89"/>
    <w:rsid w:val="00535E8A"/>
    <w:rsid w:val="00535E97"/>
    <w:rsid w:val="00536248"/>
    <w:rsid w:val="005364B1"/>
    <w:rsid w:val="005366AE"/>
    <w:rsid w:val="00536703"/>
    <w:rsid w:val="00536805"/>
    <w:rsid w:val="00536CA1"/>
    <w:rsid w:val="00536CB9"/>
    <w:rsid w:val="00537211"/>
    <w:rsid w:val="005372DB"/>
    <w:rsid w:val="005373D5"/>
    <w:rsid w:val="005376EB"/>
    <w:rsid w:val="0053774D"/>
    <w:rsid w:val="00537905"/>
    <w:rsid w:val="00537CCE"/>
    <w:rsid w:val="00537CD1"/>
    <w:rsid w:val="00537DD3"/>
    <w:rsid w:val="00537DD9"/>
    <w:rsid w:val="00540052"/>
    <w:rsid w:val="00540066"/>
    <w:rsid w:val="00540203"/>
    <w:rsid w:val="00540248"/>
    <w:rsid w:val="0054036F"/>
    <w:rsid w:val="0054045C"/>
    <w:rsid w:val="00540CEB"/>
    <w:rsid w:val="00540E52"/>
    <w:rsid w:val="00540F84"/>
    <w:rsid w:val="005411D9"/>
    <w:rsid w:val="00541853"/>
    <w:rsid w:val="00541C63"/>
    <w:rsid w:val="00541CAE"/>
    <w:rsid w:val="00541E8D"/>
    <w:rsid w:val="00541F24"/>
    <w:rsid w:val="005420F7"/>
    <w:rsid w:val="00542249"/>
    <w:rsid w:val="00542384"/>
    <w:rsid w:val="005424F7"/>
    <w:rsid w:val="00542784"/>
    <w:rsid w:val="00542D3D"/>
    <w:rsid w:val="00542E1C"/>
    <w:rsid w:val="00543046"/>
    <w:rsid w:val="005434D4"/>
    <w:rsid w:val="005434F6"/>
    <w:rsid w:val="00543737"/>
    <w:rsid w:val="005437DB"/>
    <w:rsid w:val="005438F6"/>
    <w:rsid w:val="00543A1F"/>
    <w:rsid w:val="00543A76"/>
    <w:rsid w:val="00543BB4"/>
    <w:rsid w:val="00543BBC"/>
    <w:rsid w:val="00543CF1"/>
    <w:rsid w:val="005440D0"/>
    <w:rsid w:val="0054471D"/>
    <w:rsid w:val="00544729"/>
    <w:rsid w:val="005447AB"/>
    <w:rsid w:val="00544C90"/>
    <w:rsid w:val="00544E4C"/>
    <w:rsid w:val="00545082"/>
    <w:rsid w:val="005451C1"/>
    <w:rsid w:val="005452F2"/>
    <w:rsid w:val="0054553C"/>
    <w:rsid w:val="005455EF"/>
    <w:rsid w:val="00545D42"/>
    <w:rsid w:val="00545E6D"/>
    <w:rsid w:val="00545F05"/>
    <w:rsid w:val="0054600D"/>
    <w:rsid w:val="00546018"/>
    <w:rsid w:val="0054613F"/>
    <w:rsid w:val="005461E9"/>
    <w:rsid w:val="0054621C"/>
    <w:rsid w:val="00546243"/>
    <w:rsid w:val="0054659E"/>
    <w:rsid w:val="005465AF"/>
    <w:rsid w:val="00546632"/>
    <w:rsid w:val="0054666B"/>
    <w:rsid w:val="005468C8"/>
    <w:rsid w:val="00546B7C"/>
    <w:rsid w:val="00546FFD"/>
    <w:rsid w:val="005474B3"/>
    <w:rsid w:val="0054759E"/>
    <w:rsid w:val="0054771E"/>
    <w:rsid w:val="00547912"/>
    <w:rsid w:val="00547929"/>
    <w:rsid w:val="00547AB2"/>
    <w:rsid w:val="00547B62"/>
    <w:rsid w:val="00547C0C"/>
    <w:rsid w:val="00547E2D"/>
    <w:rsid w:val="00547F48"/>
    <w:rsid w:val="00547FED"/>
    <w:rsid w:val="005500DD"/>
    <w:rsid w:val="005502FD"/>
    <w:rsid w:val="00550467"/>
    <w:rsid w:val="00550C2F"/>
    <w:rsid w:val="005514A3"/>
    <w:rsid w:val="00551510"/>
    <w:rsid w:val="00551601"/>
    <w:rsid w:val="005517C6"/>
    <w:rsid w:val="0055185E"/>
    <w:rsid w:val="00551F39"/>
    <w:rsid w:val="00551F89"/>
    <w:rsid w:val="00552058"/>
    <w:rsid w:val="005520CB"/>
    <w:rsid w:val="005520DC"/>
    <w:rsid w:val="00552271"/>
    <w:rsid w:val="0055240D"/>
    <w:rsid w:val="005529E0"/>
    <w:rsid w:val="00552EC5"/>
    <w:rsid w:val="005530F9"/>
    <w:rsid w:val="005533AB"/>
    <w:rsid w:val="005534E0"/>
    <w:rsid w:val="00553573"/>
    <w:rsid w:val="00553BDE"/>
    <w:rsid w:val="00553C95"/>
    <w:rsid w:val="00553D5B"/>
    <w:rsid w:val="00554000"/>
    <w:rsid w:val="005541E5"/>
    <w:rsid w:val="005544B7"/>
    <w:rsid w:val="00554696"/>
    <w:rsid w:val="00554B04"/>
    <w:rsid w:val="00554C3D"/>
    <w:rsid w:val="00554CC0"/>
    <w:rsid w:val="00554CCC"/>
    <w:rsid w:val="00554D25"/>
    <w:rsid w:val="00554F0A"/>
    <w:rsid w:val="005551D2"/>
    <w:rsid w:val="00555709"/>
    <w:rsid w:val="00555898"/>
    <w:rsid w:val="005558F4"/>
    <w:rsid w:val="00555FF2"/>
    <w:rsid w:val="005560AD"/>
    <w:rsid w:val="00556113"/>
    <w:rsid w:val="0055652C"/>
    <w:rsid w:val="0055694F"/>
    <w:rsid w:val="00556993"/>
    <w:rsid w:val="00556BD2"/>
    <w:rsid w:val="00556D53"/>
    <w:rsid w:val="00556D75"/>
    <w:rsid w:val="00556D8D"/>
    <w:rsid w:val="00556F90"/>
    <w:rsid w:val="0055725C"/>
    <w:rsid w:val="0055744B"/>
    <w:rsid w:val="005574B6"/>
    <w:rsid w:val="005602AB"/>
    <w:rsid w:val="00560387"/>
    <w:rsid w:val="00560435"/>
    <w:rsid w:val="0056062B"/>
    <w:rsid w:val="00560811"/>
    <w:rsid w:val="00560900"/>
    <w:rsid w:val="00560917"/>
    <w:rsid w:val="00560A61"/>
    <w:rsid w:val="005611AA"/>
    <w:rsid w:val="005615F9"/>
    <w:rsid w:val="00561A50"/>
    <w:rsid w:val="00561B43"/>
    <w:rsid w:val="00561B7C"/>
    <w:rsid w:val="00561C82"/>
    <w:rsid w:val="0056209D"/>
    <w:rsid w:val="005620E5"/>
    <w:rsid w:val="00562294"/>
    <w:rsid w:val="005624C4"/>
    <w:rsid w:val="0056255C"/>
    <w:rsid w:val="005626AB"/>
    <w:rsid w:val="005627CA"/>
    <w:rsid w:val="005627FB"/>
    <w:rsid w:val="00562A41"/>
    <w:rsid w:val="00562EFE"/>
    <w:rsid w:val="00563020"/>
    <w:rsid w:val="00563258"/>
    <w:rsid w:val="005632DD"/>
    <w:rsid w:val="00563444"/>
    <w:rsid w:val="00563806"/>
    <w:rsid w:val="005638C1"/>
    <w:rsid w:val="00563955"/>
    <w:rsid w:val="00563A27"/>
    <w:rsid w:val="00563B4D"/>
    <w:rsid w:val="00563BEF"/>
    <w:rsid w:val="00563EA1"/>
    <w:rsid w:val="005640BC"/>
    <w:rsid w:val="00564226"/>
    <w:rsid w:val="005645C4"/>
    <w:rsid w:val="005645EB"/>
    <w:rsid w:val="0056462D"/>
    <w:rsid w:val="00564A5E"/>
    <w:rsid w:val="00564A97"/>
    <w:rsid w:val="00564C90"/>
    <w:rsid w:val="00564D27"/>
    <w:rsid w:val="00564E3E"/>
    <w:rsid w:val="0056521F"/>
    <w:rsid w:val="0056530E"/>
    <w:rsid w:val="00565402"/>
    <w:rsid w:val="00565439"/>
    <w:rsid w:val="005654E6"/>
    <w:rsid w:val="005654F2"/>
    <w:rsid w:val="005655FF"/>
    <w:rsid w:val="005656E4"/>
    <w:rsid w:val="005657DC"/>
    <w:rsid w:val="00565917"/>
    <w:rsid w:val="005659FC"/>
    <w:rsid w:val="00565CA6"/>
    <w:rsid w:val="00565EE2"/>
    <w:rsid w:val="00565F38"/>
    <w:rsid w:val="005660F9"/>
    <w:rsid w:val="00566257"/>
    <w:rsid w:val="00566264"/>
    <w:rsid w:val="00566310"/>
    <w:rsid w:val="0056657D"/>
    <w:rsid w:val="00566AB4"/>
    <w:rsid w:val="00566F9F"/>
    <w:rsid w:val="005676A4"/>
    <w:rsid w:val="00567BFF"/>
    <w:rsid w:val="00567F9F"/>
    <w:rsid w:val="005700A7"/>
    <w:rsid w:val="00570393"/>
    <w:rsid w:val="005704D6"/>
    <w:rsid w:val="00570722"/>
    <w:rsid w:val="00570856"/>
    <w:rsid w:val="005708D3"/>
    <w:rsid w:val="00570D26"/>
    <w:rsid w:val="00570D51"/>
    <w:rsid w:val="00570D92"/>
    <w:rsid w:val="0057116C"/>
    <w:rsid w:val="005712E8"/>
    <w:rsid w:val="00571649"/>
    <w:rsid w:val="0057177F"/>
    <w:rsid w:val="00571B2F"/>
    <w:rsid w:val="00571B92"/>
    <w:rsid w:val="00571C35"/>
    <w:rsid w:val="00571F79"/>
    <w:rsid w:val="00572044"/>
    <w:rsid w:val="00572061"/>
    <w:rsid w:val="0057238C"/>
    <w:rsid w:val="0057251F"/>
    <w:rsid w:val="005728A2"/>
    <w:rsid w:val="00572ABB"/>
    <w:rsid w:val="00572AEA"/>
    <w:rsid w:val="0057334B"/>
    <w:rsid w:val="0057391B"/>
    <w:rsid w:val="00573A02"/>
    <w:rsid w:val="00573F70"/>
    <w:rsid w:val="005740DF"/>
    <w:rsid w:val="0057432E"/>
    <w:rsid w:val="00574364"/>
    <w:rsid w:val="005743BF"/>
    <w:rsid w:val="005744CC"/>
    <w:rsid w:val="0057472F"/>
    <w:rsid w:val="005750FB"/>
    <w:rsid w:val="00575582"/>
    <w:rsid w:val="0057559B"/>
    <w:rsid w:val="0057575D"/>
    <w:rsid w:val="00575A31"/>
    <w:rsid w:val="00575C22"/>
    <w:rsid w:val="005761A7"/>
    <w:rsid w:val="0057629A"/>
    <w:rsid w:val="005762C1"/>
    <w:rsid w:val="005763A9"/>
    <w:rsid w:val="00576419"/>
    <w:rsid w:val="00576444"/>
    <w:rsid w:val="0057700E"/>
    <w:rsid w:val="005770B3"/>
    <w:rsid w:val="0057774B"/>
    <w:rsid w:val="005777B8"/>
    <w:rsid w:val="00577A85"/>
    <w:rsid w:val="00577CDF"/>
    <w:rsid w:val="00577DE7"/>
    <w:rsid w:val="00580711"/>
    <w:rsid w:val="00580CA9"/>
    <w:rsid w:val="00580D68"/>
    <w:rsid w:val="0058122D"/>
    <w:rsid w:val="005812C4"/>
    <w:rsid w:val="005816DF"/>
    <w:rsid w:val="00581A85"/>
    <w:rsid w:val="00581DCA"/>
    <w:rsid w:val="00581FD8"/>
    <w:rsid w:val="005820C7"/>
    <w:rsid w:val="00582232"/>
    <w:rsid w:val="005823BE"/>
    <w:rsid w:val="00582426"/>
    <w:rsid w:val="00582A76"/>
    <w:rsid w:val="00582B54"/>
    <w:rsid w:val="00582BFF"/>
    <w:rsid w:val="00582C00"/>
    <w:rsid w:val="00582EAB"/>
    <w:rsid w:val="00582F03"/>
    <w:rsid w:val="00583083"/>
    <w:rsid w:val="00583103"/>
    <w:rsid w:val="00583604"/>
    <w:rsid w:val="005837DD"/>
    <w:rsid w:val="00583A57"/>
    <w:rsid w:val="00583D67"/>
    <w:rsid w:val="005841F5"/>
    <w:rsid w:val="00584523"/>
    <w:rsid w:val="00584E66"/>
    <w:rsid w:val="0058500A"/>
    <w:rsid w:val="005851C7"/>
    <w:rsid w:val="0058554D"/>
    <w:rsid w:val="00585A0F"/>
    <w:rsid w:val="00585B62"/>
    <w:rsid w:val="00585C79"/>
    <w:rsid w:val="00585ECD"/>
    <w:rsid w:val="005861EF"/>
    <w:rsid w:val="00586306"/>
    <w:rsid w:val="0058685E"/>
    <w:rsid w:val="0058691F"/>
    <w:rsid w:val="00586BCE"/>
    <w:rsid w:val="00587616"/>
    <w:rsid w:val="0058783E"/>
    <w:rsid w:val="0058790A"/>
    <w:rsid w:val="00587994"/>
    <w:rsid w:val="00587E0B"/>
    <w:rsid w:val="00590127"/>
    <w:rsid w:val="00590176"/>
    <w:rsid w:val="005901C7"/>
    <w:rsid w:val="00590BCD"/>
    <w:rsid w:val="00590D77"/>
    <w:rsid w:val="0059122C"/>
    <w:rsid w:val="00591450"/>
    <w:rsid w:val="0059182A"/>
    <w:rsid w:val="00591CB6"/>
    <w:rsid w:val="00591D28"/>
    <w:rsid w:val="00591D88"/>
    <w:rsid w:val="00591EF3"/>
    <w:rsid w:val="00592231"/>
    <w:rsid w:val="005925E4"/>
    <w:rsid w:val="00592733"/>
    <w:rsid w:val="00592F12"/>
    <w:rsid w:val="005932F3"/>
    <w:rsid w:val="005939AB"/>
    <w:rsid w:val="00593AD9"/>
    <w:rsid w:val="00593B68"/>
    <w:rsid w:val="00593D68"/>
    <w:rsid w:val="00593DC6"/>
    <w:rsid w:val="0059405F"/>
    <w:rsid w:val="0059416B"/>
    <w:rsid w:val="0059420F"/>
    <w:rsid w:val="00594762"/>
    <w:rsid w:val="00594A59"/>
    <w:rsid w:val="00594DB9"/>
    <w:rsid w:val="00594FB8"/>
    <w:rsid w:val="0059518B"/>
    <w:rsid w:val="00595439"/>
    <w:rsid w:val="005958F8"/>
    <w:rsid w:val="00595E87"/>
    <w:rsid w:val="005960E9"/>
    <w:rsid w:val="005960ED"/>
    <w:rsid w:val="00596662"/>
    <w:rsid w:val="00596671"/>
    <w:rsid w:val="005967D1"/>
    <w:rsid w:val="00596BF3"/>
    <w:rsid w:val="00596E52"/>
    <w:rsid w:val="00597220"/>
    <w:rsid w:val="005973FE"/>
    <w:rsid w:val="00597418"/>
    <w:rsid w:val="005974CF"/>
    <w:rsid w:val="0059753D"/>
    <w:rsid w:val="00597CC5"/>
    <w:rsid w:val="00597D5B"/>
    <w:rsid w:val="00597EF3"/>
    <w:rsid w:val="005A0277"/>
    <w:rsid w:val="005A02BF"/>
    <w:rsid w:val="005A0639"/>
    <w:rsid w:val="005A0896"/>
    <w:rsid w:val="005A0BD5"/>
    <w:rsid w:val="005A0BE6"/>
    <w:rsid w:val="005A0D05"/>
    <w:rsid w:val="005A10B6"/>
    <w:rsid w:val="005A15FA"/>
    <w:rsid w:val="005A16AD"/>
    <w:rsid w:val="005A1733"/>
    <w:rsid w:val="005A19B2"/>
    <w:rsid w:val="005A1A00"/>
    <w:rsid w:val="005A1C78"/>
    <w:rsid w:val="005A1CAD"/>
    <w:rsid w:val="005A1D52"/>
    <w:rsid w:val="005A202F"/>
    <w:rsid w:val="005A23CC"/>
    <w:rsid w:val="005A28C4"/>
    <w:rsid w:val="005A2C7B"/>
    <w:rsid w:val="005A2EA9"/>
    <w:rsid w:val="005A3241"/>
    <w:rsid w:val="005A34B9"/>
    <w:rsid w:val="005A356C"/>
    <w:rsid w:val="005A3A2F"/>
    <w:rsid w:val="005A3AB2"/>
    <w:rsid w:val="005A3D6B"/>
    <w:rsid w:val="005A3DF1"/>
    <w:rsid w:val="005A3F53"/>
    <w:rsid w:val="005A40E8"/>
    <w:rsid w:val="005A4159"/>
    <w:rsid w:val="005A4289"/>
    <w:rsid w:val="005A42DA"/>
    <w:rsid w:val="005A4355"/>
    <w:rsid w:val="005A4864"/>
    <w:rsid w:val="005A498E"/>
    <w:rsid w:val="005A499A"/>
    <w:rsid w:val="005A4B37"/>
    <w:rsid w:val="005A526D"/>
    <w:rsid w:val="005A539F"/>
    <w:rsid w:val="005A5599"/>
    <w:rsid w:val="005A55A6"/>
    <w:rsid w:val="005A55D3"/>
    <w:rsid w:val="005A5CCF"/>
    <w:rsid w:val="005A5DAA"/>
    <w:rsid w:val="005A6C6F"/>
    <w:rsid w:val="005A6D08"/>
    <w:rsid w:val="005A6D0B"/>
    <w:rsid w:val="005A6E88"/>
    <w:rsid w:val="005A6F31"/>
    <w:rsid w:val="005A6F3F"/>
    <w:rsid w:val="005A6FFC"/>
    <w:rsid w:val="005A7001"/>
    <w:rsid w:val="005A7392"/>
    <w:rsid w:val="005A748E"/>
    <w:rsid w:val="005A7549"/>
    <w:rsid w:val="005A7663"/>
    <w:rsid w:val="005A7BB4"/>
    <w:rsid w:val="005A7D7A"/>
    <w:rsid w:val="005A7E62"/>
    <w:rsid w:val="005B01AC"/>
    <w:rsid w:val="005B04DA"/>
    <w:rsid w:val="005B059F"/>
    <w:rsid w:val="005B0630"/>
    <w:rsid w:val="005B0676"/>
    <w:rsid w:val="005B0996"/>
    <w:rsid w:val="005B0D7A"/>
    <w:rsid w:val="005B0E0B"/>
    <w:rsid w:val="005B0F50"/>
    <w:rsid w:val="005B0F60"/>
    <w:rsid w:val="005B1100"/>
    <w:rsid w:val="005B111E"/>
    <w:rsid w:val="005B1252"/>
    <w:rsid w:val="005B13BB"/>
    <w:rsid w:val="005B1402"/>
    <w:rsid w:val="005B1408"/>
    <w:rsid w:val="005B181D"/>
    <w:rsid w:val="005B2321"/>
    <w:rsid w:val="005B246D"/>
    <w:rsid w:val="005B2658"/>
    <w:rsid w:val="005B2867"/>
    <w:rsid w:val="005B2AEE"/>
    <w:rsid w:val="005B2B2E"/>
    <w:rsid w:val="005B2F6E"/>
    <w:rsid w:val="005B30BA"/>
    <w:rsid w:val="005B318F"/>
    <w:rsid w:val="005B3198"/>
    <w:rsid w:val="005B3247"/>
    <w:rsid w:val="005B32B3"/>
    <w:rsid w:val="005B3336"/>
    <w:rsid w:val="005B356B"/>
    <w:rsid w:val="005B35E7"/>
    <w:rsid w:val="005B3620"/>
    <w:rsid w:val="005B370C"/>
    <w:rsid w:val="005B37FE"/>
    <w:rsid w:val="005B38B5"/>
    <w:rsid w:val="005B3911"/>
    <w:rsid w:val="005B3BA2"/>
    <w:rsid w:val="005B3CB0"/>
    <w:rsid w:val="005B3CB9"/>
    <w:rsid w:val="005B3D8B"/>
    <w:rsid w:val="005B3F77"/>
    <w:rsid w:val="005B401D"/>
    <w:rsid w:val="005B428F"/>
    <w:rsid w:val="005B431E"/>
    <w:rsid w:val="005B43A4"/>
    <w:rsid w:val="005B4601"/>
    <w:rsid w:val="005B48E3"/>
    <w:rsid w:val="005B4C67"/>
    <w:rsid w:val="005B4F16"/>
    <w:rsid w:val="005B52A0"/>
    <w:rsid w:val="005B53C1"/>
    <w:rsid w:val="005B5546"/>
    <w:rsid w:val="005B5748"/>
    <w:rsid w:val="005B5A1F"/>
    <w:rsid w:val="005B5A31"/>
    <w:rsid w:val="005B5B98"/>
    <w:rsid w:val="005B5C12"/>
    <w:rsid w:val="005B5D69"/>
    <w:rsid w:val="005B5E61"/>
    <w:rsid w:val="005B61E4"/>
    <w:rsid w:val="005B6542"/>
    <w:rsid w:val="005B68F0"/>
    <w:rsid w:val="005B6B64"/>
    <w:rsid w:val="005B6BA3"/>
    <w:rsid w:val="005B6C5F"/>
    <w:rsid w:val="005B6DB8"/>
    <w:rsid w:val="005B76AF"/>
    <w:rsid w:val="005B79C2"/>
    <w:rsid w:val="005B7BFF"/>
    <w:rsid w:val="005C00B8"/>
    <w:rsid w:val="005C00FE"/>
    <w:rsid w:val="005C02AB"/>
    <w:rsid w:val="005C052B"/>
    <w:rsid w:val="005C0816"/>
    <w:rsid w:val="005C0901"/>
    <w:rsid w:val="005C0B5C"/>
    <w:rsid w:val="005C0BE8"/>
    <w:rsid w:val="005C0DBB"/>
    <w:rsid w:val="005C0E11"/>
    <w:rsid w:val="005C1205"/>
    <w:rsid w:val="005C1222"/>
    <w:rsid w:val="005C1430"/>
    <w:rsid w:val="005C149C"/>
    <w:rsid w:val="005C1523"/>
    <w:rsid w:val="005C174D"/>
    <w:rsid w:val="005C1958"/>
    <w:rsid w:val="005C1B93"/>
    <w:rsid w:val="005C1E77"/>
    <w:rsid w:val="005C212C"/>
    <w:rsid w:val="005C2647"/>
    <w:rsid w:val="005C273D"/>
    <w:rsid w:val="005C2771"/>
    <w:rsid w:val="005C2790"/>
    <w:rsid w:val="005C28C8"/>
    <w:rsid w:val="005C2A13"/>
    <w:rsid w:val="005C2B24"/>
    <w:rsid w:val="005C3055"/>
    <w:rsid w:val="005C34A4"/>
    <w:rsid w:val="005C3731"/>
    <w:rsid w:val="005C38A5"/>
    <w:rsid w:val="005C3D88"/>
    <w:rsid w:val="005C4109"/>
    <w:rsid w:val="005C42B4"/>
    <w:rsid w:val="005C43B5"/>
    <w:rsid w:val="005C4497"/>
    <w:rsid w:val="005C455B"/>
    <w:rsid w:val="005C45E4"/>
    <w:rsid w:val="005C4AD4"/>
    <w:rsid w:val="005C4C2A"/>
    <w:rsid w:val="005C4C5D"/>
    <w:rsid w:val="005C4FD4"/>
    <w:rsid w:val="005C50D8"/>
    <w:rsid w:val="005C50DF"/>
    <w:rsid w:val="005C5138"/>
    <w:rsid w:val="005C52A4"/>
    <w:rsid w:val="005C52C9"/>
    <w:rsid w:val="005C54D9"/>
    <w:rsid w:val="005C59D3"/>
    <w:rsid w:val="005C5E13"/>
    <w:rsid w:val="005C670F"/>
    <w:rsid w:val="005C68F2"/>
    <w:rsid w:val="005C69D9"/>
    <w:rsid w:val="005C69F0"/>
    <w:rsid w:val="005C6A8F"/>
    <w:rsid w:val="005C6B00"/>
    <w:rsid w:val="005C6CA5"/>
    <w:rsid w:val="005C6CDF"/>
    <w:rsid w:val="005C6CE4"/>
    <w:rsid w:val="005C6D7A"/>
    <w:rsid w:val="005C6E89"/>
    <w:rsid w:val="005C70D7"/>
    <w:rsid w:val="005C71EB"/>
    <w:rsid w:val="005C722C"/>
    <w:rsid w:val="005C74EE"/>
    <w:rsid w:val="005C7595"/>
    <w:rsid w:val="005C75CC"/>
    <w:rsid w:val="005C7A73"/>
    <w:rsid w:val="005D004E"/>
    <w:rsid w:val="005D02D4"/>
    <w:rsid w:val="005D02E2"/>
    <w:rsid w:val="005D0339"/>
    <w:rsid w:val="005D09D2"/>
    <w:rsid w:val="005D0B09"/>
    <w:rsid w:val="005D10A2"/>
    <w:rsid w:val="005D160B"/>
    <w:rsid w:val="005D17D7"/>
    <w:rsid w:val="005D1B84"/>
    <w:rsid w:val="005D1BF6"/>
    <w:rsid w:val="005D1D06"/>
    <w:rsid w:val="005D1D4D"/>
    <w:rsid w:val="005D1FA3"/>
    <w:rsid w:val="005D20EE"/>
    <w:rsid w:val="005D21BF"/>
    <w:rsid w:val="005D2212"/>
    <w:rsid w:val="005D2341"/>
    <w:rsid w:val="005D25A8"/>
    <w:rsid w:val="005D25B4"/>
    <w:rsid w:val="005D28BB"/>
    <w:rsid w:val="005D2BA4"/>
    <w:rsid w:val="005D2F48"/>
    <w:rsid w:val="005D386A"/>
    <w:rsid w:val="005D3A08"/>
    <w:rsid w:val="005D3A66"/>
    <w:rsid w:val="005D3ED7"/>
    <w:rsid w:val="005D413F"/>
    <w:rsid w:val="005D425D"/>
    <w:rsid w:val="005D4396"/>
    <w:rsid w:val="005D44D6"/>
    <w:rsid w:val="005D479C"/>
    <w:rsid w:val="005D4B9A"/>
    <w:rsid w:val="005D50C2"/>
    <w:rsid w:val="005D5186"/>
    <w:rsid w:val="005D5707"/>
    <w:rsid w:val="005D5A79"/>
    <w:rsid w:val="005D5D0A"/>
    <w:rsid w:val="005D6036"/>
    <w:rsid w:val="005D6242"/>
    <w:rsid w:val="005D6279"/>
    <w:rsid w:val="005D6378"/>
    <w:rsid w:val="005D644A"/>
    <w:rsid w:val="005D653A"/>
    <w:rsid w:val="005D6AAB"/>
    <w:rsid w:val="005D6DAF"/>
    <w:rsid w:val="005D7036"/>
    <w:rsid w:val="005D7389"/>
    <w:rsid w:val="005D7658"/>
    <w:rsid w:val="005D76B1"/>
    <w:rsid w:val="005D7AD7"/>
    <w:rsid w:val="005D7C55"/>
    <w:rsid w:val="005D7EE8"/>
    <w:rsid w:val="005E0129"/>
    <w:rsid w:val="005E01CF"/>
    <w:rsid w:val="005E04D0"/>
    <w:rsid w:val="005E0623"/>
    <w:rsid w:val="005E0650"/>
    <w:rsid w:val="005E06CC"/>
    <w:rsid w:val="005E07C3"/>
    <w:rsid w:val="005E0820"/>
    <w:rsid w:val="005E08E3"/>
    <w:rsid w:val="005E0A58"/>
    <w:rsid w:val="005E0C3C"/>
    <w:rsid w:val="005E0CAD"/>
    <w:rsid w:val="005E0E1E"/>
    <w:rsid w:val="005E1074"/>
    <w:rsid w:val="005E10C5"/>
    <w:rsid w:val="005E10E8"/>
    <w:rsid w:val="005E1130"/>
    <w:rsid w:val="005E139B"/>
    <w:rsid w:val="005E146E"/>
    <w:rsid w:val="005E1B7E"/>
    <w:rsid w:val="005E1DF9"/>
    <w:rsid w:val="005E1E7D"/>
    <w:rsid w:val="005E1F01"/>
    <w:rsid w:val="005E1F33"/>
    <w:rsid w:val="005E22CA"/>
    <w:rsid w:val="005E26F7"/>
    <w:rsid w:val="005E2931"/>
    <w:rsid w:val="005E29B1"/>
    <w:rsid w:val="005E2A77"/>
    <w:rsid w:val="005E3033"/>
    <w:rsid w:val="005E3424"/>
    <w:rsid w:val="005E3659"/>
    <w:rsid w:val="005E368F"/>
    <w:rsid w:val="005E38ED"/>
    <w:rsid w:val="005E3B07"/>
    <w:rsid w:val="005E3BBD"/>
    <w:rsid w:val="005E3C56"/>
    <w:rsid w:val="005E3DD7"/>
    <w:rsid w:val="005E3E0D"/>
    <w:rsid w:val="005E43FE"/>
    <w:rsid w:val="005E4585"/>
    <w:rsid w:val="005E45F4"/>
    <w:rsid w:val="005E48EC"/>
    <w:rsid w:val="005E4C4D"/>
    <w:rsid w:val="005E4CD9"/>
    <w:rsid w:val="005E4CEC"/>
    <w:rsid w:val="005E4FD2"/>
    <w:rsid w:val="005E4FD7"/>
    <w:rsid w:val="005E50C9"/>
    <w:rsid w:val="005E553C"/>
    <w:rsid w:val="005E5718"/>
    <w:rsid w:val="005E588E"/>
    <w:rsid w:val="005E59B5"/>
    <w:rsid w:val="005E5E0F"/>
    <w:rsid w:val="005E6189"/>
    <w:rsid w:val="005E625D"/>
    <w:rsid w:val="005E663A"/>
    <w:rsid w:val="005E6657"/>
    <w:rsid w:val="005E6750"/>
    <w:rsid w:val="005E6AC9"/>
    <w:rsid w:val="005E6B33"/>
    <w:rsid w:val="005E6BA7"/>
    <w:rsid w:val="005E6CF3"/>
    <w:rsid w:val="005E6E62"/>
    <w:rsid w:val="005E6FDA"/>
    <w:rsid w:val="005E73D6"/>
    <w:rsid w:val="005E73EA"/>
    <w:rsid w:val="005E73F9"/>
    <w:rsid w:val="005E7543"/>
    <w:rsid w:val="005E77A7"/>
    <w:rsid w:val="005E7A72"/>
    <w:rsid w:val="005E7C76"/>
    <w:rsid w:val="005F0205"/>
    <w:rsid w:val="005F0835"/>
    <w:rsid w:val="005F09C6"/>
    <w:rsid w:val="005F0A91"/>
    <w:rsid w:val="005F0D87"/>
    <w:rsid w:val="005F0E0E"/>
    <w:rsid w:val="005F11A9"/>
    <w:rsid w:val="005F11B2"/>
    <w:rsid w:val="005F1682"/>
    <w:rsid w:val="005F179D"/>
    <w:rsid w:val="005F191C"/>
    <w:rsid w:val="005F19EB"/>
    <w:rsid w:val="005F19F2"/>
    <w:rsid w:val="005F1C38"/>
    <w:rsid w:val="005F1C93"/>
    <w:rsid w:val="005F1D46"/>
    <w:rsid w:val="005F1DA3"/>
    <w:rsid w:val="005F1FE6"/>
    <w:rsid w:val="005F208D"/>
    <w:rsid w:val="005F243D"/>
    <w:rsid w:val="005F25BA"/>
    <w:rsid w:val="005F26C1"/>
    <w:rsid w:val="005F2799"/>
    <w:rsid w:val="005F2A2A"/>
    <w:rsid w:val="005F2ABA"/>
    <w:rsid w:val="005F340E"/>
    <w:rsid w:val="005F373D"/>
    <w:rsid w:val="005F380E"/>
    <w:rsid w:val="005F3882"/>
    <w:rsid w:val="005F39B7"/>
    <w:rsid w:val="005F3BA2"/>
    <w:rsid w:val="005F3CD7"/>
    <w:rsid w:val="005F3F6F"/>
    <w:rsid w:val="005F42F6"/>
    <w:rsid w:val="005F4392"/>
    <w:rsid w:val="005F4456"/>
    <w:rsid w:val="005F459B"/>
    <w:rsid w:val="005F4A17"/>
    <w:rsid w:val="005F4C10"/>
    <w:rsid w:val="005F4E88"/>
    <w:rsid w:val="005F5113"/>
    <w:rsid w:val="005F5167"/>
    <w:rsid w:val="005F5422"/>
    <w:rsid w:val="005F5430"/>
    <w:rsid w:val="005F5D34"/>
    <w:rsid w:val="005F5D5E"/>
    <w:rsid w:val="005F5FA2"/>
    <w:rsid w:val="005F67BA"/>
    <w:rsid w:val="005F6861"/>
    <w:rsid w:val="005F6956"/>
    <w:rsid w:val="005F6A93"/>
    <w:rsid w:val="005F6C7A"/>
    <w:rsid w:val="005F6C88"/>
    <w:rsid w:val="005F6CFC"/>
    <w:rsid w:val="005F6FC1"/>
    <w:rsid w:val="005F72A8"/>
    <w:rsid w:val="005F7564"/>
    <w:rsid w:val="005F7807"/>
    <w:rsid w:val="005F79E2"/>
    <w:rsid w:val="005F7E3B"/>
    <w:rsid w:val="005F7F3E"/>
    <w:rsid w:val="005F7F4F"/>
    <w:rsid w:val="00600120"/>
    <w:rsid w:val="00600159"/>
    <w:rsid w:val="006001DC"/>
    <w:rsid w:val="00600446"/>
    <w:rsid w:val="0060079F"/>
    <w:rsid w:val="00600B71"/>
    <w:rsid w:val="00600BFF"/>
    <w:rsid w:val="00600CA2"/>
    <w:rsid w:val="00600D47"/>
    <w:rsid w:val="00600ED9"/>
    <w:rsid w:val="006010D6"/>
    <w:rsid w:val="00601156"/>
    <w:rsid w:val="00601195"/>
    <w:rsid w:val="00601447"/>
    <w:rsid w:val="00601460"/>
    <w:rsid w:val="00601706"/>
    <w:rsid w:val="006017DB"/>
    <w:rsid w:val="006018EC"/>
    <w:rsid w:val="006019C3"/>
    <w:rsid w:val="00601B7D"/>
    <w:rsid w:val="00601D69"/>
    <w:rsid w:val="00601DB3"/>
    <w:rsid w:val="00602307"/>
    <w:rsid w:val="0060239B"/>
    <w:rsid w:val="006025C7"/>
    <w:rsid w:val="00602640"/>
    <w:rsid w:val="00602671"/>
    <w:rsid w:val="00602730"/>
    <w:rsid w:val="006028F7"/>
    <w:rsid w:val="00602940"/>
    <w:rsid w:val="00602F10"/>
    <w:rsid w:val="00603022"/>
    <w:rsid w:val="00603262"/>
    <w:rsid w:val="00603398"/>
    <w:rsid w:val="006035D1"/>
    <w:rsid w:val="00603853"/>
    <w:rsid w:val="00603A1F"/>
    <w:rsid w:val="00603E15"/>
    <w:rsid w:val="00603EB9"/>
    <w:rsid w:val="00603F57"/>
    <w:rsid w:val="006040F0"/>
    <w:rsid w:val="00604173"/>
    <w:rsid w:val="006042E7"/>
    <w:rsid w:val="006043D5"/>
    <w:rsid w:val="00604420"/>
    <w:rsid w:val="006045B5"/>
    <w:rsid w:val="0060463E"/>
    <w:rsid w:val="00604682"/>
    <w:rsid w:val="00604790"/>
    <w:rsid w:val="00604A40"/>
    <w:rsid w:val="00604EA8"/>
    <w:rsid w:val="00604FAC"/>
    <w:rsid w:val="00605250"/>
    <w:rsid w:val="0060591D"/>
    <w:rsid w:val="00605949"/>
    <w:rsid w:val="00605BF4"/>
    <w:rsid w:val="00605E2A"/>
    <w:rsid w:val="00605E97"/>
    <w:rsid w:val="00605F30"/>
    <w:rsid w:val="00606B30"/>
    <w:rsid w:val="00606BAA"/>
    <w:rsid w:val="00607848"/>
    <w:rsid w:val="00607DE1"/>
    <w:rsid w:val="00610059"/>
    <w:rsid w:val="00610106"/>
    <w:rsid w:val="0061018C"/>
    <w:rsid w:val="006103F7"/>
    <w:rsid w:val="006103FC"/>
    <w:rsid w:val="00610574"/>
    <w:rsid w:val="006106B2"/>
    <w:rsid w:val="0061073E"/>
    <w:rsid w:val="00610884"/>
    <w:rsid w:val="00610C4E"/>
    <w:rsid w:val="00610FF5"/>
    <w:rsid w:val="006113FE"/>
    <w:rsid w:val="006116EB"/>
    <w:rsid w:val="006117B9"/>
    <w:rsid w:val="0061181F"/>
    <w:rsid w:val="006118F6"/>
    <w:rsid w:val="00611B3D"/>
    <w:rsid w:val="00611C80"/>
    <w:rsid w:val="00611EBC"/>
    <w:rsid w:val="0061262E"/>
    <w:rsid w:val="00612D0E"/>
    <w:rsid w:val="00612E4F"/>
    <w:rsid w:val="006131D8"/>
    <w:rsid w:val="00613395"/>
    <w:rsid w:val="006134CC"/>
    <w:rsid w:val="0061358F"/>
    <w:rsid w:val="006136BC"/>
    <w:rsid w:val="006137B4"/>
    <w:rsid w:val="00613D8C"/>
    <w:rsid w:val="00613E5D"/>
    <w:rsid w:val="00613E82"/>
    <w:rsid w:val="00613EBD"/>
    <w:rsid w:val="0061417F"/>
    <w:rsid w:val="006142C5"/>
    <w:rsid w:val="00614832"/>
    <w:rsid w:val="006149D0"/>
    <w:rsid w:val="006149FD"/>
    <w:rsid w:val="00614B99"/>
    <w:rsid w:val="00614C16"/>
    <w:rsid w:val="00614C8E"/>
    <w:rsid w:val="00614E7E"/>
    <w:rsid w:val="00615376"/>
    <w:rsid w:val="00615725"/>
    <w:rsid w:val="00615727"/>
    <w:rsid w:val="006158A5"/>
    <w:rsid w:val="00615A15"/>
    <w:rsid w:val="00615FE9"/>
    <w:rsid w:val="00616322"/>
    <w:rsid w:val="00616394"/>
    <w:rsid w:val="006176AC"/>
    <w:rsid w:val="006176D3"/>
    <w:rsid w:val="00617891"/>
    <w:rsid w:val="006179F0"/>
    <w:rsid w:val="00617C2A"/>
    <w:rsid w:val="00617CA2"/>
    <w:rsid w:val="00617CF2"/>
    <w:rsid w:val="00617E7B"/>
    <w:rsid w:val="0062034F"/>
    <w:rsid w:val="006203CA"/>
    <w:rsid w:val="00620513"/>
    <w:rsid w:val="006207F2"/>
    <w:rsid w:val="00620817"/>
    <w:rsid w:val="0062086A"/>
    <w:rsid w:val="00620AF2"/>
    <w:rsid w:val="00620D9C"/>
    <w:rsid w:val="00620EC8"/>
    <w:rsid w:val="006212F4"/>
    <w:rsid w:val="00621A10"/>
    <w:rsid w:val="00621E52"/>
    <w:rsid w:val="00621FD5"/>
    <w:rsid w:val="006220ED"/>
    <w:rsid w:val="00622111"/>
    <w:rsid w:val="006225E7"/>
    <w:rsid w:val="00622749"/>
    <w:rsid w:val="0062293B"/>
    <w:rsid w:val="00622C99"/>
    <w:rsid w:val="00622CB8"/>
    <w:rsid w:val="0062331D"/>
    <w:rsid w:val="006238D9"/>
    <w:rsid w:val="00623931"/>
    <w:rsid w:val="0062398F"/>
    <w:rsid w:val="00623B43"/>
    <w:rsid w:val="00623E1E"/>
    <w:rsid w:val="00623F40"/>
    <w:rsid w:val="00623F4C"/>
    <w:rsid w:val="0062401A"/>
    <w:rsid w:val="0062405A"/>
    <w:rsid w:val="006240DA"/>
    <w:rsid w:val="00624371"/>
    <w:rsid w:val="006245BA"/>
    <w:rsid w:val="006246D5"/>
    <w:rsid w:val="00624A59"/>
    <w:rsid w:val="00624AC0"/>
    <w:rsid w:val="00624B65"/>
    <w:rsid w:val="00624B8A"/>
    <w:rsid w:val="00624E98"/>
    <w:rsid w:val="00624EEE"/>
    <w:rsid w:val="00624FB2"/>
    <w:rsid w:val="00624FCF"/>
    <w:rsid w:val="0062506A"/>
    <w:rsid w:val="006253FB"/>
    <w:rsid w:val="00625934"/>
    <w:rsid w:val="00625A1B"/>
    <w:rsid w:val="00625B39"/>
    <w:rsid w:val="00625F57"/>
    <w:rsid w:val="00625F64"/>
    <w:rsid w:val="0062615D"/>
    <w:rsid w:val="0062628D"/>
    <w:rsid w:val="00626584"/>
    <w:rsid w:val="006269AE"/>
    <w:rsid w:val="00626A26"/>
    <w:rsid w:val="00626A3A"/>
    <w:rsid w:val="00626B2A"/>
    <w:rsid w:val="00626C4D"/>
    <w:rsid w:val="006275F7"/>
    <w:rsid w:val="006276D3"/>
    <w:rsid w:val="006276E2"/>
    <w:rsid w:val="006277E8"/>
    <w:rsid w:val="0062797E"/>
    <w:rsid w:val="00627C3A"/>
    <w:rsid w:val="00627C93"/>
    <w:rsid w:val="00627D30"/>
    <w:rsid w:val="00630011"/>
    <w:rsid w:val="0063023E"/>
    <w:rsid w:val="006302E1"/>
    <w:rsid w:val="0063068C"/>
    <w:rsid w:val="00630737"/>
    <w:rsid w:val="006309A1"/>
    <w:rsid w:val="00630AE0"/>
    <w:rsid w:val="00630B02"/>
    <w:rsid w:val="006313F6"/>
    <w:rsid w:val="006319BE"/>
    <w:rsid w:val="00632449"/>
    <w:rsid w:val="006324D3"/>
    <w:rsid w:val="006325A3"/>
    <w:rsid w:val="00632732"/>
    <w:rsid w:val="00632881"/>
    <w:rsid w:val="00632AFF"/>
    <w:rsid w:val="0063359A"/>
    <w:rsid w:val="006335E5"/>
    <w:rsid w:val="00633B59"/>
    <w:rsid w:val="00633BAF"/>
    <w:rsid w:val="00633D93"/>
    <w:rsid w:val="006340E1"/>
    <w:rsid w:val="006344D8"/>
    <w:rsid w:val="00634B05"/>
    <w:rsid w:val="00634BCB"/>
    <w:rsid w:val="00634CE7"/>
    <w:rsid w:val="00634F4E"/>
    <w:rsid w:val="00634F54"/>
    <w:rsid w:val="00635408"/>
    <w:rsid w:val="0063547D"/>
    <w:rsid w:val="00635586"/>
    <w:rsid w:val="006355B5"/>
    <w:rsid w:val="00635657"/>
    <w:rsid w:val="006356C1"/>
    <w:rsid w:val="006357CB"/>
    <w:rsid w:val="00635801"/>
    <w:rsid w:val="00635E96"/>
    <w:rsid w:val="006365B6"/>
    <w:rsid w:val="00636672"/>
    <w:rsid w:val="0063691F"/>
    <w:rsid w:val="00636C1E"/>
    <w:rsid w:val="00636DAA"/>
    <w:rsid w:val="00637237"/>
    <w:rsid w:val="006372A8"/>
    <w:rsid w:val="00637320"/>
    <w:rsid w:val="00637729"/>
    <w:rsid w:val="00637907"/>
    <w:rsid w:val="00637AFA"/>
    <w:rsid w:val="00637B6C"/>
    <w:rsid w:val="00637B85"/>
    <w:rsid w:val="00637DE3"/>
    <w:rsid w:val="00637ED4"/>
    <w:rsid w:val="00637F41"/>
    <w:rsid w:val="006403B9"/>
    <w:rsid w:val="006403E7"/>
    <w:rsid w:val="0064072A"/>
    <w:rsid w:val="00640796"/>
    <w:rsid w:val="006407E5"/>
    <w:rsid w:val="00640872"/>
    <w:rsid w:val="006408B6"/>
    <w:rsid w:val="0064090A"/>
    <w:rsid w:val="00640DDF"/>
    <w:rsid w:val="00640FE2"/>
    <w:rsid w:val="00641510"/>
    <w:rsid w:val="006415E5"/>
    <w:rsid w:val="006418A7"/>
    <w:rsid w:val="00641A99"/>
    <w:rsid w:val="00641AEB"/>
    <w:rsid w:val="00641B92"/>
    <w:rsid w:val="00641BCD"/>
    <w:rsid w:val="00641E52"/>
    <w:rsid w:val="00641E70"/>
    <w:rsid w:val="00641E8E"/>
    <w:rsid w:val="00641F1F"/>
    <w:rsid w:val="00642065"/>
    <w:rsid w:val="006422B8"/>
    <w:rsid w:val="0064255C"/>
    <w:rsid w:val="006428F5"/>
    <w:rsid w:val="00642DDB"/>
    <w:rsid w:val="00643C1E"/>
    <w:rsid w:val="00643D04"/>
    <w:rsid w:val="00643DDE"/>
    <w:rsid w:val="00644065"/>
    <w:rsid w:val="0064438C"/>
    <w:rsid w:val="0064439D"/>
    <w:rsid w:val="0064448A"/>
    <w:rsid w:val="00644688"/>
    <w:rsid w:val="006446B5"/>
    <w:rsid w:val="0064474B"/>
    <w:rsid w:val="00644800"/>
    <w:rsid w:val="00644BE4"/>
    <w:rsid w:val="00644C03"/>
    <w:rsid w:val="00644C9B"/>
    <w:rsid w:val="00644E8C"/>
    <w:rsid w:val="006450DF"/>
    <w:rsid w:val="00645A91"/>
    <w:rsid w:val="00645FBA"/>
    <w:rsid w:val="0064612F"/>
    <w:rsid w:val="00646197"/>
    <w:rsid w:val="006462D5"/>
    <w:rsid w:val="006462E5"/>
    <w:rsid w:val="00646341"/>
    <w:rsid w:val="0064639F"/>
    <w:rsid w:val="00646A3A"/>
    <w:rsid w:val="00646AA9"/>
    <w:rsid w:val="00646ACC"/>
    <w:rsid w:val="00646FA3"/>
    <w:rsid w:val="00646FD2"/>
    <w:rsid w:val="00647035"/>
    <w:rsid w:val="0064715F"/>
    <w:rsid w:val="00647203"/>
    <w:rsid w:val="006472B3"/>
    <w:rsid w:val="00647B87"/>
    <w:rsid w:val="00650167"/>
    <w:rsid w:val="00650172"/>
    <w:rsid w:val="006502B1"/>
    <w:rsid w:val="006502BB"/>
    <w:rsid w:val="00650489"/>
    <w:rsid w:val="006508A1"/>
    <w:rsid w:val="006508EC"/>
    <w:rsid w:val="00650904"/>
    <w:rsid w:val="00650BED"/>
    <w:rsid w:val="00651160"/>
    <w:rsid w:val="0065131B"/>
    <w:rsid w:val="006513F0"/>
    <w:rsid w:val="00651434"/>
    <w:rsid w:val="00651636"/>
    <w:rsid w:val="006517D4"/>
    <w:rsid w:val="006518E7"/>
    <w:rsid w:val="00651A8B"/>
    <w:rsid w:val="00651C4E"/>
    <w:rsid w:val="00651C80"/>
    <w:rsid w:val="00651D69"/>
    <w:rsid w:val="00651D94"/>
    <w:rsid w:val="00651F33"/>
    <w:rsid w:val="006520EA"/>
    <w:rsid w:val="00652663"/>
    <w:rsid w:val="0065266B"/>
    <w:rsid w:val="00652741"/>
    <w:rsid w:val="00652B27"/>
    <w:rsid w:val="00652C87"/>
    <w:rsid w:val="00652D86"/>
    <w:rsid w:val="00653364"/>
    <w:rsid w:val="00653483"/>
    <w:rsid w:val="00653490"/>
    <w:rsid w:val="0065371E"/>
    <w:rsid w:val="00653864"/>
    <w:rsid w:val="00653D9F"/>
    <w:rsid w:val="00653DC2"/>
    <w:rsid w:val="006542D7"/>
    <w:rsid w:val="00654384"/>
    <w:rsid w:val="00654427"/>
    <w:rsid w:val="0065453D"/>
    <w:rsid w:val="006546AF"/>
    <w:rsid w:val="00654720"/>
    <w:rsid w:val="0065472E"/>
    <w:rsid w:val="0065482E"/>
    <w:rsid w:val="00654A29"/>
    <w:rsid w:val="00654F52"/>
    <w:rsid w:val="006551F1"/>
    <w:rsid w:val="00655721"/>
    <w:rsid w:val="006557FC"/>
    <w:rsid w:val="00655972"/>
    <w:rsid w:val="006559C6"/>
    <w:rsid w:val="006559CD"/>
    <w:rsid w:val="00655E0F"/>
    <w:rsid w:val="00655E8C"/>
    <w:rsid w:val="0065609A"/>
    <w:rsid w:val="00656283"/>
    <w:rsid w:val="0065642B"/>
    <w:rsid w:val="00656481"/>
    <w:rsid w:val="0065697A"/>
    <w:rsid w:val="00656D80"/>
    <w:rsid w:val="00656DF0"/>
    <w:rsid w:val="00656EA6"/>
    <w:rsid w:val="00656ED1"/>
    <w:rsid w:val="00656F9B"/>
    <w:rsid w:val="00656FBF"/>
    <w:rsid w:val="00656FFC"/>
    <w:rsid w:val="0065700E"/>
    <w:rsid w:val="006576EF"/>
    <w:rsid w:val="00657940"/>
    <w:rsid w:val="00657C36"/>
    <w:rsid w:val="00657D55"/>
    <w:rsid w:val="00657F52"/>
    <w:rsid w:val="00660039"/>
    <w:rsid w:val="006602D1"/>
    <w:rsid w:val="00660834"/>
    <w:rsid w:val="00660BD1"/>
    <w:rsid w:val="00660F48"/>
    <w:rsid w:val="00660F70"/>
    <w:rsid w:val="00661186"/>
    <w:rsid w:val="0066124B"/>
    <w:rsid w:val="00661772"/>
    <w:rsid w:val="006618A4"/>
    <w:rsid w:val="00661AA6"/>
    <w:rsid w:val="00661DC4"/>
    <w:rsid w:val="00661EFA"/>
    <w:rsid w:val="00661FAC"/>
    <w:rsid w:val="00662210"/>
    <w:rsid w:val="006627A6"/>
    <w:rsid w:val="0066284F"/>
    <w:rsid w:val="00662955"/>
    <w:rsid w:val="00662988"/>
    <w:rsid w:val="006629A7"/>
    <w:rsid w:val="00662A7F"/>
    <w:rsid w:val="006630F9"/>
    <w:rsid w:val="00663261"/>
    <w:rsid w:val="0066326F"/>
    <w:rsid w:val="00663515"/>
    <w:rsid w:val="00663BAB"/>
    <w:rsid w:val="00663D8A"/>
    <w:rsid w:val="00664277"/>
    <w:rsid w:val="006642E2"/>
    <w:rsid w:val="006643C3"/>
    <w:rsid w:val="0066460D"/>
    <w:rsid w:val="0066488E"/>
    <w:rsid w:val="00664CFA"/>
    <w:rsid w:val="00664F20"/>
    <w:rsid w:val="00664FC1"/>
    <w:rsid w:val="00664FD3"/>
    <w:rsid w:val="0066514A"/>
    <w:rsid w:val="00665607"/>
    <w:rsid w:val="00665A2F"/>
    <w:rsid w:val="00665EE0"/>
    <w:rsid w:val="00665F81"/>
    <w:rsid w:val="006661DE"/>
    <w:rsid w:val="00666D3F"/>
    <w:rsid w:val="00666E88"/>
    <w:rsid w:val="00666FED"/>
    <w:rsid w:val="00667188"/>
    <w:rsid w:val="006674EB"/>
    <w:rsid w:val="006676B5"/>
    <w:rsid w:val="00667739"/>
    <w:rsid w:val="006677F0"/>
    <w:rsid w:val="00667979"/>
    <w:rsid w:val="006700E2"/>
    <w:rsid w:val="006704FF"/>
    <w:rsid w:val="006707EC"/>
    <w:rsid w:val="00670AF4"/>
    <w:rsid w:val="00670F06"/>
    <w:rsid w:val="00670FDD"/>
    <w:rsid w:val="0067173F"/>
    <w:rsid w:val="006717D4"/>
    <w:rsid w:val="006719B7"/>
    <w:rsid w:val="006719C1"/>
    <w:rsid w:val="00671A1A"/>
    <w:rsid w:val="00671B4F"/>
    <w:rsid w:val="00671CDC"/>
    <w:rsid w:val="00671F6E"/>
    <w:rsid w:val="006721A2"/>
    <w:rsid w:val="00672568"/>
    <w:rsid w:val="0067268F"/>
    <w:rsid w:val="006728BA"/>
    <w:rsid w:val="00672AB9"/>
    <w:rsid w:val="00672C81"/>
    <w:rsid w:val="00672EFE"/>
    <w:rsid w:val="006730A1"/>
    <w:rsid w:val="0067326D"/>
    <w:rsid w:val="0067327A"/>
    <w:rsid w:val="00673579"/>
    <w:rsid w:val="00673638"/>
    <w:rsid w:val="00673808"/>
    <w:rsid w:val="00673DC1"/>
    <w:rsid w:val="00673ED2"/>
    <w:rsid w:val="00673EE2"/>
    <w:rsid w:val="00673FDD"/>
    <w:rsid w:val="00674092"/>
    <w:rsid w:val="00674185"/>
    <w:rsid w:val="006745C9"/>
    <w:rsid w:val="00674ABA"/>
    <w:rsid w:val="00674ACB"/>
    <w:rsid w:val="00674B1A"/>
    <w:rsid w:val="00674EB6"/>
    <w:rsid w:val="00674FB4"/>
    <w:rsid w:val="0067523E"/>
    <w:rsid w:val="00675265"/>
    <w:rsid w:val="006753D3"/>
    <w:rsid w:val="0067562E"/>
    <w:rsid w:val="006757A3"/>
    <w:rsid w:val="006758EA"/>
    <w:rsid w:val="00675D71"/>
    <w:rsid w:val="006760D1"/>
    <w:rsid w:val="00676131"/>
    <w:rsid w:val="006761D6"/>
    <w:rsid w:val="0067646F"/>
    <w:rsid w:val="006766D0"/>
    <w:rsid w:val="00676845"/>
    <w:rsid w:val="00676856"/>
    <w:rsid w:val="00676B2A"/>
    <w:rsid w:val="00676E89"/>
    <w:rsid w:val="00677278"/>
    <w:rsid w:val="00677366"/>
    <w:rsid w:val="006774E1"/>
    <w:rsid w:val="006775B2"/>
    <w:rsid w:val="006775C1"/>
    <w:rsid w:val="0067762B"/>
    <w:rsid w:val="0067788B"/>
    <w:rsid w:val="00677979"/>
    <w:rsid w:val="0068012A"/>
    <w:rsid w:val="00680336"/>
    <w:rsid w:val="00680422"/>
    <w:rsid w:val="006808EC"/>
    <w:rsid w:val="0068092C"/>
    <w:rsid w:val="0068094E"/>
    <w:rsid w:val="00680977"/>
    <w:rsid w:val="00680F3A"/>
    <w:rsid w:val="00680F84"/>
    <w:rsid w:val="006813F4"/>
    <w:rsid w:val="006814E8"/>
    <w:rsid w:val="00681A14"/>
    <w:rsid w:val="00681AAF"/>
    <w:rsid w:val="00681D15"/>
    <w:rsid w:val="006821FF"/>
    <w:rsid w:val="006823CB"/>
    <w:rsid w:val="00682F9A"/>
    <w:rsid w:val="00683857"/>
    <w:rsid w:val="00683919"/>
    <w:rsid w:val="0068397E"/>
    <w:rsid w:val="006839B4"/>
    <w:rsid w:val="00683AFD"/>
    <w:rsid w:val="00683E6F"/>
    <w:rsid w:val="00683EE7"/>
    <w:rsid w:val="00683F6B"/>
    <w:rsid w:val="0068418B"/>
    <w:rsid w:val="006841F7"/>
    <w:rsid w:val="006842BA"/>
    <w:rsid w:val="00684356"/>
    <w:rsid w:val="0068436B"/>
    <w:rsid w:val="00684655"/>
    <w:rsid w:val="006846F7"/>
    <w:rsid w:val="00684B35"/>
    <w:rsid w:val="00684D16"/>
    <w:rsid w:val="006853EB"/>
    <w:rsid w:val="00685484"/>
    <w:rsid w:val="006855E3"/>
    <w:rsid w:val="00685857"/>
    <w:rsid w:val="00685F70"/>
    <w:rsid w:val="00685F7A"/>
    <w:rsid w:val="00686015"/>
    <w:rsid w:val="00686352"/>
    <w:rsid w:val="00686654"/>
    <w:rsid w:val="0068666E"/>
    <w:rsid w:val="006866BB"/>
    <w:rsid w:val="006868CD"/>
    <w:rsid w:val="00686D39"/>
    <w:rsid w:val="0068722A"/>
    <w:rsid w:val="0068756A"/>
    <w:rsid w:val="006875AF"/>
    <w:rsid w:val="0068762E"/>
    <w:rsid w:val="00687710"/>
    <w:rsid w:val="0068772C"/>
    <w:rsid w:val="00687866"/>
    <w:rsid w:val="006878C1"/>
    <w:rsid w:val="00687A7C"/>
    <w:rsid w:val="00687B83"/>
    <w:rsid w:val="00687C0D"/>
    <w:rsid w:val="00687D57"/>
    <w:rsid w:val="006904A5"/>
    <w:rsid w:val="00690807"/>
    <w:rsid w:val="00690A13"/>
    <w:rsid w:val="00690A84"/>
    <w:rsid w:val="00690BE1"/>
    <w:rsid w:val="00690E5B"/>
    <w:rsid w:val="0069105E"/>
    <w:rsid w:val="0069135D"/>
    <w:rsid w:val="0069149D"/>
    <w:rsid w:val="006919AB"/>
    <w:rsid w:val="006919FE"/>
    <w:rsid w:val="00691C56"/>
    <w:rsid w:val="00691E37"/>
    <w:rsid w:val="006921A3"/>
    <w:rsid w:val="006926AF"/>
    <w:rsid w:val="006926CE"/>
    <w:rsid w:val="00692827"/>
    <w:rsid w:val="0069291D"/>
    <w:rsid w:val="00692D60"/>
    <w:rsid w:val="00692DD9"/>
    <w:rsid w:val="00692E43"/>
    <w:rsid w:val="00692E64"/>
    <w:rsid w:val="00693387"/>
    <w:rsid w:val="00693497"/>
    <w:rsid w:val="006935FF"/>
    <w:rsid w:val="0069372C"/>
    <w:rsid w:val="006937CC"/>
    <w:rsid w:val="0069392B"/>
    <w:rsid w:val="00693C41"/>
    <w:rsid w:val="0069404F"/>
    <w:rsid w:val="006940CF"/>
    <w:rsid w:val="006942C9"/>
    <w:rsid w:val="00694566"/>
    <w:rsid w:val="00694A9B"/>
    <w:rsid w:val="006951B6"/>
    <w:rsid w:val="006951D1"/>
    <w:rsid w:val="00695284"/>
    <w:rsid w:val="00695548"/>
    <w:rsid w:val="00695BFC"/>
    <w:rsid w:val="00695CB3"/>
    <w:rsid w:val="0069610F"/>
    <w:rsid w:val="006961C3"/>
    <w:rsid w:val="0069637B"/>
    <w:rsid w:val="006966AC"/>
    <w:rsid w:val="006968B9"/>
    <w:rsid w:val="00696AB3"/>
    <w:rsid w:val="00696B0A"/>
    <w:rsid w:val="00696DC3"/>
    <w:rsid w:val="00696F0E"/>
    <w:rsid w:val="00696F11"/>
    <w:rsid w:val="00696F32"/>
    <w:rsid w:val="006970D1"/>
    <w:rsid w:val="00697178"/>
    <w:rsid w:val="0069748C"/>
    <w:rsid w:val="00697520"/>
    <w:rsid w:val="00697661"/>
    <w:rsid w:val="006978A5"/>
    <w:rsid w:val="006979C0"/>
    <w:rsid w:val="00697C30"/>
    <w:rsid w:val="00697D3B"/>
    <w:rsid w:val="006A0385"/>
    <w:rsid w:val="006A06F6"/>
    <w:rsid w:val="006A0757"/>
    <w:rsid w:val="006A0FD8"/>
    <w:rsid w:val="006A1035"/>
    <w:rsid w:val="006A1109"/>
    <w:rsid w:val="006A1368"/>
    <w:rsid w:val="006A1457"/>
    <w:rsid w:val="006A18D5"/>
    <w:rsid w:val="006A1FBD"/>
    <w:rsid w:val="006A25DC"/>
    <w:rsid w:val="006A27D7"/>
    <w:rsid w:val="006A2A32"/>
    <w:rsid w:val="006A2AB2"/>
    <w:rsid w:val="006A2C32"/>
    <w:rsid w:val="006A2EBE"/>
    <w:rsid w:val="006A3195"/>
    <w:rsid w:val="006A3353"/>
    <w:rsid w:val="006A35E9"/>
    <w:rsid w:val="006A3751"/>
    <w:rsid w:val="006A37A7"/>
    <w:rsid w:val="006A3E0A"/>
    <w:rsid w:val="006A3E3B"/>
    <w:rsid w:val="006A41CF"/>
    <w:rsid w:val="006A455D"/>
    <w:rsid w:val="006A48DB"/>
    <w:rsid w:val="006A4B78"/>
    <w:rsid w:val="006A4CFA"/>
    <w:rsid w:val="006A4E73"/>
    <w:rsid w:val="006A4F0E"/>
    <w:rsid w:val="006A520A"/>
    <w:rsid w:val="006A52B4"/>
    <w:rsid w:val="006A5353"/>
    <w:rsid w:val="006A53A3"/>
    <w:rsid w:val="006A5C1E"/>
    <w:rsid w:val="006A5EB3"/>
    <w:rsid w:val="006A5FBC"/>
    <w:rsid w:val="006A6012"/>
    <w:rsid w:val="006A6265"/>
    <w:rsid w:val="006A62B8"/>
    <w:rsid w:val="006A6314"/>
    <w:rsid w:val="006A64EF"/>
    <w:rsid w:val="006A6818"/>
    <w:rsid w:val="006A6A76"/>
    <w:rsid w:val="006A6AC5"/>
    <w:rsid w:val="006A6C2F"/>
    <w:rsid w:val="006A707B"/>
    <w:rsid w:val="006A7202"/>
    <w:rsid w:val="006A758A"/>
    <w:rsid w:val="006A77F6"/>
    <w:rsid w:val="006A79F2"/>
    <w:rsid w:val="006A7AED"/>
    <w:rsid w:val="006A7C98"/>
    <w:rsid w:val="006A7F24"/>
    <w:rsid w:val="006A7F5B"/>
    <w:rsid w:val="006B0381"/>
    <w:rsid w:val="006B048A"/>
    <w:rsid w:val="006B051F"/>
    <w:rsid w:val="006B052C"/>
    <w:rsid w:val="006B0A41"/>
    <w:rsid w:val="006B0B61"/>
    <w:rsid w:val="006B0C84"/>
    <w:rsid w:val="006B0CF3"/>
    <w:rsid w:val="006B0F70"/>
    <w:rsid w:val="006B1143"/>
    <w:rsid w:val="006B124D"/>
    <w:rsid w:val="006B1350"/>
    <w:rsid w:val="006B1438"/>
    <w:rsid w:val="006B14E5"/>
    <w:rsid w:val="006B19BC"/>
    <w:rsid w:val="006B19DF"/>
    <w:rsid w:val="006B1D46"/>
    <w:rsid w:val="006B23FC"/>
    <w:rsid w:val="006B2470"/>
    <w:rsid w:val="006B26BA"/>
    <w:rsid w:val="006B27B3"/>
    <w:rsid w:val="006B284B"/>
    <w:rsid w:val="006B2984"/>
    <w:rsid w:val="006B2AF8"/>
    <w:rsid w:val="006B2EA3"/>
    <w:rsid w:val="006B312C"/>
    <w:rsid w:val="006B3203"/>
    <w:rsid w:val="006B36DA"/>
    <w:rsid w:val="006B36DB"/>
    <w:rsid w:val="006B3829"/>
    <w:rsid w:val="006B3867"/>
    <w:rsid w:val="006B3922"/>
    <w:rsid w:val="006B3C9F"/>
    <w:rsid w:val="006B3EE5"/>
    <w:rsid w:val="006B3F2E"/>
    <w:rsid w:val="006B4435"/>
    <w:rsid w:val="006B4764"/>
    <w:rsid w:val="006B4DE1"/>
    <w:rsid w:val="006B4E7E"/>
    <w:rsid w:val="006B4E84"/>
    <w:rsid w:val="006B50BC"/>
    <w:rsid w:val="006B5140"/>
    <w:rsid w:val="006B5376"/>
    <w:rsid w:val="006B5565"/>
    <w:rsid w:val="006B56FB"/>
    <w:rsid w:val="006B5D87"/>
    <w:rsid w:val="006B5DCF"/>
    <w:rsid w:val="006B5F49"/>
    <w:rsid w:val="006B698C"/>
    <w:rsid w:val="006B6B8D"/>
    <w:rsid w:val="006B6FBE"/>
    <w:rsid w:val="006B71B0"/>
    <w:rsid w:val="006C0319"/>
    <w:rsid w:val="006C0501"/>
    <w:rsid w:val="006C0710"/>
    <w:rsid w:val="006C0758"/>
    <w:rsid w:val="006C0990"/>
    <w:rsid w:val="006C0A5F"/>
    <w:rsid w:val="006C0AB5"/>
    <w:rsid w:val="006C10E5"/>
    <w:rsid w:val="006C1356"/>
    <w:rsid w:val="006C1670"/>
    <w:rsid w:val="006C177E"/>
    <w:rsid w:val="006C1AB2"/>
    <w:rsid w:val="006C21AA"/>
    <w:rsid w:val="006C26E2"/>
    <w:rsid w:val="006C28C4"/>
    <w:rsid w:val="006C290F"/>
    <w:rsid w:val="006C2D94"/>
    <w:rsid w:val="006C30EB"/>
    <w:rsid w:val="006C325C"/>
    <w:rsid w:val="006C33CB"/>
    <w:rsid w:val="006C35FE"/>
    <w:rsid w:val="006C38DE"/>
    <w:rsid w:val="006C3A11"/>
    <w:rsid w:val="006C3BD1"/>
    <w:rsid w:val="006C3CFC"/>
    <w:rsid w:val="006C4042"/>
    <w:rsid w:val="006C4140"/>
    <w:rsid w:val="006C437D"/>
    <w:rsid w:val="006C45A0"/>
    <w:rsid w:val="006C45BE"/>
    <w:rsid w:val="006C4612"/>
    <w:rsid w:val="006C46A5"/>
    <w:rsid w:val="006C4866"/>
    <w:rsid w:val="006C4B19"/>
    <w:rsid w:val="006C4BCB"/>
    <w:rsid w:val="006C4D4F"/>
    <w:rsid w:val="006C5059"/>
    <w:rsid w:val="006C5588"/>
    <w:rsid w:val="006C5649"/>
    <w:rsid w:val="006C5A9E"/>
    <w:rsid w:val="006C5B4F"/>
    <w:rsid w:val="006C5EDE"/>
    <w:rsid w:val="006C606D"/>
    <w:rsid w:val="006C6133"/>
    <w:rsid w:val="006C6386"/>
    <w:rsid w:val="006C68BE"/>
    <w:rsid w:val="006C6A03"/>
    <w:rsid w:val="006C6DEA"/>
    <w:rsid w:val="006C6E70"/>
    <w:rsid w:val="006C6F78"/>
    <w:rsid w:val="006C74D4"/>
    <w:rsid w:val="006C7AB5"/>
    <w:rsid w:val="006C7BE7"/>
    <w:rsid w:val="006C7ED8"/>
    <w:rsid w:val="006D0194"/>
    <w:rsid w:val="006D0624"/>
    <w:rsid w:val="006D0866"/>
    <w:rsid w:val="006D0922"/>
    <w:rsid w:val="006D0C88"/>
    <w:rsid w:val="006D0D4C"/>
    <w:rsid w:val="006D1537"/>
    <w:rsid w:val="006D16DA"/>
    <w:rsid w:val="006D17E4"/>
    <w:rsid w:val="006D1ADB"/>
    <w:rsid w:val="006D1E28"/>
    <w:rsid w:val="006D1F30"/>
    <w:rsid w:val="006D2004"/>
    <w:rsid w:val="006D2095"/>
    <w:rsid w:val="006D22EB"/>
    <w:rsid w:val="006D231E"/>
    <w:rsid w:val="006D24D6"/>
    <w:rsid w:val="006D25CD"/>
    <w:rsid w:val="006D2737"/>
    <w:rsid w:val="006D27B7"/>
    <w:rsid w:val="006D2941"/>
    <w:rsid w:val="006D2F0F"/>
    <w:rsid w:val="006D2FC1"/>
    <w:rsid w:val="006D3178"/>
    <w:rsid w:val="006D31C4"/>
    <w:rsid w:val="006D336F"/>
    <w:rsid w:val="006D343F"/>
    <w:rsid w:val="006D350D"/>
    <w:rsid w:val="006D3587"/>
    <w:rsid w:val="006D38CA"/>
    <w:rsid w:val="006D3918"/>
    <w:rsid w:val="006D39B7"/>
    <w:rsid w:val="006D39E6"/>
    <w:rsid w:val="006D3CC4"/>
    <w:rsid w:val="006D42B9"/>
    <w:rsid w:val="006D42C8"/>
    <w:rsid w:val="006D4306"/>
    <w:rsid w:val="006D4A0D"/>
    <w:rsid w:val="006D4C14"/>
    <w:rsid w:val="006D4E45"/>
    <w:rsid w:val="006D52AC"/>
    <w:rsid w:val="006D54FF"/>
    <w:rsid w:val="006D5526"/>
    <w:rsid w:val="006D559D"/>
    <w:rsid w:val="006D5644"/>
    <w:rsid w:val="006D56C9"/>
    <w:rsid w:val="006D5AD1"/>
    <w:rsid w:val="006D5CEE"/>
    <w:rsid w:val="006D62E0"/>
    <w:rsid w:val="006D64EA"/>
    <w:rsid w:val="006D6662"/>
    <w:rsid w:val="006D66AF"/>
    <w:rsid w:val="006D695D"/>
    <w:rsid w:val="006D6965"/>
    <w:rsid w:val="006D6AA5"/>
    <w:rsid w:val="006D6C13"/>
    <w:rsid w:val="006D6D08"/>
    <w:rsid w:val="006D6DEF"/>
    <w:rsid w:val="006D6F22"/>
    <w:rsid w:val="006D7051"/>
    <w:rsid w:val="006D7493"/>
    <w:rsid w:val="006D7679"/>
    <w:rsid w:val="006D7A32"/>
    <w:rsid w:val="006D7CA2"/>
    <w:rsid w:val="006D7D7D"/>
    <w:rsid w:val="006D7F91"/>
    <w:rsid w:val="006E05C8"/>
    <w:rsid w:val="006E09E3"/>
    <w:rsid w:val="006E0D38"/>
    <w:rsid w:val="006E0DD9"/>
    <w:rsid w:val="006E120F"/>
    <w:rsid w:val="006E122C"/>
    <w:rsid w:val="006E134B"/>
    <w:rsid w:val="006E13AA"/>
    <w:rsid w:val="006E1579"/>
    <w:rsid w:val="006E15C0"/>
    <w:rsid w:val="006E16F2"/>
    <w:rsid w:val="006E1B76"/>
    <w:rsid w:val="006E1C3E"/>
    <w:rsid w:val="006E21F8"/>
    <w:rsid w:val="006E2286"/>
    <w:rsid w:val="006E2345"/>
    <w:rsid w:val="006E28D0"/>
    <w:rsid w:val="006E2B7F"/>
    <w:rsid w:val="006E2D67"/>
    <w:rsid w:val="006E2DB1"/>
    <w:rsid w:val="006E2DC6"/>
    <w:rsid w:val="006E3228"/>
    <w:rsid w:val="006E33F9"/>
    <w:rsid w:val="006E3D0E"/>
    <w:rsid w:val="006E3F71"/>
    <w:rsid w:val="006E4787"/>
    <w:rsid w:val="006E48C8"/>
    <w:rsid w:val="006E4C22"/>
    <w:rsid w:val="006E4FCF"/>
    <w:rsid w:val="006E517B"/>
    <w:rsid w:val="006E51CB"/>
    <w:rsid w:val="006E525F"/>
    <w:rsid w:val="006E57D9"/>
    <w:rsid w:val="006E57E5"/>
    <w:rsid w:val="006E5D14"/>
    <w:rsid w:val="006E5EBC"/>
    <w:rsid w:val="006E6433"/>
    <w:rsid w:val="006E6544"/>
    <w:rsid w:val="006E67AB"/>
    <w:rsid w:val="006E67AC"/>
    <w:rsid w:val="006E67F9"/>
    <w:rsid w:val="006E68FE"/>
    <w:rsid w:val="006E6AD3"/>
    <w:rsid w:val="006E6BA1"/>
    <w:rsid w:val="006E6CF7"/>
    <w:rsid w:val="006E705C"/>
    <w:rsid w:val="006E7312"/>
    <w:rsid w:val="006E74D5"/>
    <w:rsid w:val="006E7978"/>
    <w:rsid w:val="006E7A9D"/>
    <w:rsid w:val="006E7B93"/>
    <w:rsid w:val="006E7E0B"/>
    <w:rsid w:val="006F00ED"/>
    <w:rsid w:val="006F0216"/>
    <w:rsid w:val="006F0239"/>
    <w:rsid w:val="006F0319"/>
    <w:rsid w:val="006F0B9B"/>
    <w:rsid w:val="006F0D73"/>
    <w:rsid w:val="006F1442"/>
    <w:rsid w:val="006F1E7D"/>
    <w:rsid w:val="006F21A4"/>
    <w:rsid w:val="006F2234"/>
    <w:rsid w:val="006F23BC"/>
    <w:rsid w:val="006F2413"/>
    <w:rsid w:val="006F286A"/>
    <w:rsid w:val="006F294C"/>
    <w:rsid w:val="006F2AAB"/>
    <w:rsid w:val="006F2B28"/>
    <w:rsid w:val="006F2C9B"/>
    <w:rsid w:val="006F2CC6"/>
    <w:rsid w:val="006F2D7A"/>
    <w:rsid w:val="006F2DCD"/>
    <w:rsid w:val="006F2DE4"/>
    <w:rsid w:val="006F328A"/>
    <w:rsid w:val="006F3631"/>
    <w:rsid w:val="006F38C2"/>
    <w:rsid w:val="006F39ED"/>
    <w:rsid w:val="006F3AB0"/>
    <w:rsid w:val="006F3CBE"/>
    <w:rsid w:val="006F3D9E"/>
    <w:rsid w:val="006F3ED3"/>
    <w:rsid w:val="006F4095"/>
    <w:rsid w:val="006F4790"/>
    <w:rsid w:val="006F47C2"/>
    <w:rsid w:val="006F47FA"/>
    <w:rsid w:val="006F4CE2"/>
    <w:rsid w:val="006F4F3B"/>
    <w:rsid w:val="006F554D"/>
    <w:rsid w:val="006F587A"/>
    <w:rsid w:val="006F5AA4"/>
    <w:rsid w:val="006F5C4E"/>
    <w:rsid w:val="006F5C6C"/>
    <w:rsid w:val="006F5ED1"/>
    <w:rsid w:val="006F61FD"/>
    <w:rsid w:val="006F6230"/>
    <w:rsid w:val="006F67AC"/>
    <w:rsid w:val="006F67B4"/>
    <w:rsid w:val="006F6928"/>
    <w:rsid w:val="006F6979"/>
    <w:rsid w:val="006F6B6A"/>
    <w:rsid w:val="006F6C2B"/>
    <w:rsid w:val="006F7401"/>
    <w:rsid w:val="006F77D6"/>
    <w:rsid w:val="006F7A04"/>
    <w:rsid w:val="007003C9"/>
    <w:rsid w:val="00700425"/>
    <w:rsid w:val="007006FE"/>
    <w:rsid w:val="007007DF"/>
    <w:rsid w:val="007008EC"/>
    <w:rsid w:val="00700987"/>
    <w:rsid w:val="00700E4E"/>
    <w:rsid w:val="00700EB3"/>
    <w:rsid w:val="00700F2E"/>
    <w:rsid w:val="007012F1"/>
    <w:rsid w:val="00701628"/>
    <w:rsid w:val="0070182C"/>
    <w:rsid w:val="0070186A"/>
    <w:rsid w:val="007022DA"/>
    <w:rsid w:val="00702950"/>
    <w:rsid w:val="007029AC"/>
    <w:rsid w:val="00702B37"/>
    <w:rsid w:val="00702BC6"/>
    <w:rsid w:val="00702CB9"/>
    <w:rsid w:val="00702EE2"/>
    <w:rsid w:val="0070307B"/>
    <w:rsid w:val="007031CD"/>
    <w:rsid w:val="007033C5"/>
    <w:rsid w:val="007034A7"/>
    <w:rsid w:val="007036C6"/>
    <w:rsid w:val="007036C7"/>
    <w:rsid w:val="0070382A"/>
    <w:rsid w:val="007038C4"/>
    <w:rsid w:val="00703E4D"/>
    <w:rsid w:val="0070428E"/>
    <w:rsid w:val="0070458C"/>
    <w:rsid w:val="00704896"/>
    <w:rsid w:val="00704AE8"/>
    <w:rsid w:val="00704B60"/>
    <w:rsid w:val="00704B78"/>
    <w:rsid w:val="00704C2A"/>
    <w:rsid w:val="00704CC0"/>
    <w:rsid w:val="00704D6D"/>
    <w:rsid w:val="00705785"/>
    <w:rsid w:val="0070586F"/>
    <w:rsid w:val="00705B11"/>
    <w:rsid w:val="00705B1B"/>
    <w:rsid w:val="00705B31"/>
    <w:rsid w:val="00705BE8"/>
    <w:rsid w:val="0070603E"/>
    <w:rsid w:val="007060AC"/>
    <w:rsid w:val="007060EC"/>
    <w:rsid w:val="007063E5"/>
    <w:rsid w:val="00706518"/>
    <w:rsid w:val="00706531"/>
    <w:rsid w:val="007068E3"/>
    <w:rsid w:val="00706937"/>
    <w:rsid w:val="00706DBC"/>
    <w:rsid w:val="00706EA4"/>
    <w:rsid w:val="00707209"/>
    <w:rsid w:val="007075A5"/>
    <w:rsid w:val="007077FC"/>
    <w:rsid w:val="007078C3"/>
    <w:rsid w:val="00707B65"/>
    <w:rsid w:val="00707F60"/>
    <w:rsid w:val="007100F4"/>
    <w:rsid w:val="00710565"/>
    <w:rsid w:val="007105BF"/>
    <w:rsid w:val="0071086E"/>
    <w:rsid w:val="00710973"/>
    <w:rsid w:val="00710CDF"/>
    <w:rsid w:val="00710DA4"/>
    <w:rsid w:val="00711181"/>
    <w:rsid w:val="0071140A"/>
    <w:rsid w:val="00711454"/>
    <w:rsid w:val="00711600"/>
    <w:rsid w:val="0071166B"/>
    <w:rsid w:val="00711797"/>
    <w:rsid w:val="00711A9A"/>
    <w:rsid w:val="00711C8C"/>
    <w:rsid w:val="00712427"/>
    <w:rsid w:val="00712608"/>
    <w:rsid w:val="00712CEB"/>
    <w:rsid w:val="00712F9F"/>
    <w:rsid w:val="0071308D"/>
    <w:rsid w:val="00713597"/>
    <w:rsid w:val="007135C5"/>
    <w:rsid w:val="007137F9"/>
    <w:rsid w:val="00713925"/>
    <w:rsid w:val="00713AEE"/>
    <w:rsid w:val="00713CF3"/>
    <w:rsid w:val="00713D04"/>
    <w:rsid w:val="00713E4D"/>
    <w:rsid w:val="007141A0"/>
    <w:rsid w:val="00714528"/>
    <w:rsid w:val="00714776"/>
    <w:rsid w:val="007148D3"/>
    <w:rsid w:val="007148E6"/>
    <w:rsid w:val="00714C20"/>
    <w:rsid w:val="00714DCF"/>
    <w:rsid w:val="007153B5"/>
    <w:rsid w:val="00715416"/>
    <w:rsid w:val="007155B9"/>
    <w:rsid w:val="00715784"/>
    <w:rsid w:val="00715861"/>
    <w:rsid w:val="00715946"/>
    <w:rsid w:val="00715E88"/>
    <w:rsid w:val="00715E99"/>
    <w:rsid w:val="00715EC9"/>
    <w:rsid w:val="00715FEF"/>
    <w:rsid w:val="0071634E"/>
    <w:rsid w:val="0071644F"/>
    <w:rsid w:val="0071661A"/>
    <w:rsid w:val="0071680D"/>
    <w:rsid w:val="00716B3C"/>
    <w:rsid w:val="00716B6D"/>
    <w:rsid w:val="00716C1F"/>
    <w:rsid w:val="00716CD5"/>
    <w:rsid w:val="00717280"/>
    <w:rsid w:val="00717595"/>
    <w:rsid w:val="00717606"/>
    <w:rsid w:val="0071771C"/>
    <w:rsid w:val="007179C3"/>
    <w:rsid w:val="00717A46"/>
    <w:rsid w:val="00717D26"/>
    <w:rsid w:val="00717E3E"/>
    <w:rsid w:val="0072077B"/>
    <w:rsid w:val="007207C7"/>
    <w:rsid w:val="007207E4"/>
    <w:rsid w:val="00720A29"/>
    <w:rsid w:val="00720BA0"/>
    <w:rsid w:val="00720BE8"/>
    <w:rsid w:val="00720DB2"/>
    <w:rsid w:val="00720F4D"/>
    <w:rsid w:val="007210C3"/>
    <w:rsid w:val="007211F7"/>
    <w:rsid w:val="007213DF"/>
    <w:rsid w:val="00721639"/>
    <w:rsid w:val="00721823"/>
    <w:rsid w:val="00721851"/>
    <w:rsid w:val="00721B35"/>
    <w:rsid w:val="00721C7C"/>
    <w:rsid w:val="00722013"/>
    <w:rsid w:val="00722400"/>
    <w:rsid w:val="00722470"/>
    <w:rsid w:val="00722492"/>
    <w:rsid w:val="0072267D"/>
    <w:rsid w:val="00722CC1"/>
    <w:rsid w:val="00722DE3"/>
    <w:rsid w:val="00722FD8"/>
    <w:rsid w:val="00723241"/>
    <w:rsid w:val="00723611"/>
    <w:rsid w:val="00723612"/>
    <w:rsid w:val="00723840"/>
    <w:rsid w:val="007239CC"/>
    <w:rsid w:val="00723A3F"/>
    <w:rsid w:val="00723B81"/>
    <w:rsid w:val="00723C2F"/>
    <w:rsid w:val="00723CA7"/>
    <w:rsid w:val="00723CFE"/>
    <w:rsid w:val="00724016"/>
    <w:rsid w:val="00724542"/>
    <w:rsid w:val="0072491F"/>
    <w:rsid w:val="00724B0B"/>
    <w:rsid w:val="00724EC7"/>
    <w:rsid w:val="00725065"/>
    <w:rsid w:val="007251B8"/>
    <w:rsid w:val="00725258"/>
    <w:rsid w:val="00725734"/>
    <w:rsid w:val="00725A0F"/>
    <w:rsid w:val="00725E34"/>
    <w:rsid w:val="00725F58"/>
    <w:rsid w:val="007262D5"/>
    <w:rsid w:val="00726399"/>
    <w:rsid w:val="007264DB"/>
    <w:rsid w:val="0072678C"/>
    <w:rsid w:val="0072688E"/>
    <w:rsid w:val="007269F2"/>
    <w:rsid w:val="007272D1"/>
    <w:rsid w:val="0072744F"/>
    <w:rsid w:val="0072760B"/>
    <w:rsid w:val="007277CE"/>
    <w:rsid w:val="00727AB5"/>
    <w:rsid w:val="00727B74"/>
    <w:rsid w:val="00727C11"/>
    <w:rsid w:val="00727D54"/>
    <w:rsid w:val="00727E0F"/>
    <w:rsid w:val="0073009B"/>
    <w:rsid w:val="00730332"/>
    <w:rsid w:val="00730649"/>
    <w:rsid w:val="007307AD"/>
    <w:rsid w:val="00730D1A"/>
    <w:rsid w:val="00730F6B"/>
    <w:rsid w:val="0073116F"/>
    <w:rsid w:val="00731170"/>
    <w:rsid w:val="00731539"/>
    <w:rsid w:val="00731650"/>
    <w:rsid w:val="00731851"/>
    <w:rsid w:val="00731936"/>
    <w:rsid w:val="007319D1"/>
    <w:rsid w:val="00731A0F"/>
    <w:rsid w:val="00731B4C"/>
    <w:rsid w:val="00731B98"/>
    <w:rsid w:val="00731E40"/>
    <w:rsid w:val="0073219C"/>
    <w:rsid w:val="007321F5"/>
    <w:rsid w:val="0073290D"/>
    <w:rsid w:val="00732A75"/>
    <w:rsid w:val="00732AFB"/>
    <w:rsid w:val="00732BA3"/>
    <w:rsid w:val="00732D96"/>
    <w:rsid w:val="00732DE6"/>
    <w:rsid w:val="00732F1A"/>
    <w:rsid w:val="0073366E"/>
    <w:rsid w:val="007339C4"/>
    <w:rsid w:val="00733C27"/>
    <w:rsid w:val="00733C5F"/>
    <w:rsid w:val="00733F1B"/>
    <w:rsid w:val="0073412B"/>
    <w:rsid w:val="007342B5"/>
    <w:rsid w:val="0073432E"/>
    <w:rsid w:val="00734659"/>
    <w:rsid w:val="0073479B"/>
    <w:rsid w:val="00734990"/>
    <w:rsid w:val="00734B05"/>
    <w:rsid w:val="00734CF3"/>
    <w:rsid w:val="00734D40"/>
    <w:rsid w:val="00734F6E"/>
    <w:rsid w:val="00734F75"/>
    <w:rsid w:val="00734FA9"/>
    <w:rsid w:val="00734FEA"/>
    <w:rsid w:val="007356DB"/>
    <w:rsid w:val="007357D3"/>
    <w:rsid w:val="0073606F"/>
    <w:rsid w:val="0073665C"/>
    <w:rsid w:val="00736821"/>
    <w:rsid w:val="00736B96"/>
    <w:rsid w:val="00736BAE"/>
    <w:rsid w:val="00736E55"/>
    <w:rsid w:val="00736F63"/>
    <w:rsid w:val="00737087"/>
    <w:rsid w:val="00737311"/>
    <w:rsid w:val="00737406"/>
    <w:rsid w:val="007374A0"/>
    <w:rsid w:val="0073755F"/>
    <w:rsid w:val="007375CE"/>
    <w:rsid w:val="0073762A"/>
    <w:rsid w:val="00737635"/>
    <w:rsid w:val="007376E9"/>
    <w:rsid w:val="00737798"/>
    <w:rsid w:val="00737D99"/>
    <w:rsid w:val="00737E5E"/>
    <w:rsid w:val="00737F18"/>
    <w:rsid w:val="00737FBB"/>
    <w:rsid w:val="007402EE"/>
    <w:rsid w:val="00740557"/>
    <w:rsid w:val="0074069C"/>
    <w:rsid w:val="00740971"/>
    <w:rsid w:val="00740BE7"/>
    <w:rsid w:val="00740CFB"/>
    <w:rsid w:val="00740D25"/>
    <w:rsid w:val="00740E10"/>
    <w:rsid w:val="00740F24"/>
    <w:rsid w:val="00741C12"/>
    <w:rsid w:val="00741F49"/>
    <w:rsid w:val="00741F71"/>
    <w:rsid w:val="00741F9F"/>
    <w:rsid w:val="0074209C"/>
    <w:rsid w:val="007420BB"/>
    <w:rsid w:val="007424E0"/>
    <w:rsid w:val="00742619"/>
    <w:rsid w:val="00742658"/>
    <w:rsid w:val="0074277C"/>
    <w:rsid w:val="00742933"/>
    <w:rsid w:val="00742965"/>
    <w:rsid w:val="00742D08"/>
    <w:rsid w:val="00742DE9"/>
    <w:rsid w:val="00742FA0"/>
    <w:rsid w:val="007431A6"/>
    <w:rsid w:val="0074335B"/>
    <w:rsid w:val="00743561"/>
    <w:rsid w:val="007438A4"/>
    <w:rsid w:val="00743D0A"/>
    <w:rsid w:val="00743DBE"/>
    <w:rsid w:val="00743F9C"/>
    <w:rsid w:val="007440A2"/>
    <w:rsid w:val="007444F7"/>
    <w:rsid w:val="007445DB"/>
    <w:rsid w:val="007449CE"/>
    <w:rsid w:val="00744BD0"/>
    <w:rsid w:val="00744EFD"/>
    <w:rsid w:val="0074554D"/>
    <w:rsid w:val="00745615"/>
    <w:rsid w:val="0074575A"/>
    <w:rsid w:val="0074607B"/>
    <w:rsid w:val="007460E5"/>
    <w:rsid w:val="0074663C"/>
    <w:rsid w:val="00746A18"/>
    <w:rsid w:val="00746DB0"/>
    <w:rsid w:val="0074718D"/>
    <w:rsid w:val="0074796C"/>
    <w:rsid w:val="00747A4C"/>
    <w:rsid w:val="00747B18"/>
    <w:rsid w:val="00747CA1"/>
    <w:rsid w:val="00747D49"/>
    <w:rsid w:val="00747F57"/>
    <w:rsid w:val="00747F8E"/>
    <w:rsid w:val="00750452"/>
    <w:rsid w:val="00750597"/>
    <w:rsid w:val="00750806"/>
    <w:rsid w:val="00750854"/>
    <w:rsid w:val="00750BC5"/>
    <w:rsid w:val="00751187"/>
    <w:rsid w:val="0075121B"/>
    <w:rsid w:val="0075132B"/>
    <w:rsid w:val="00751334"/>
    <w:rsid w:val="007513A0"/>
    <w:rsid w:val="0075163F"/>
    <w:rsid w:val="007517E9"/>
    <w:rsid w:val="00751A6D"/>
    <w:rsid w:val="00752101"/>
    <w:rsid w:val="00752208"/>
    <w:rsid w:val="00752371"/>
    <w:rsid w:val="00752437"/>
    <w:rsid w:val="0075249A"/>
    <w:rsid w:val="007525B3"/>
    <w:rsid w:val="0075292C"/>
    <w:rsid w:val="00752F82"/>
    <w:rsid w:val="00752FD6"/>
    <w:rsid w:val="007530F8"/>
    <w:rsid w:val="0075378D"/>
    <w:rsid w:val="00753943"/>
    <w:rsid w:val="00753A5D"/>
    <w:rsid w:val="00753AB0"/>
    <w:rsid w:val="00753C28"/>
    <w:rsid w:val="00754324"/>
    <w:rsid w:val="00754CCC"/>
    <w:rsid w:val="00754D4B"/>
    <w:rsid w:val="00754E0A"/>
    <w:rsid w:val="00754EA8"/>
    <w:rsid w:val="00754FB0"/>
    <w:rsid w:val="007551DE"/>
    <w:rsid w:val="007557D6"/>
    <w:rsid w:val="007558AF"/>
    <w:rsid w:val="00755C35"/>
    <w:rsid w:val="00755F55"/>
    <w:rsid w:val="00755F68"/>
    <w:rsid w:val="00755F7B"/>
    <w:rsid w:val="0075612C"/>
    <w:rsid w:val="007562EE"/>
    <w:rsid w:val="007565C9"/>
    <w:rsid w:val="0075672F"/>
    <w:rsid w:val="00757477"/>
    <w:rsid w:val="0075778B"/>
    <w:rsid w:val="00757865"/>
    <w:rsid w:val="00757B20"/>
    <w:rsid w:val="00757E66"/>
    <w:rsid w:val="00760456"/>
    <w:rsid w:val="00760529"/>
    <w:rsid w:val="007606C3"/>
    <w:rsid w:val="0076070F"/>
    <w:rsid w:val="007607A9"/>
    <w:rsid w:val="0076089A"/>
    <w:rsid w:val="00760B07"/>
    <w:rsid w:val="00760D0A"/>
    <w:rsid w:val="00760EC7"/>
    <w:rsid w:val="00761064"/>
    <w:rsid w:val="007614E9"/>
    <w:rsid w:val="007615C9"/>
    <w:rsid w:val="00761720"/>
    <w:rsid w:val="00761A0C"/>
    <w:rsid w:val="00761ADB"/>
    <w:rsid w:val="00761CE5"/>
    <w:rsid w:val="00761F7E"/>
    <w:rsid w:val="00761F7F"/>
    <w:rsid w:val="00762606"/>
    <w:rsid w:val="007627E3"/>
    <w:rsid w:val="00762824"/>
    <w:rsid w:val="007628D8"/>
    <w:rsid w:val="007628FE"/>
    <w:rsid w:val="00762A56"/>
    <w:rsid w:val="00762A97"/>
    <w:rsid w:val="00762BE6"/>
    <w:rsid w:val="00762C90"/>
    <w:rsid w:val="00762D60"/>
    <w:rsid w:val="00762E37"/>
    <w:rsid w:val="00762EA4"/>
    <w:rsid w:val="007630E5"/>
    <w:rsid w:val="007632C6"/>
    <w:rsid w:val="00763389"/>
    <w:rsid w:val="007639A2"/>
    <w:rsid w:val="00763D2D"/>
    <w:rsid w:val="00763DB1"/>
    <w:rsid w:val="00763F86"/>
    <w:rsid w:val="007647B2"/>
    <w:rsid w:val="00764BC3"/>
    <w:rsid w:val="00764C18"/>
    <w:rsid w:val="00764D7C"/>
    <w:rsid w:val="00765343"/>
    <w:rsid w:val="0076596B"/>
    <w:rsid w:val="00765C6B"/>
    <w:rsid w:val="00765D6C"/>
    <w:rsid w:val="00765F0C"/>
    <w:rsid w:val="00766187"/>
    <w:rsid w:val="00766425"/>
    <w:rsid w:val="0076642A"/>
    <w:rsid w:val="0076670C"/>
    <w:rsid w:val="007667B8"/>
    <w:rsid w:val="007668D1"/>
    <w:rsid w:val="00766A31"/>
    <w:rsid w:val="0076713C"/>
    <w:rsid w:val="00767322"/>
    <w:rsid w:val="0076784A"/>
    <w:rsid w:val="00767B37"/>
    <w:rsid w:val="00767B61"/>
    <w:rsid w:val="0077004F"/>
    <w:rsid w:val="0077016E"/>
    <w:rsid w:val="007701D4"/>
    <w:rsid w:val="00770737"/>
    <w:rsid w:val="00770A07"/>
    <w:rsid w:val="00770B39"/>
    <w:rsid w:val="00770C56"/>
    <w:rsid w:val="00770EE3"/>
    <w:rsid w:val="007711FA"/>
    <w:rsid w:val="007716FA"/>
    <w:rsid w:val="00771783"/>
    <w:rsid w:val="00771DF7"/>
    <w:rsid w:val="00772066"/>
    <w:rsid w:val="00772297"/>
    <w:rsid w:val="00772657"/>
    <w:rsid w:val="00772808"/>
    <w:rsid w:val="00772C05"/>
    <w:rsid w:val="00772C52"/>
    <w:rsid w:val="00772CDC"/>
    <w:rsid w:val="00772D8D"/>
    <w:rsid w:val="00772FAE"/>
    <w:rsid w:val="00773085"/>
    <w:rsid w:val="00773341"/>
    <w:rsid w:val="007733A7"/>
    <w:rsid w:val="00773487"/>
    <w:rsid w:val="00773CE7"/>
    <w:rsid w:val="00773D7B"/>
    <w:rsid w:val="00773EC8"/>
    <w:rsid w:val="007740DA"/>
    <w:rsid w:val="007740FC"/>
    <w:rsid w:val="00774566"/>
    <w:rsid w:val="00774648"/>
    <w:rsid w:val="00774721"/>
    <w:rsid w:val="00774758"/>
    <w:rsid w:val="0077486D"/>
    <w:rsid w:val="00774D7D"/>
    <w:rsid w:val="00774DDE"/>
    <w:rsid w:val="007751B0"/>
    <w:rsid w:val="007751F8"/>
    <w:rsid w:val="0077583B"/>
    <w:rsid w:val="00775970"/>
    <w:rsid w:val="00775A6B"/>
    <w:rsid w:val="00775C80"/>
    <w:rsid w:val="00775E7A"/>
    <w:rsid w:val="00776413"/>
    <w:rsid w:val="0077663F"/>
    <w:rsid w:val="007769C3"/>
    <w:rsid w:val="00776ABC"/>
    <w:rsid w:val="00776CA9"/>
    <w:rsid w:val="00776CEB"/>
    <w:rsid w:val="00776DC0"/>
    <w:rsid w:val="0077722A"/>
    <w:rsid w:val="007772B4"/>
    <w:rsid w:val="00777319"/>
    <w:rsid w:val="0077739B"/>
    <w:rsid w:val="007773E7"/>
    <w:rsid w:val="0077754B"/>
    <w:rsid w:val="007775C2"/>
    <w:rsid w:val="00777614"/>
    <w:rsid w:val="00777C7C"/>
    <w:rsid w:val="00777D98"/>
    <w:rsid w:val="00777E71"/>
    <w:rsid w:val="00780230"/>
    <w:rsid w:val="0078032D"/>
    <w:rsid w:val="00780342"/>
    <w:rsid w:val="007804C9"/>
    <w:rsid w:val="00780585"/>
    <w:rsid w:val="00780685"/>
    <w:rsid w:val="0078080F"/>
    <w:rsid w:val="0078097E"/>
    <w:rsid w:val="00780A28"/>
    <w:rsid w:val="00780BC6"/>
    <w:rsid w:val="00780F82"/>
    <w:rsid w:val="00780F8E"/>
    <w:rsid w:val="00780FDD"/>
    <w:rsid w:val="007814C7"/>
    <w:rsid w:val="007816BB"/>
    <w:rsid w:val="007817D2"/>
    <w:rsid w:val="00781B6C"/>
    <w:rsid w:val="00781D08"/>
    <w:rsid w:val="0078208A"/>
    <w:rsid w:val="007822EE"/>
    <w:rsid w:val="00782414"/>
    <w:rsid w:val="0078248A"/>
    <w:rsid w:val="007826F8"/>
    <w:rsid w:val="007827C4"/>
    <w:rsid w:val="007828C5"/>
    <w:rsid w:val="0078388F"/>
    <w:rsid w:val="00783A15"/>
    <w:rsid w:val="00783A44"/>
    <w:rsid w:val="00783B04"/>
    <w:rsid w:val="00783D0D"/>
    <w:rsid w:val="007844BE"/>
    <w:rsid w:val="0078491A"/>
    <w:rsid w:val="00784A81"/>
    <w:rsid w:val="00784F4E"/>
    <w:rsid w:val="00784FEB"/>
    <w:rsid w:val="007853B6"/>
    <w:rsid w:val="00785561"/>
    <w:rsid w:val="007857B0"/>
    <w:rsid w:val="00785971"/>
    <w:rsid w:val="00785A63"/>
    <w:rsid w:val="00785E45"/>
    <w:rsid w:val="00786602"/>
    <w:rsid w:val="00786604"/>
    <w:rsid w:val="007867DE"/>
    <w:rsid w:val="007871B0"/>
    <w:rsid w:val="007876E7"/>
    <w:rsid w:val="00787915"/>
    <w:rsid w:val="007879DC"/>
    <w:rsid w:val="007900AF"/>
    <w:rsid w:val="0079037B"/>
    <w:rsid w:val="007903B3"/>
    <w:rsid w:val="00790412"/>
    <w:rsid w:val="00790921"/>
    <w:rsid w:val="00790A26"/>
    <w:rsid w:val="00790B43"/>
    <w:rsid w:val="00790E51"/>
    <w:rsid w:val="0079138F"/>
    <w:rsid w:val="00791A14"/>
    <w:rsid w:val="00791C42"/>
    <w:rsid w:val="00791DBB"/>
    <w:rsid w:val="00792060"/>
    <w:rsid w:val="0079219B"/>
    <w:rsid w:val="00792905"/>
    <w:rsid w:val="00792AA5"/>
    <w:rsid w:val="00792B27"/>
    <w:rsid w:val="00792CED"/>
    <w:rsid w:val="00792F27"/>
    <w:rsid w:val="00792FFB"/>
    <w:rsid w:val="007933C1"/>
    <w:rsid w:val="00793611"/>
    <w:rsid w:val="00793837"/>
    <w:rsid w:val="00793B07"/>
    <w:rsid w:val="00793BE7"/>
    <w:rsid w:val="00794363"/>
    <w:rsid w:val="00794516"/>
    <w:rsid w:val="00794591"/>
    <w:rsid w:val="007947A3"/>
    <w:rsid w:val="007948F7"/>
    <w:rsid w:val="007949A3"/>
    <w:rsid w:val="00795121"/>
    <w:rsid w:val="0079516A"/>
    <w:rsid w:val="007951B5"/>
    <w:rsid w:val="0079544F"/>
    <w:rsid w:val="007954D9"/>
    <w:rsid w:val="007955E7"/>
    <w:rsid w:val="007956C7"/>
    <w:rsid w:val="00795A7A"/>
    <w:rsid w:val="00795B3F"/>
    <w:rsid w:val="00795B4B"/>
    <w:rsid w:val="00795C5D"/>
    <w:rsid w:val="00795E73"/>
    <w:rsid w:val="00796A73"/>
    <w:rsid w:val="00796EEA"/>
    <w:rsid w:val="0079708F"/>
    <w:rsid w:val="00797399"/>
    <w:rsid w:val="007973ED"/>
    <w:rsid w:val="007975BA"/>
    <w:rsid w:val="007976BA"/>
    <w:rsid w:val="00797BC4"/>
    <w:rsid w:val="00797C5D"/>
    <w:rsid w:val="00797E91"/>
    <w:rsid w:val="007A01D8"/>
    <w:rsid w:val="007A06BF"/>
    <w:rsid w:val="007A08B9"/>
    <w:rsid w:val="007A08DB"/>
    <w:rsid w:val="007A0B2A"/>
    <w:rsid w:val="007A0BF0"/>
    <w:rsid w:val="007A13DE"/>
    <w:rsid w:val="007A1446"/>
    <w:rsid w:val="007A156F"/>
    <w:rsid w:val="007A1D30"/>
    <w:rsid w:val="007A1F63"/>
    <w:rsid w:val="007A22E6"/>
    <w:rsid w:val="007A24C3"/>
    <w:rsid w:val="007A2B74"/>
    <w:rsid w:val="007A2BBA"/>
    <w:rsid w:val="007A2BC3"/>
    <w:rsid w:val="007A312A"/>
    <w:rsid w:val="007A316B"/>
    <w:rsid w:val="007A35D6"/>
    <w:rsid w:val="007A3D69"/>
    <w:rsid w:val="007A4041"/>
    <w:rsid w:val="007A42EB"/>
    <w:rsid w:val="007A4E2E"/>
    <w:rsid w:val="007A4F08"/>
    <w:rsid w:val="007A5175"/>
    <w:rsid w:val="007A51B2"/>
    <w:rsid w:val="007A53B1"/>
    <w:rsid w:val="007A556C"/>
    <w:rsid w:val="007A559F"/>
    <w:rsid w:val="007A5718"/>
    <w:rsid w:val="007A59FE"/>
    <w:rsid w:val="007A5A9E"/>
    <w:rsid w:val="007A5BE4"/>
    <w:rsid w:val="007A5DC9"/>
    <w:rsid w:val="007A5E32"/>
    <w:rsid w:val="007A6179"/>
    <w:rsid w:val="007A6579"/>
    <w:rsid w:val="007A6981"/>
    <w:rsid w:val="007A6C28"/>
    <w:rsid w:val="007A6C34"/>
    <w:rsid w:val="007A7003"/>
    <w:rsid w:val="007A7461"/>
    <w:rsid w:val="007A7A46"/>
    <w:rsid w:val="007A7AB4"/>
    <w:rsid w:val="007A7ADC"/>
    <w:rsid w:val="007B00D6"/>
    <w:rsid w:val="007B0339"/>
    <w:rsid w:val="007B06BA"/>
    <w:rsid w:val="007B075F"/>
    <w:rsid w:val="007B0B33"/>
    <w:rsid w:val="007B0D36"/>
    <w:rsid w:val="007B0D39"/>
    <w:rsid w:val="007B0D4B"/>
    <w:rsid w:val="007B0D5A"/>
    <w:rsid w:val="007B125E"/>
    <w:rsid w:val="007B14C5"/>
    <w:rsid w:val="007B1721"/>
    <w:rsid w:val="007B1D13"/>
    <w:rsid w:val="007B206D"/>
    <w:rsid w:val="007B2865"/>
    <w:rsid w:val="007B2B16"/>
    <w:rsid w:val="007B2B5D"/>
    <w:rsid w:val="007B2BD6"/>
    <w:rsid w:val="007B2C5A"/>
    <w:rsid w:val="007B2FA6"/>
    <w:rsid w:val="007B3298"/>
    <w:rsid w:val="007B38C4"/>
    <w:rsid w:val="007B41A3"/>
    <w:rsid w:val="007B436D"/>
    <w:rsid w:val="007B4393"/>
    <w:rsid w:val="007B442A"/>
    <w:rsid w:val="007B45D5"/>
    <w:rsid w:val="007B4846"/>
    <w:rsid w:val="007B4A10"/>
    <w:rsid w:val="007B4B9F"/>
    <w:rsid w:val="007B4BD6"/>
    <w:rsid w:val="007B4D1D"/>
    <w:rsid w:val="007B4E16"/>
    <w:rsid w:val="007B53BE"/>
    <w:rsid w:val="007B5624"/>
    <w:rsid w:val="007B5931"/>
    <w:rsid w:val="007B5BF2"/>
    <w:rsid w:val="007B5D28"/>
    <w:rsid w:val="007B6066"/>
    <w:rsid w:val="007B60FE"/>
    <w:rsid w:val="007B61B3"/>
    <w:rsid w:val="007B626F"/>
    <w:rsid w:val="007B62CD"/>
    <w:rsid w:val="007B63B1"/>
    <w:rsid w:val="007B643C"/>
    <w:rsid w:val="007B68E6"/>
    <w:rsid w:val="007B6927"/>
    <w:rsid w:val="007B6DC2"/>
    <w:rsid w:val="007B6E18"/>
    <w:rsid w:val="007B6F32"/>
    <w:rsid w:val="007B7188"/>
    <w:rsid w:val="007B73F0"/>
    <w:rsid w:val="007B75CE"/>
    <w:rsid w:val="007B7E23"/>
    <w:rsid w:val="007B7F45"/>
    <w:rsid w:val="007C0698"/>
    <w:rsid w:val="007C071C"/>
    <w:rsid w:val="007C0C9E"/>
    <w:rsid w:val="007C0CDE"/>
    <w:rsid w:val="007C0D29"/>
    <w:rsid w:val="007C1177"/>
    <w:rsid w:val="007C11C3"/>
    <w:rsid w:val="007C11E8"/>
    <w:rsid w:val="007C1558"/>
    <w:rsid w:val="007C16B2"/>
    <w:rsid w:val="007C174B"/>
    <w:rsid w:val="007C1B6F"/>
    <w:rsid w:val="007C2031"/>
    <w:rsid w:val="007C2372"/>
    <w:rsid w:val="007C247E"/>
    <w:rsid w:val="007C24A3"/>
    <w:rsid w:val="007C25C5"/>
    <w:rsid w:val="007C2672"/>
    <w:rsid w:val="007C27E1"/>
    <w:rsid w:val="007C2863"/>
    <w:rsid w:val="007C2AFE"/>
    <w:rsid w:val="007C2E42"/>
    <w:rsid w:val="007C30E6"/>
    <w:rsid w:val="007C351C"/>
    <w:rsid w:val="007C368C"/>
    <w:rsid w:val="007C3899"/>
    <w:rsid w:val="007C397C"/>
    <w:rsid w:val="007C398A"/>
    <w:rsid w:val="007C39F8"/>
    <w:rsid w:val="007C3EC7"/>
    <w:rsid w:val="007C4156"/>
    <w:rsid w:val="007C46AA"/>
    <w:rsid w:val="007C47D7"/>
    <w:rsid w:val="007C4970"/>
    <w:rsid w:val="007C4A9F"/>
    <w:rsid w:val="007C4B96"/>
    <w:rsid w:val="007C4C7F"/>
    <w:rsid w:val="007C4DC5"/>
    <w:rsid w:val="007C4E95"/>
    <w:rsid w:val="007C527E"/>
    <w:rsid w:val="007C5622"/>
    <w:rsid w:val="007C584B"/>
    <w:rsid w:val="007C58D6"/>
    <w:rsid w:val="007C59D2"/>
    <w:rsid w:val="007C5A3F"/>
    <w:rsid w:val="007C5D21"/>
    <w:rsid w:val="007C5D92"/>
    <w:rsid w:val="007C5E78"/>
    <w:rsid w:val="007C68D3"/>
    <w:rsid w:val="007C698C"/>
    <w:rsid w:val="007C6A95"/>
    <w:rsid w:val="007C6BE4"/>
    <w:rsid w:val="007C6CAB"/>
    <w:rsid w:val="007C6CB7"/>
    <w:rsid w:val="007C6EA2"/>
    <w:rsid w:val="007C73AB"/>
    <w:rsid w:val="007C79DF"/>
    <w:rsid w:val="007C7C84"/>
    <w:rsid w:val="007D0069"/>
    <w:rsid w:val="007D02BB"/>
    <w:rsid w:val="007D04E1"/>
    <w:rsid w:val="007D0717"/>
    <w:rsid w:val="007D0AB1"/>
    <w:rsid w:val="007D0E98"/>
    <w:rsid w:val="007D108B"/>
    <w:rsid w:val="007D10A2"/>
    <w:rsid w:val="007D13A6"/>
    <w:rsid w:val="007D16A9"/>
    <w:rsid w:val="007D17BE"/>
    <w:rsid w:val="007D186D"/>
    <w:rsid w:val="007D1882"/>
    <w:rsid w:val="007D1890"/>
    <w:rsid w:val="007D2062"/>
    <w:rsid w:val="007D208F"/>
    <w:rsid w:val="007D2413"/>
    <w:rsid w:val="007D2889"/>
    <w:rsid w:val="007D2D6A"/>
    <w:rsid w:val="007D2F25"/>
    <w:rsid w:val="007D321E"/>
    <w:rsid w:val="007D3277"/>
    <w:rsid w:val="007D3297"/>
    <w:rsid w:val="007D32ED"/>
    <w:rsid w:val="007D3476"/>
    <w:rsid w:val="007D3873"/>
    <w:rsid w:val="007D3AE6"/>
    <w:rsid w:val="007D3CB1"/>
    <w:rsid w:val="007D4173"/>
    <w:rsid w:val="007D41CC"/>
    <w:rsid w:val="007D45C9"/>
    <w:rsid w:val="007D4D17"/>
    <w:rsid w:val="007D519F"/>
    <w:rsid w:val="007D534E"/>
    <w:rsid w:val="007D5610"/>
    <w:rsid w:val="007D56DF"/>
    <w:rsid w:val="007D5800"/>
    <w:rsid w:val="007D583E"/>
    <w:rsid w:val="007D58C1"/>
    <w:rsid w:val="007D5BD4"/>
    <w:rsid w:val="007D5C68"/>
    <w:rsid w:val="007D5D0D"/>
    <w:rsid w:val="007D5EB0"/>
    <w:rsid w:val="007D5EFF"/>
    <w:rsid w:val="007D5FB4"/>
    <w:rsid w:val="007D6374"/>
    <w:rsid w:val="007D6519"/>
    <w:rsid w:val="007D6752"/>
    <w:rsid w:val="007D6B33"/>
    <w:rsid w:val="007D6BCA"/>
    <w:rsid w:val="007D7044"/>
    <w:rsid w:val="007D731F"/>
    <w:rsid w:val="007D7767"/>
    <w:rsid w:val="007D782F"/>
    <w:rsid w:val="007D7AE6"/>
    <w:rsid w:val="007D7B39"/>
    <w:rsid w:val="007D7E81"/>
    <w:rsid w:val="007E0436"/>
    <w:rsid w:val="007E09A3"/>
    <w:rsid w:val="007E0B3F"/>
    <w:rsid w:val="007E0C30"/>
    <w:rsid w:val="007E0CF1"/>
    <w:rsid w:val="007E0DB7"/>
    <w:rsid w:val="007E101A"/>
    <w:rsid w:val="007E126B"/>
    <w:rsid w:val="007E198E"/>
    <w:rsid w:val="007E1F39"/>
    <w:rsid w:val="007E2010"/>
    <w:rsid w:val="007E2026"/>
    <w:rsid w:val="007E239F"/>
    <w:rsid w:val="007E2714"/>
    <w:rsid w:val="007E27C2"/>
    <w:rsid w:val="007E27C4"/>
    <w:rsid w:val="007E2818"/>
    <w:rsid w:val="007E2B94"/>
    <w:rsid w:val="007E2C6B"/>
    <w:rsid w:val="007E2DF5"/>
    <w:rsid w:val="007E2EEA"/>
    <w:rsid w:val="007E3328"/>
    <w:rsid w:val="007E358E"/>
    <w:rsid w:val="007E39CE"/>
    <w:rsid w:val="007E3AE3"/>
    <w:rsid w:val="007E3B12"/>
    <w:rsid w:val="007E3DB1"/>
    <w:rsid w:val="007E3E0B"/>
    <w:rsid w:val="007E4530"/>
    <w:rsid w:val="007E46D2"/>
    <w:rsid w:val="007E4705"/>
    <w:rsid w:val="007E48A8"/>
    <w:rsid w:val="007E4AD1"/>
    <w:rsid w:val="007E53F9"/>
    <w:rsid w:val="007E54FA"/>
    <w:rsid w:val="007E57F0"/>
    <w:rsid w:val="007E58D2"/>
    <w:rsid w:val="007E59FF"/>
    <w:rsid w:val="007E5A47"/>
    <w:rsid w:val="007E5AE1"/>
    <w:rsid w:val="007E5C50"/>
    <w:rsid w:val="007E5D69"/>
    <w:rsid w:val="007E5E6E"/>
    <w:rsid w:val="007E5FE0"/>
    <w:rsid w:val="007E61BF"/>
    <w:rsid w:val="007E6624"/>
    <w:rsid w:val="007E6667"/>
    <w:rsid w:val="007E67F8"/>
    <w:rsid w:val="007E68AE"/>
    <w:rsid w:val="007E6E1C"/>
    <w:rsid w:val="007E6F54"/>
    <w:rsid w:val="007E6F77"/>
    <w:rsid w:val="007E6F99"/>
    <w:rsid w:val="007E7143"/>
    <w:rsid w:val="007E7152"/>
    <w:rsid w:val="007E72AE"/>
    <w:rsid w:val="007E73AC"/>
    <w:rsid w:val="007E79CD"/>
    <w:rsid w:val="007E7CF6"/>
    <w:rsid w:val="007E7FC0"/>
    <w:rsid w:val="007F00A2"/>
    <w:rsid w:val="007F0390"/>
    <w:rsid w:val="007F0841"/>
    <w:rsid w:val="007F0D5F"/>
    <w:rsid w:val="007F0DD8"/>
    <w:rsid w:val="007F11B9"/>
    <w:rsid w:val="007F154C"/>
    <w:rsid w:val="007F15A2"/>
    <w:rsid w:val="007F1C1B"/>
    <w:rsid w:val="007F1C2A"/>
    <w:rsid w:val="007F1EB9"/>
    <w:rsid w:val="007F24C5"/>
    <w:rsid w:val="007F28AA"/>
    <w:rsid w:val="007F2989"/>
    <w:rsid w:val="007F29D6"/>
    <w:rsid w:val="007F2CBB"/>
    <w:rsid w:val="007F2E9E"/>
    <w:rsid w:val="007F3275"/>
    <w:rsid w:val="007F358A"/>
    <w:rsid w:val="007F363D"/>
    <w:rsid w:val="007F3E37"/>
    <w:rsid w:val="007F3F13"/>
    <w:rsid w:val="007F40EA"/>
    <w:rsid w:val="007F415E"/>
    <w:rsid w:val="007F4209"/>
    <w:rsid w:val="007F439D"/>
    <w:rsid w:val="007F44C0"/>
    <w:rsid w:val="007F4504"/>
    <w:rsid w:val="007F4646"/>
    <w:rsid w:val="007F46D3"/>
    <w:rsid w:val="007F4B5A"/>
    <w:rsid w:val="007F4D96"/>
    <w:rsid w:val="007F4D9C"/>
    <w:rsid w:val="007F4DBD"/>
    <w:rsid w:val="007F5036"/>
    <w:rsid w:val="007F50F2"/>
    <w:rsid w:val="007F530A"/>
    <w:rsid w:val="007F53E2"/>
    <w:rsid w:val="007F545F"/>
    <w:rsid w:val="007F5A3E"/>
    <w:rsid w:val="007F5B38"/>
    <w:rsid w:val="007F5FDA"/>
    <w:rsid w:val="007F6266"/>
    <w:rsid w:val="007F66FF"/>
    <w:rsid w:val="007F6B3B"/>
    <w:rsid w:val="007F6B91"/>
    <w:rsid w:val="007F6C4E"/>
    <w:rsid w:val="007F6D49"/>
    <w:rsid w:val="007F6E00"/>
    <w:rsid w:val="007F6F64"/>
    <w:rsid w:val="007F70B5"/>
    <w:rsid w:val="007F70E6"/>
    <w:rsid w:val="007F70ED"/>
    <w:rsid w:val="007F7267"/>
    <w:rsid w:val="007F7670"/>
    <w:rsid w:val="007F76E9"/>
    <w:rsid w:val="007F7810"/>
    <w:rsid w:val="008001A8"/>
    <w:rsid w:val="0080046F"/>
    <w:rsid w:val="00800903"/>
    <w:rsid w:val="00800D72"/>
    <w:rsid w:val="008010C2"/>
    <w:rsid w:val="008010D8"/>
    <w:rsid w:val="00801411"/>
    <w:rsid w:val="00801535"/>
    <w:rsid w:val="00801598"/>
    <w:rsid w:val="00801AE8"/>
    <w:rsid w:val="00801D49"/>
    <w:rsid w:val="00801E55"/>
    <w:rsid w:val="00801ECE"/>
    <w:rsid w:val="008020E5"/>
    <w:rsid w:val="00802170"/>
    <w:rsid w:val="00802208"/>
    <w:rsid w:val="00802461"/>
    <w:rsid w:val="0080279B"/>
    <w:rsid w:val="00802CB0"/>
    <w:rsid w:val="00802F68"/>
    <w:rsid w:val="00802FD8"/>
    <w:rsid w:val="008030A1"/>
    <w:rsid w:val="008031D5"/>
    <w:rsid w:val="00803560"/>
    <w:rsid w:val="0080393C"/>
    <w:rsid w:val="00803AA1"/>
    <w:rsid w:val="00803D4E"/>
    <w:rsid w:val="00803EBC"/>
    <w:rsid w:val="00803ED3"/>
    <w:rsid w:val="00803FBB"/>
    <w:rsid w:val="00804070"/>
    <w:rsid w:val="00804C18"/>
    <w:rsid w:val="00804D28"/>
    <w:rsid w:val="00804F3C"/>
    <w:rsid w:val="00805588"/>
    <w:rsid w:val="00805627"/>
    <w:rsid w:val="0080582A"/>
    <w:rsid w:val="00805BA2"/>
    <w:rsid w:val="00805C08"/>
    <w:rsid w:val="00805D19"/>
    <w:rsid w:val="00805DAF"/>
    <w:rsid w:val="00805EDE"/>
    <w:rsid w:val="00806575"/>
    <w:rsid w:val="0080698A"/>
    <w:rsid w:val="00806AA4"/>
    <w:rsid w:val="00806C22"/>
    <w:rsid w:val="00806D03"/>
    <w:rsid w:val="00806E08"/>
    <w:rsid w:val="0080714D"/>
    <w:rsid w:val="00807680"/>
    <w:rsid w:val="00807711"/>
    <w:rsid w:val="00807748"/>
    <w:rsid w:val="0080798A"/>
    <w:rsid w:val="008079A5"/>
    <w:rsid w:val="00807A20"/>
    <w:rsid w:val="00807B2B"/>
    <w:rsid w:val="00807D43"/>
    <w:rsid w:val="008101B2"/>
    <w:rsid w:val="0081029A"/>
    <w:rsid w:val="008103F2"/>
    <w:rsid w:val="008104CE"/>
    <w:rsid w:val="00810559"/>
    <w:rsid w:val="00810B21"/>
    <w:rsid w:val="00810CDF"/>
    <w:rsid w:val="00810D3F"/>
    <w:rsid w:val="008111E2"/>
    <w:rsid w:val="0081143A"/>
    <w:rsid w:val="0081181F"/>
    <w:rsid w:val="00811E19"/>
    <w:rsid w:val="00812301"/>
    <w:rsid w:val="008125E8"/>
    <w:rsid w:val="00812708"/>
    <w:rsid w:val="00812784"/>
    <w:rsid w:val="0081288A"/>
    <w:rsid w:val="00812ABF"/>
    <w:rsid w:val="00812E03"/>
    <w:rsid w:val="00813499"/>
    <w:rsid w:val="008134A3"/>
    <w:rsid w:val="008134D8"/>
    <w:rsid w:val="008135A4"/>
    <w:rsid w:val="00813661"/>
    <w:rsid w:val="00813759"/>
    <w:rsid w:val="00813893"/>
    <w:rsid w:val="00813A5B"/>
    <w:rsid w:val="00813AD6"/>
    <w:rsid w:val="00813FE3"/>
    <w:rsid w:val="00813FFA"/>
    <w:rsid w:val="00814266"/>
    <w:rsid w:val="008142C1"/>
    <w:rsid w:val="008144B8"/>
    <w:rsid w:val="008148C4"/>
    <w:rsid w:val="00814A29"/>
    <w:rsid w:val="00814B01"/>
    <w:rsid w:val="00814DAF"/>
    <w:rsid w:val="00815126"/>
    <w:rsid w:val="008151C1"/>
    <w:rsid w:val="008151E3"/>
    <w:rsid w:val="0081545F"/>
    <w:rsid w:val="008158F2"/>
    <w:rsid w:val="00815A8A"/>
    <w:rsid w:val="00815C8F"/>
    <w:rsid w:val="00815DC3"/>
    <w:rsid w:val="0081617B"/>
    <w:rsid w:val="0081623A"/>
    <w:rsid w:val="00816547"/>
    <w:rsid w:val="00816699"/>
    <w:rsid w:val="00816718"/>
    <w:rsid w:val="00816AE3"/>
    <w:rsid w:val="00816C34"/>
    <w:rsid w:val="00816CCF"/>
    <w:rsid w:val="00817086"/>
    <w:rsid w:val="00817562"/>
    <w:rsid w:val="0081756A"/>
    <w:rsid w:val="00817873"/>
    <w:rsid w:val="00817AC9"/>
    <w:rsid w:val="00817C3A"/>
    <w:rsid w:val="00817F69"/>
    <w:rsid w:val="00820009"/>
    <w:rsid w:val="00820125"/>
    <w:rsid w:val="008201DF"/>
    <w:rsid w:val="0082056F"/>
    <w:rsid w:val="00820729"/>
    <w:rsid w:val="00820736"/>
    <w:rsid w:val="008208A2"/>
    <w:rsid w:val="0082095F"/>
    <w:rsid w:val="00820BF2"/>
    <w:rsid w:val="00820F1B"/>
    <w:rsid w:val="0082154D"/>
    <w:rsid w:val="00821584"/>
    <w:rsid w:val="008215C0"/>
    <w:rsid w:val="00821791"/>
    <w:rsid w:val="00821798"/>
    <w:rsid w:val="008219D5"/>
    <w:rsid w:val="00821A26"/>
    <w:rsid w:val="00821C3A"/>
    <w:rsid w:val="00821FD0"/>
    <w:rsid w:val="00822125"/>
    <w:rsid w:val="008221A4"/>
    <w:rsid w:val="008221D7"/>
    <w:rsid w:val="0082232B"/>
    <w:rsid w:val="0082252B"/>
    <w:rsid w:val="00822899"/>
    <w:rsid w:val="00822B56"/>
    <w:rsid w:val="00822BC5"/>
    <w:rsid w:val="00822F98"/>
    <w:rsid w:val="008233B0"/>
    <w:rsid w:val="008239BA"/>
    <w:rsid w:val="00823B57"/>
    <w:rsid w:val="00823BB3"/>
    <w:rsid w:val="00823CE7"/>
    <w:rsid w:val="00823D70"/>
    <w:rsid w:val="00823E58"/>
    <w:rsid w:val="00824971"/>
    <w:rsid w:val="008249DE"/>
    <w:rsid w:val="00824ACF"/>
    <w:rsid w:val="00824CCC"/>
    <w:rsid w:val="00824DF6"/>
    <w:rsid w:val="00824E8D"/>
    <w:rsid w:val="00824EF1"/>
    <w:rsid w:val="00824F55"/>
    <w:rsid w:val="0082513B"/>
    <w:rsid w:val="00825297"/>
    <w:rsid w:val="00825B02"/>
    <w:rsid w:val="00825BE6"/>
    <w:rsid w:val="00825C26"/>
    <w:rsid w:val="00825E4E"/>
    <w:rsid w:val="00825F86"/>
    <w:rsid w:val="008260E6"/>
    <w:rsid w:val="00826189"/>
    <w:rsid w:val="008263A0"/>
    <w:rsid w:val="00826485"/>
    <w:rsid w:val="0082669F"/>
    <w:rsid w:val="008269A5"/>
    <w:rsid w:val="00826A34"/>
    <w:rsid w:val="00826F86"/>
    <w:rsid w:val="00827118"/>
    <w:rsid w:val="00827133"/>
    <w:rsid w:val="008272B6"/>
    <w:rsid w:val="00827438"/>
    <w:rsid w:val="00827624"/>
    <w:rsid w:val="00827A68"/>
    <w:rsid w:val="00827B34"/>
    <w:rsid w:val="00827DAF"/>
    <w:rsid w:val="00827E54"/>
    <w:rsid w:val="008301F8"/>
    <w:rsid w:val="00830303"/>
    <w:rsid w:val="008304FC"/>
    <w:rsid w:val="008313F4"/>
    <w:rsid w:val="00831471"/>
    <w:rsid w:val="00831B28"/>
    <w:rsid w:val="00831F66"/>
    <w:rsid w:val="00831FD8"/>
    <w:rsid w:val="00832153"/>
    <w:rsid w:val="008323C5"/>
    <w:rsid w:val="008325EC"/>
    <w:rsid w:val="008327E4"/>
    <w:rsid w:val="008327E9"/>
    <w:rsid w:val="008328E0"/>
    <w:rsid w:val="00832ABC"/>
    <w:rsid w:val="00832D01"/>
    <w:rsid w:val="00832EA2"/>
    <w:rsid w:val="00832EBB"/>
    <w:rsid w:val="0083338A"/>
    <w:rsid w:val="00833739"/>
    <w:rsid w:val="00833761"/>
    <w:rsid w:val="008337D4"/>
    <w:rsid w:val="0083383D"/>
    <w:rsid w:val="008338B2"/>
    <w:rsid w:val="008338BE"/>
    <w:rsid w:val="00833A8E"/>
    <w:rsid w:val="00833C72"/>
    <w:rsid w:val="00833D67"/>
    <w:rsid w:val="00833E3D"/>
    <w:rsid w:val="00834647"/>
    <w:rsid w:val="00834914"/>
    <w:rsid w:val="0083499A"/>
    <w:rsid w:val="00834E89"/>
    <w:rsid w:val="00834F22"/>
    <w:rsid w:val="00834F6F"/>
    <w:rsid w:val="0083531F"/>
    <w:rsid w:val="008354BC"/>
    <w:rsid w:val="00835574"/>
    <w:rsid w:val="00835603"/>
    <w:rsid w:val="00835706"/>
    <w:rsid w:val="008357B6"/>
    <w:rsid w:val="008358A0"/>
    <w:rsid w:val="00835A4B"/>
    <w:rsid w:val="00835A94"/>
    <w:rsid w:val="00836220"/>
    <w:rsid w:val="008362C9"/>
    <w:rsid w:val="008362CE"/>
    <w:rsid w:val="008364CE"/>
    <w:rsid w:val="00836ADA"/>
    <w:rsid w:val="00836E2A"/>
    <w:rsid w:val="00836E9D"/>
    <w:rsid w:val="008377D9"/>
    <w:rsid w:val="008379BF"/>
    <w:rsid w:val="0084000B"/>
    <w:rsid w:val="00840015"/>
    <w:rsid w:val="008403C6"/>
    <w:rsid w:val="0084051D"/>
    <w:rsid w:val="00840713"/>
    <w:rsid w:val="00840AAC"/>
    <w:rsid w:val="00841052"/>
    <w:rsid w:val="008413B9"/>
    <w:rsid w:val="00841414"/>
    <w:rsid w:val="00841533"/>
    <w:rsid w:val="00841894"/>
    <w:rsid w:val="008418FF"/>
    <w:rsid w:val="00841B86"/>
    <w:rsid w:val="0084294D"/>
    <w:rsid w:val="0084298F"/>
    <w:rsid w:val="008429F7"/>
    <w:rsid w:val="00842ED1"/>
    <w:rsid w:val="00842F4B"/>
    <w:rsid w:val="00842FE8"/>
    <w:rsid w:val="00843123"/>
    <w:rsid w:val="0084321C"/>
    <w:rsid w:val="00843932"/>
    <w:rsid w:val="0084397D"/>
    <w:rsid w:val="00843BBA"/>
    <w:rsid w:val="00843D35"/>
    <w:rsid w:val="00843D61"/>
    <w:rsid w:val="00843EC5"/>
    <w:rsid w:val="00843EE3"/>
    <w:rsid w:val="00843F4C"/>
    <w:rsid w:val="00843F70"/>
    <w:rsid w:val="00843F84"/>
    <w:rsid w:val="00843F88"/>
    <w:rsid w:val="00843FDB"/>
    <w:rsid w:val="008442FA"/>
    <w:rsid w:val="0084471F"/>
    <w:rsid w:val="00844949"/>
    <w:rsid w:val="00844CDF"/>
    <w:rsid w:val="00844E6F"/>
    <w:rsid w:val="00844EFE"/>
    <w:rsid w:val="00844FE7"/>
    <w:rsid w:val="00845276"/>
    <w:rsid w:val="00845675"/>
    <w:rsid w:val="00845736"/>
    <w:rsid w:val="008457C3"/>
    <w:rsid w:val="00845A2A"/>
    <w:rsid w:val="00845AEB"/>
    <w:rsid w:val="00845B74"/>
    <w:rsid w:val="00845E3D"/>
    <w:rsid w:val="00845FD5"/>
    <w:rsid w:val="00846198"/>
    <w:rsid w:val="008461B5"/>
    <w:rsid w:val="008464B2"/>
    <w:rsid w:val="008465D2"/>
    <w:rsid w:val="0084685B"/>
    <w:rsid w:val="00846946"/>
    <w:rsid w:val="00846987"/>
    <w:rsid w:val="00846CA4"/>
    <w:rsid w:val="00846CEA"/>
    <w:rsid w:val="0084717B"/>
    <w:rsid w:val="00847250"/>
    <w:rsid w:val="0084760A"/>
    <w:rsid w:val="0084775B"/>
    <w:rsid w:val="0084788E"/>
    <w:rsid w:val="008478D7"/>
    <w:rsid w:val="00847D00"/>
    <w:rsid w:val="008500F7"/>
    <w:rsid w:val="00850625"/>
    <w:rsid w:val="008507CF"/>
    <w:rsid w:val="00850B62"/>
    <w:rsid w:val="00850BAC"/>
    <w:rsid w:val="00850C83"/>
    <w:rsid w:val="00850F8E"/>
    <w:rsid w:val="00851509"/>
    <w:rsid w:val="008515B3"/>
    <w:rsid w:val="008516A3"/>
    <w:rsid w:val="008516DD"/>
    <w:rsid w:val="008518B1"/>
    <w:rsid w:val="00851A02"/>
    <w:rsid w:val="00851A34"/>
    <w:rsid w:val="00851B4B"/>
    <w:rsid w:val="00851B54"/>
    <w:rsid w:val="00851C37"/>
    <w:rsid w:val="00851CDE"/>
    <w:rsid w:val="00851E70"/>
    <w:rsid w:val="00851F7D"/>
    <w:rsid w:val="008523CB"/>
    <w:rsid w:val="00852417"/>
    <w:rsid w:val="008524CE"/>
    <w:rsid w:val="0085257C"/>
    <w:rsid w:val="0085266F"/>
    <w:rsid w:val="008527C9"/>
    <w:rsid w:val="00852819"/>
    <w:rsid w:val="0085285F"/>
    <w:rsid w:val="0085286B"/>
    <w:rsid w:val="00852B8E"/>
    <w:rsid w:val="00852DA6"/>
    <w:rsid w:val="00852E18"/>
    <w:rsid w:val="00852E52"/>
    <w:rsid w:val="00852EAE"/>
    <w:rsid w:val="00853212"/>
    <w:rsid w:val="00853454"/>
    <w:rsid w:val="00853600"/>
    <w:rsid w:val="00853606"/>
    <w:rsid w:val="008536E7"/>
    <w:rsid w:val="00853BD0"/>
    <w:rsid w:val="00853CDF"/>
    <w:rsid w:val="00853D06"/>
    <w:rsid w:val="00853D55"/>
    <w:rsid w:val="0085400A"/>
    <w:rsid w:val="008546CA"/>
    <w:rsid w:val="00855312"/>
    <w:rsid w:val="00855597"/>
    <w:rsid w:val="008556B7"/>
    <w:rsid w:val="008556ED"/>
    <w:rsid w:val="008559D9"/>
    <w:rsid w:val="00855A3A"/>
    <w:rsid w:val="00855D7D"/>
    <w:rsid w:val="00855D80"/>
    <w:rsid w:val="00856179"/>
    <w:rsid w:val="00856382"/>
    <w:rsid w:val="008564AF"/>
    <w:rsid w:val="00856AB3"/>
    <w:rsid w:val="00856DB1"/>
    <w:rsid w:val="00856ED5"/>
    <w:rsid w:val="0085781E"/>
    <w:rsid w:val="00857858"/>
    <w:rsid w:val="008578CD"/>
    <w:rsid w:val="00857CE4"/>
    <w:rsid w:val="0086074B"/>
    <w:rsid w:val="008607FD"/>
    <w:rsid w:val="00860D83"/>
    <w:rsid w:val="008610D0"/>
    <w:rsid w:val="0086122C"/>
    <w:rsid w:val="0086151E"/>
    <w:rsid w:val="00861573"/>
    <w:rsid w:val="008616AB"/>
    <w:rsid w:val="0086184E"/>
    <w:rsid w:val="00861D44"/>
    <w:rsid w:val="00861F64"/>
    <w:rsid w:val="00862149"/>
    <w:rsid w:val="0086228B"/>
    <w:rsid w:val="00862651"/>
    <w:rsid w:val="008626C2"/>
    <w:rsid w:val="008628EC"/>
    <w:rsid w:val="0086295A"/>
    <w:rsid w:val="00862DC5"/>
    <w:rsid w:val="00862F2C"/>
    <w:rsid w:val="00862FD0"/>
    <w:rsid w:val="0086315F"/>
    <w:rsid w:val="00863595"/>
    <w:rsid w:val="008635F9"/>
    <w:rsid w:val="00863D23"/>
    <w:rsid w:val="00863E9D"/>
    <w:rsid w:val="008642C9"/>
    <w:rsid w:val="00864419"/>
    <w:rsid w:val="00864457"/>
    <w:rsid w:val="00864502"/>
    <w:rsid w:val="00864853"/>
    <w:rsid w:val="00864878"/>
    <w:rsid w:val="00864BC6"/>
    <w:rsid w:val="00865120"/>
    <w:rsid w:val="00865342"/>
    <w:rsid w:val="008656F5"/>
    <w:rsid w:val="00865F23"/>
    <w:rsid w:val="0086619E"/>
    <w:rsid w:val="008662DA"/>
    <w:rsid w:val="0086664E"/>
    <w:rsid w:val="0086672D"/>
    <w:rsid w:val="00866A54"/>
    <w:rsid w:val="00866BC2"/>
    <w:rsid w:val="00866C29"/>
    <w:rsid w:val="00866DE5"/>
    <w:rsid w:val="00866DF5"/>
    <w:rsid w:val="00866E2D"/>
    <w:rsid w:val="00866EB1"/>
    <w:rsid w:val="0086703E"/>
    <w:rsid w:val="00867237"/>
    <w:rsid w:val="00867547"/>
    <w:rsid w:val="0086754C"/>
    <w:rsid w:val="008679DA"/>
    <w:rsid w:val="00867A7D"/>
    <w:rsid w:val="00867BD0"/>
    <w:rsid w:val="00867EF0"/>
    <w:rsid w:val="008701F6"/>
    <w:rsid w:val="008704C3"/>
    <w:rsid w:val="00870587"/>
    <w:rsid w:val="00870710"/>
    <w:rsid w:val="008707E5"/>
    <w:rsid w:val="008707ED"/>
    <w:rsid w:val="00870932"/>
    <w:rsid w:val="008709CA"/>
    <w:rsid w:val="00870C0A"/>
    <w:rsid w:val="008711DF"/>
    <w:rsid w:val="0087143C"/>
    <w:rsid w:val="00871455"/>
    <w:rsid w:val="0087155F"/>
    <w:rsid w:val="00871619"/>
    <w:rsid w:val="0087162D"/>
    <w:rsid w:val="008716FB"/>
    <w:rsid w:val="00871A4F"/>
    <w:rsid w:val="00871D31"/>
    <w:rsid w:val="00871EAD"/>
    <w:rsid w:val="00871EDD"/>
    <w:rsid w:val="00872376"/>
    <w:rsid w:val="00872427"/>
    <w:rsid w:val="00872873"/>
    <w:rsid w:val="0087292D"/>
    <w:rsid w:val="00872A4C"/>
    <w:rsid w:val="00872BCD"/>
    <w:rsid w:val="00872C9E"/>
    <w:rsid w:val="008732F2"/>
    <w:rsid w:val="0087333F"/>
    <w:rsid w:val="00873BFE"/>
    <w:rsid w:val="00873FA6"/>
    <w:rsid w:val="0087426B"/>
    <w:rsid w:val="00874311"/>
    <w:rsid w:val="00874416"/>
    <w:rsid w:val="008744B2"/>
    <w:rsid w:val="00874640"/>
    <w:rsid w:val="008746E7"/>
    <w:rsid w:val="00874712"/>
    <w:rsid w:val="008748BA"/>
    <w:rsid w:val="00874F3E"/>
    <w:rsid w:val="0087530A"/>
    <w:rsid w:val="0087537F"/>
    <w:rsid w:val="008754E3"/>
    <w:rsid w:val="00875853"/>
    <w:rsid w:val="00875B2A"/>
    <w:rsid w:val="00875DD9"/>
    <w:rsid w:val="00876082"/>
    <w:rsid w:val="008765F0"/>
    <w:rsid w:val="00876685"/>
    <w:rsid w:val="00876906"/>
    <w:rsid w:val="00876A8D"/>
    <w:rsid w:val="00876B7B"/>
    <w:rsid w:val="00876D2E"/>
    <w:rsid w:val="00877051"/>
    <w:rsid w:val="0087732B"/>
    <w:rsid w:val="00877469"/>
    <w:rsid w:val="008778B6"/>
    <w:rsid w:val="00877B8D"/>
    <w:rsid w:val="00877C08"/>
    <w:rsid w:val="00877C40"/>
    <w:rsid w:val="008802D2"/>
    <w:rsid w:val="0088035B"/>
    <w:rsid w:val="008805D9"/>
    <w:rsid w:val="00880732"/>
    <w:rsid w:val="008807E3"/>
    <w:rsid w:val="0088087D"/>
    <w:rsid w:val="00880BAE"/>
    <w:rsid w:val="00880C3C"/>
    <w:rsid w:val="00880D08"/>
    <w:rsid w:val="00880ED7"/>
    <w:rsid w:val="00880F92"/>
    <w:rsid w:val="0088100E"/>
    <w:rsid w:val="00881064"/>
    <w:rsid w:val="008810EC"/>
    <w:rsid w:val="008812F9"/>
    <w:rsid w:val="00881356"/>
    <w:rsid w:val="0088135E"/>
    <w:rsid w:val="008814A6"/>
    <w:rsid w:val="00881773"/>
    <w:rsid w:val="00881799"/>
    <w:rsid w:val="00881873"/>
    <w:rsid w:val="00881C45"/>
    <w:rsid w:val="00882087"/>
    <w:rsid w:val="00882262"/>
    <w:rsid w:val="008823E2"/>
    <w:rsid w:val="0088266B"/>
    <w:rsid w:val="008827D4"/>
    <w:rsid w:val="00882864"/>
    <w:rsid w:val="00882A39"/>
    <w:rsid w:val="00882B21"/>
    <w:rsid w:val="00882CDE"/>
    <w:rsid w:val="00882E06"/>
    <w:rsid w:val="008830EA"/>
    <w:rsid w:val="008831EA"/>
    <w:rsid w:val="008833C1"/>
    <w:rsid w:val="00883FE4"/>
    <w:rsid w:val="00884220"/>
    <w:rsid w:val="00884665"/>
    <w:rsid w:val="00884F05"/>
    <w:rsid w:val="00884F30"/>
    <w:rsid w:val="00885781"/>
    <w:rsid w:val="00885973"/>
    <w:rsid w:val="00885A8B"/>
    <w:rsid w:val="00885BCE"/>
    <w:rsid w:val="00885BEF"/>
    <w:rsid w:val="00885D3D"/>
    <w:rsid w:val="0088621F"/>
    <w:rsid w:val="00886266"/>
    <w:rsid w:val="008864AB"/>
    <w:rsid w:val="008864C8"/>
    <w:rsid w:val="00886542"/>
    <w:rsid w:val="008865D2"/>
    <w:rsid w:val="0088675B"/>
    <w:rsid w:val="00886B83"/>
    <w:rsid w:val="00886DEB"/>
    <w:rsid w:val="00886DF2"/>
    <w:rsid w:val="00887081"/>
    <w:rsid w:val="0088714C"/>
    <w:rsid w:val="00887575"/>
    <w:rsid w:val="008877DF"/>
    <w:rsid w:val="008878F3"/>
    <w:rsid w:val="00887A03"/>
    <w:rsid w:val="00887C27"/>
    <w:rsid w:val="00887E38"/>
    <w:rsid w:val="00887F3A"/>
    <w:rsid w:val="008906A5"/>
    <w:rsid w:val="00890731"/>
    <w:rsid w:val="0089085C"/>
    <w:rsid w:val="0089092A"/>
    <w:rsid w:val="00890E35"/>
    <w:rsid w:val="00890F4A"/>
    <w:rsid w:val="008913C8"/>
    <w:rsid w:val="0089158C"/>
    <w:rsid w:val="008916D7"/>
    <w:rsid w:val="0089187B"/>
    <w:rsid w:val="008919F7"/>
    <w:rsid w:val="00891C85"/>
    <w:rsid w:val="00891D41"/>
    <w:rsid w:val="00891FE0"/>
    <w:rsid w:val="008922C2"/>
    <w:rsid w:val="0089318E"/>
    <w:rsid w:val="008931E9"/>
    <w:rsid w:val="008932D5"/>
    <w:rsid w:val="0089369D"/>
    <w:rsid w:val="008936EA"/>
    <w:rsid w:val="00893827"/>
    <w:rsid w:val="00893911"/>
    <w:rsid w:val="00893D33"/>
    <w:rsid w:val="0089409A"/>
    <w:rsid w:val="008941BF"/>
    <w:rsid w:val="00894480"/>
    <w:rsid w:val="0089483B"/>
    <w:rsid w:val="00895658"/>
    <w:rsid w:val="0089566D"/>
    <w:rsid w:val="008957A4"/>
    <w:rsid w:val="008959E3"/>
    <w:rsid w:val="00895BF6"/>
    <w:rsid w:val="00895E89"/>
    <w:rsid w:val="008960FF"/>
    <w:rsid w:val="00896115"/>
    <w:rsid w:val="008962D3"/>
    <w:rsid w:val="008963A3"/>
    <w:rsid w:val="008963A6"/>
    <w:rsid w:val="008964C0"/>
    <w:rsid w:val="00896578"/>
    <w:rsid w:val="008967D2"/>
    <w:rsid w:val="008969B8"/>
    <w:rsid w:val="00896AA4"/>
    <w:rsid w:val="00896B79"/>
    <w:rsid w:val="00896C6F"/>
    <w:rsid w:val="00896CC0"/>
    <w:rsid w:val="00896D14"/>
    <w:rsid w:val="00896EE4"/>
    <w:rsid w:val="008973B8"/>
    <w:rsid w:val="0089746B"/>
    <w:rsid w:val="00897822"/>
    <w:rsid w:val="008978BB"/>
    <w:rsid w:val="008A060E"/>
    <w:rsid w:val="008A0767"/>
    <w:rsid w:val="008A0B2B"/>
    <w:rsid w:val="008A0C08"/>
    <w:rsid w:val="008A0CF8"/>
    <w:rsid w:val="008A0DA5"/>
    <w:rsid w:val="008A0F3A"/>
    <w:rsid w:val="008A12AB"/>
    <w:rsid w:val="008A14C6"/>
    <w:rsid w:val="008A1BA3"/>
    <w:rsid w:val="008A1CEE"/>
    <w:rsid w:val="008A1D14"/>
    <w:rsid w:val="008A20A2"/>
    <w:rsid w:val="008A2883"/>
    <w:rsid w:val="008A2A46"/>
    <w:rsid w:val="008A2E4A"/>
    <w:rsid w:val="008A2F6B"/>
    <w:rsid w:val="008A3342"/>
    <w:rsid w:val="008A36AB"/>
    <w:rsid w:val="008A36F4"/>
    <w:rsid w:val="008A3864"/>
    <w:rsid w:val="008A3BB7"/>
    <w:rsid w:val="008A3EEA"/>
    <w:rsid w:val="008A4C7A"/>
    <w:rsid w:val="008A4D6A"/>
    <w:rsid w:val="008A4DB4"/>
    <w:rsid w:val="008A4E16"/>
    <w:rsid w:val="008A5678"/>
    <w:rsid w:val="008A58F6"/>
    <w:rsid w:val="008A5BFA"/>
    <w:rsid w:val="008A61BE"/>
    <w:rsid w:val="008A6474"/>
    <w:rsid w:val="008A6561"/>
    <w:rsid w:val="008A67A8"/>
    <w:rsid w:val="008A67DD"/>
    <w:rsid w:val="008A680A"/>
    <w:rsid w:val="008A6CA8"/>
    <w:rsid w:val="008A6CE2"/>
    <w:rsid w:val="008A7031"/>
    <w:rsid w:val="008A71CB"/>
    <w:rsid w:val="008A7344"/>
    <w:rsid w:val="008A7413"/>
    <w:rsid w:val="008A76B2"/>
    <w:rsid w:val="008A7828"/>
    <w:rsid w:val="008A7873"/>
    <w:rsid w:val="008A798E"/>
    <w:rsid w:val="008A79DC"/>
    <w:rsid w:val="008A7CCF"/>
    <w:rsid w:val="008A7DBC"/>
    <w:rsid w:val="008B047D"/>
    <w:rsid w:val="008B06D0"/>
    <w:rsid w:val="008B0760"/>
    <w:rsid w:val="008B092D"/>
    <w:rsid w:val="008B0984"/>
    <w:rsid w:val="008B0A11"/>
    <w:rsid w:val="008B0FAF"/>
    <w:rsid w:val="008B0FC5"/>
    <w:rsid w:val="008B10D9"/>
    <w:rsid w:val="008B125A"/>
    <w:rsid w:val="008B17C4"/>
    <w:rsid w:val="008B182A"/>
    <w:rsid w:val="008B19F7"/>
    <w:rsid w:val="008B22E8"/>
    <w:rsid w:val="008B2F54"/>
    <w:rsid w:val="008B3107"/>
    <w:rsid w:val="008B357B"/>
    <w:rsid w:val="008B3710"/>
    <w:rsid w:val="008B3B12"/>
    <w:rsid w:val="008B3BFE"/>
    <w:rsid w:val="008B3C63"/>
    <w:rsid w:val="008B3CE7"/>
    <w:rsid w:val="008B3D89"/>
    <w:rsid w:val="008B3DC9"/>
    <w:rsid w:val="008B3E70"/>
    <w:rsid w:val="008B4030"/>
    <w:rsid w:val="008B4207"/>
    <w:rsid w:val="008B424C"/>
    <w:rsid w:val="008B4398"/>
    <w:rsid w:val="008B4560"/>
    <w:rsid w:val="008B45A6"/>
    <w:rsid w:val="008B481F"/>
    <w:rsid w:val="008B498C"/>
    <w:rsid w:val="008B4C2F"/>
    <w:rsid w:val="008B4E19"/>
    <w:rsid w:val="008B4E54"/>
    <w:rsid w:val="008B4F70"/>
    <w:rsid w:val="008B531F"/>
    <w:rsid w:val="008B5386"/>
    <w:rsid w:val="008B53BA"/>
    <w:rsid w:val="008B54AC"/>
    <w:rsid w:val="008B5633"/>
    <w:rsid w:val="008B59F0"/>
    <w:rsid w:val="008B5E52"/>
    <w:rsid w:val="008B6451"/>
    <w:rsid w:val="008B66F7"/>
    <w:rsid w:val="008B71C1"/>
    <w:rsid w:val="008B71DF"/>
    <w:rsid w:val="008B71E0"/>
    <w:rsid w:val="008B7222"/>
    <w:rsid w:val="008B74F7"/>
    <w:rsid w:val="008B75A0"/>
    <w:rsid w:val="008B7A14"/>
    <w:rsid w:val="008B7A8C"/>
    <w:rsid w:val="008B7B49"/>
    <w:rsid w:val="008B7EF3"/>
    <w:rsid w:val="008B7F04"/>
    <w:rsid w:val="008C0630"/>
    <w:rsid w:val="008C0680"/>
    <w:rsid w:val="008C0683"/>
    <w:rsid w:val="008C0B0A"/>
    <w:rsid w:val="008C0D3D"/>
    <w:rsid w:val="008C10CE"/>
    <w:rsid w:val="008C1571"/>
    <w:rsid w:val="008C159F"/>
    <w:rsid w:val="008C15C8"/>
    <w:rsid w:val="008C1906"/>
    <w:rsid w:val="008C1C08"/>
    <w:rsid w:val="008C223A"/>
    <w:rsid w:val="008C231A"/>
    <w:rsid w:val="008C238D"/>
    <w:rsid w:val="008C2486"/>
    <w:rsid w:val="008C2490"/>
    <w:rsid w:val="008C24B9"/>
    <w:rsid w:val="008C2770"/>
    <w:rsid w:val="008C27C8"/>
    <w:rsid w:val="008C2AA5"/>
    <w:rsid w:val="008C2B93"/>
    <w:rsid w:val="008C2BC6"/>
    <w:rsid w:val="008C2C53"/>
    <w:rsid w:val="008C2CF4"/>
    <w:rsid w:val="008C2E9B"/>
    <w:rsid w:val="008C2F3D"/>
    <w:rsid w:val="008C33F0"/>
    <w:rsid w:val="008C35FC"/>
    <w:rsid w:val="008C3747"/>
    <w:rsid w:val="008C382A"/>
    <w:rsid w:val="008C38CF"/>
    <w:rsid w:val="008C3987"/>
    <w:rsid w:val="008C408B"/>
    <w:rsid w:val="008C410E"/>
    <w:rsid w:val="008C412C"/>
    <w:rsid w:val="008C43DE"/>
    <w:rsid w:val="008C47A9"/>
    <w:rsid w:val="008C49BC"/>
    <w:rsid w:val="008C4AC0"/>
    <w:rsid w:val="008C4BB7"/>
    <w:rsid w:val="008C4CCC"/>
    <w:rsid w:val="008C4D02"/>
    <w:rsid w:val="008C4D96"/>
    <w:rsid w:val="008C4EA2"/>
    <w:rsid w:val="008C4EEF"/>
    <w:rsid w:val="008C4FB6"/>
    <w:rsid w:val="008C5641"/>
    <w:rsid w:val="008C577C"/>
    <w:rsid w:val="008C57C0"/>
    <w:rsid w:val="008C57DD"/>
    <w:rsid w:val="008C5AC6"/>
    <w:rsid w:val="008C60ED"/>
    <w:rsid w:val="008C6643"/>
    <w:rsid w:val="008C66AB"/>
    <w:rsid w:val="008C67D7"/>
    <w:rsid w:val="008C6905"/>
    <w:rsid w:val="008C69D8"/>
    <w:rsid w:val="008C6A90"/>
    <w:rsid w:val="008C6DDD"/>
    <w:rsid w:val="008C6E4E"/>
    <w:rsid w:val="008C6F83"/>
    <w:rsid w:val="008C7010"/>
    <w:rsid w:val="008C7077"/>
    <w:rsid w:val="008C709E"/>
    <w:rsid w:val="008C70DE"/>
    <w:rsid w:val="008C7283"/>
    <w:rsid w:val="008C72B1"/>
    <w:rsid w:val="008C746A"/>
    <w:rsid w:val="008C74D5"/>
    <w:rsid w:val="008C7761"/>
    <w:rsid w:val="008C7831"/>
    <w:rsid w:val="008C78D4"/>
    <w:rsid w:val="008D0347"/>
    <w:rsid w:val="008D038A"/>
    <w:rsid w:val="008D04DF"/>
    <w:rsid w:val="008D0782"/>
    <w:rsid w:val="008D09A1"/>
    <w:rsid w:val="008D0B1F"/>
    <w:rsid w:val="008D0B2B"/>
    <w:rsid w:val="008D0B89"/>
    <w:rsid w:val="008D0DE8"/>
    <w:rsid w:val="008D1172"/>
    <w:rsid w:val="008D1D16"/>
    <w:rsid w:val="008D1E02"/>
    <w:rsid w:val="008D1F15"/>
    <w:rsid w:val="008D2017"/>
    <w:rsid w:val="008D20B7"/>
    <w:rsid w:val="008D21C9"/>
    <w:rsid w:val="008D2371"/>
    <w:rsid w:val="008D2D16"/>
    <w:rsid w:val="008D2D21"/>
    <w:rsid w:val="008D2DCA"/>
    <w:rsid w:val="008D2F87"/>
    <w:rsid w:val="008D31F9"/>
    <w:rsid w:val="008D321F"/>
    <w:rsid w:val="008D32E1"/>
    <w:rsid w:val="008D3469"/>
    <w:rsid w:val="008D349D"/>
    <w:rsid w:val="008D34CD"/>
    <w:rsid w:val="008D3827"/>
    <w:rsid w:val="008D3C74"/>
    <w:rsid w:val="008D4070"/>
    <w:rsid w:val="008D41E0"/>
    <w:rsid w:val="008D45C0"/>
    <w:rsid w:val="008D47D7"/>
    <w:rsid w:val="008D4A59"/>
    <w:rsid w:val="008D4C30"/>
    <w:rsid w:val="008D4EAC"/>
    <w:rsid w:val="008D4ECF"/>
    <w:rsid w:val="008D4FB3"/>
    <w:rsid w:val="008D53AC"/>
    <w:rsid w:val="008D567D"/>
    <w:rsid w:val="008D580A"/>
    <w:rsid w:val="008D5A1E"/>
    <w:rsid w:val="008D5B7C"/>
    <w:rsid w:val="008D5DD9"/>
    <w:rsid w:val="008D5E48"/>
    <w:rsid w:val="008D5E9B"/>
    <w:rsid w:val="008D5ED0"/>
    <w:rsid w:val="008D616A"/>
    <w:rsid w:val="008D6978"/>
    <w:rsid w:val="008D6A41"/>
    <w:rsid w:val="008D6E42"/>
    <w:rsid w:val="008D71A8"/>
    <w:rsid w:val="008D73DF"/>
    <w:rsid w:val="008D7637"/>
    <w:rsid w:val="008D76D3"/>
    <w:rsid w:val="008D78EF"/>
    <w:rsid w:val="008D7B6E"/>
    <w:rsid w:val="008E0865"/>
    <w:rsid w:val="008E0CE2"/>
    <w:rsid w:val="008E0D1F"/>
    <w:rsid w:val="008E0E06"/>
    <w:rsid w:val="008E0F08"/>
    <w:rsid w:val="008E1051"/>
    <w:rsid w:val="008E1186"/>
    <w:rsid w:val="008E1272"/>
    <w:rsid w:val="008E16C5"/>
    <w:rsid w:val="008E18B8"/>
    <w:rsid w:val="008E1CBF"/>
    <w:rsid w:val="008E1CF0"/>
    <w:rsid w:val="008E1D5E"/>
    <w:rsid w:val="008E1E50"/>
    <w:rsid w:val="008E2356"/>
    <w:rsid w:val="008E23E1"/>
    <w:rsid w:val="008E28DA"/>
    <w:rsid w:val="008E299D"/>
    <w:rsid w:val="008E29CC"/>
    <w:rsid w:val="008E2B74"/>
    <w:rsid w:val="008E2B7F"/>
    <w:rsid w:val="008E2C5D"/>
    <w:rsid w:val="008E2CED"/>
    <w:rsid w:val="008E2D30"/>
    <w:rsid w:val="008E360C"/>
    <w:rsid w:val="008E3679"/>
    <w:rsid w:val="008E383A"/>
    <w:rsid w:val="008E3C89"/>
    <w:rsid w:val="008E3E74"/>
    <w:rsid w:val="008E3EAE"/>
    <w:rsid w:val="008E3FC4"/>
    <w:rsid w:val="008E41AD"/>
    <w:rsid w:val="008E41BB"/>
    <w:rsid w:val="008E4E61"/>
    <w:rsid w:val="008E4FE2"/>
    <w:rsid w:val="008E50D5"/>
    <w:rsid w:val="008E5223"/>
    <w:rsid w:val="008E544E"/>
    <w:rsid w:val="008E567C"/>
    <w:rsid w:val="008E5842"/>
    <w:rsid w:val="008E5B8D"/>
    <w:rsid w:val="008E5C9E"/>
    <w:rsid w:val="008E65FC"/>
    <w:rsid w:val="008E686F"/>
    <w:rsid w:val="008E6936"/>
    <w:rsid w:val="008E6B4F"/>
    <w:rsid w:val="008E6D7C"/>
    <w:rsid w:val="008E6F45"/>
    <w:rsid w:val="008E7788"/>
    <w:rsid w:val="008E7AB8"/>
    <w:rsid w:val="008E7C2D"/>
    <w:rsid w:val="008E7F63"/>
    <w:rsid w:val="008F02BC"/>
    <w:rsid w:val="008F057E"/>
    <w:rsid w:val="008F0971"/>
    <w:rsid w:val="008F0A55"/>
    <w:rsid w:val="008F0AF6"/>
    <w:rsid w:val="008F0C00"/>
    <w:rsid w:val="008F0D31"/>
    <w:rsid w:val="008F0F4A"/>
    <w:rsid w:val="008F1383"/>
    <w:rsid w:val="008F14AB"/>
    <w:rsid w:val="008F1571"/>
    <w:rsid w:val="008F1587"/>
    <w:rsid w:val="008F17AE"/>
    <w:rsid w:val="008F1909"/>
    <w:rsid w:val="008F1B16"/>
    <w:rsid w:val="008F1B5C"/>
    <w:rsid w:val="008F1C59"/>
    <w:rsid w:val="008F1CB4"/>
    <w:rsid w:val="008F1D32"/>
    <w:rsid w:val="008F1DFE"/>
    <w:rsid w:val="008F1E17"/>
    <w:rsid w:val="008F2020"/>
    <w:rsid w:val="008F24AE"/>
    <w:rsid w:val="008F2675"/>
    <w:rsid w:val="008F27CF"/>
    <w:rsid w:val="008F2958"/>
    <w:rsid w:val="008F29A8"/>
    <w:rsid w:val="008F2B3B"/>
    <w:rsid w:val="008F357C"/>
    <w:rsid w:val="008F3854"/>
    <w:rsid w:val="008F38B4"/>
    <w:rsid w:val="008F3ABC"/>
    <w:rsid w:val="008F4151"/>
    <w:rsid w:val="008F415C"/>
    <w:rsid w:val="008F4A61"/>
    <w:rsid w:val="008F4A67"/>
    <w:rsid w:val="008F52F2"/>
    <w:rsid w:val="008F542F"/>
    <w:rsid w:val="008F546A"/>
    <w:rsid w:val="008F57FF"/>
    <w:rsid w:val="008F5849"/>
    <w:rsid w:val="008F58D5"/>
    <w:rsid w:val="008F595A"/>
    <w:rsid w:val="008F5AA6"/>
    <w:rsid w:val="008F5D1C"/>
    <w:rsid w:val="008F5F2F"/>
    <w:rsid w:val="008F6699"/>
    <w:rsid w:val="008F68E0"/>
    <w:rsid w:val="008F6D1E"/>
    <w:rsid w:val="008F6E1B"/>
    <w:rsid w:val="008F6F32"/>
    <w:rsid w:val="008F6FB5"/>
    <w:rsid w:val="008F73C8"/>
    <w:rsid w:val="008F7403"/>
    <w:rsid w:val="008F769B"/>
    <w:rsid w:val="008F76B3"/>
    <w:rsid w:val="008F7C2B"/>
    <w:rsid w:val="008F7C64"/>
    <w:rsid w:val="008F7DB2"/>
    <w:rsid w:val="008F7FF9"/>
    <w:rsid w:val="00900236"/>
    <w:rsid w:val="00900308"/>
    <w:rsid w:val="009006FC"/>
    <w:rsid w:val="009007AF"/>
    <w:rsid w:val="009009A9"/>
    <w:rsid w:val="00900A48"/>
    <w:rsid w:val="00900C88"/>
    <w:rsid w:val="00900CAC"/>
    <w:rsid w:val="00900D90"/>
    <w:rsid w:val="00900D95"/>
    <w:rsid w:val="00900E45"/>
    <w:rsid w:val="0090104D"/>
    <w:rsid w:val="00901137"/>
    <w:rsid w:val="009011C4"/>
    <w:rsid w:val="009013EE"/>
    <w:rsid w:val="0090157C"/>
    <w:rsid w:val="00901B0B"/>
    <w:rsid w:val="00901CAA"/>
    <w:rsid w:val="00901D4B"/>
    <w:rsid w:val="00901E67"/>
    <w:rsid w:val="009027C9"/>
    <w:rsid w:val="00902AA0"/>
    <w:rsid w:val="00902D0E"/>
    <w:rsid w:val="00902D36"/>
    <w:rsid w:val="00902D43"/>
    <w:rsid w:val="00903319"/>
    <w:rsid w:val="009033C2"/>
    <w:rsid w:val="00903F90"/>
    <w:rsid w:val="00904066"/>
    <w:rsid w:val="009040EE"/>
    <w:rsid w:val="009050F3"/>
    <w:rsid w:val="00905833"/>
    <w:rsid w:val="00905841"/>
    <w:rsid w:val="00905931"/>
    <w:rsid w:val="00905B80"/>
    <w:rsid w:val="00905EFC"/>
    <w:rsid w:val="0090617F"/>
    <w:rsid w:val="0090636A"/>
    <w:rsid w:val="00906845"/>
    <w:rsid w:val="00906C37"/>
    <w:rsid w:val="00906E52"/>
    <w:rsid w:val="009072B8"/>
    <w:rsid w:val="00907310"/>
    <w:rsid w:val="0090750F"/>
    <w:rsid w:val="00907523"/>
    <w:rsid w:val="00907812"/>
    <w:rsid w:val="00907950"/>
    <w:rsid w:val="0090795F"/>
    <w:rsid w:val="00907A8A"/>
    <w:rsid w:val="00907E42"/>
    <w:rsid w:val="00907F53"/>
    <w:rsid w:val="00907FFD"/>
    <w:rsid w:val="00910296"/>
    <w:rsid w:val="009102C5"/>
    <w:rsid w:val="00910420"/>
    <w:rsid w:val="009109FF"/>
    <w:rsid w:val="00910B14"/>
    <w:rsid w:val="00910C46"/>
    <w:rsid w:val="00910CA8"/>
    <w:rsid w:val="00910CB8"/>
    <w:rsid w:val="00910E24"/>
    <w:rsid w:val="00910E51"/>
    <w:rsid w:val="0091192C"/>
    <w:rsid w:val="009119CA"/>
    <w:rsid w:val="00911B05"/>
    <w:rsid w:val="00911B3D"/>
    <w:rsid w:val="0091207D"/>
    <w:rsid w:val="00912213"/>
    <w:rsid w:val="009122B4"/>
    <w:rsid w:val="009122CD"/>
    <w:rsid w:val="0091232E"/>
    <w:rsid w:val="0091261B"/>
    <w:rsid w:val="009127C7"/>
    <w:rsid w:val="00912A2F"/>
    <w:rsid w:val="00912E63"/>
    <w:rsid w:val="00912FD6"/>
    <w:rsid w:val="00913052"/>
    <w:rsid w:val="00913096"/>
    <w:rsid w:val="00913129"/>
    <w:rsid w:val="009131C9"/>
    <w:rsid w:val="0091320A"/>
    <w:rsid w:val="009132BF"/>
    <w:rsid w:val="00913357"/>
    <w:rsid w:val="009135A5"/>
    <w:rsid w:val="0091409F"/>
    <w:rsid w:val="009140AD"/>
    <w:rsid w:val="009140D9"/>
    <w:rsid w:val="009145B5"/>
    <w:rsid w:val="009147BA"/>
    <w:rsid w:val="00914A7E"/>
    <w:rsid w:val="009156CE"/>
    <w:rsid w:val="009156FE"/>
    <w:rsid w:val="009158ED"/>
    <w:rsid w:val="00915F09"/>
    <w:rsid w:val="00916151"/>
    <w:rsid w:val="0091647D"/>
    <w:rsid w:val="00916512"/>
    <w:rsid w:val="009167CA"/>
    <w:rsid w:val="00916C43"/>
    <w:rsid w:val="00916DB0"/>
    <w:rsid w:val="0091780A"/>
    <w:rsid w:val="00917ABA"/>
    <w:rsid w:val="00917C45"/>
    <w:rsid w:val="00917DE3"/>
    <w:rsid w:val="00917E53"/>
    <w:rsid w:val="00917ED8"/>
    <w:rsid w:val="00920260"/>
    <w:rsid w:val="00920283"/>
    <w:rsid w:val="009202DE"/>
    <w:rsid w:val="00920533"/>
    <w:rsid w:val="0092077D"/>
    <w:rsid w:val="009208CA"/>
    <w:rsid w:val="0092090D"/>
    <w:rsid w:val="0092096D"/>
    <w:rsid w:val="00920A22"/>
    <w:rsid w:val="00920C0D"/>
    <w:rsid w:val="00920C26"/>
    <w:rsid w:val="00920E14"/>
    <w:rsid w:val="00920F1C"/>
    <w:rsid w:val="009212D4"/>
    <w:rsid w:val="009215F6"/>
    <w:rsid w:val="00921895"/>
    <w:rsid w:val="009218C7"/>
    <w:rsid w:val="00921B01"/>
    <w:rsid w:val="00921B96"/>
    <w:rsid w:val="00921BB1"/>
    <w:rsid w:val="00921E78"/>
    <w:rsid w:val="00921EE2"/>
    <w:rsid w:val="009221DA"/>
    <w:rsid w:val="009222E9"/>
    <w:rsid w:val="00922816"/>
    <w:rsid w:val="0092296B"/>
    <w:rsid w:val="00922DC5"/>
    <w:rsid w:val="00922E99"/>
    <w:rsid w:val="00922F69"/>
    <w:rsid w:val="00922FBF"/>
    <w:rsid w:val="0092312A"/>
    <w:rsid w:val="00923368"/>
    <w:rsid w:val="009238AF"/>
    <w:rsid w:val="00923AC9"/>
    <w:rsid w:val="00923C0E"/>
    <w:rsid w:val="00923EA8"/>
    <w:rsid w:val="00923F26"/>
    <w:rsid w:val="009240B9"/>
    <w:rsid w:val="00924361"/>
    <w:rsid w:val="009243EA"/>
    <w:rsid w:val="0092453D"/>
    <w:rsid w:val="009246AF"/>
    <w:rsid w:val="00924778"/>
    <w:rsid w:val="00924B0C"/>
    <w:rsid w:val="00924C18"/>
    <w:rsid w:val="00924F3A"/>
    <w:rsid w:val="0092508A"/>
    <w:rsid w:val="009250A0"/>
    <w:rsid w:val="0092589D"/>
    <w:rsid w:val="00925BA2"/>
    <w:rsid w:val="00925BD4"/>
    <w:rsid w:val="009260EA"/>
    <w:rsid w:val="00926206"/>
    <w:rsid w:val="00926342"/>
    <w:rsid w:val="00926398"/>
    <w:rsid w:val="009263E5"/>
    <w:rsid w:val="009264A3"/>
    <w:rsid w:val="0092666B"/>
    <w:rsid w:val="0092681B"/>
    <w:rsid w:val="00926961"/>
    <w:rsid w:val="009269D0"/>
    <w:rsid w:val="00926BE7"/>
    <w:rsid w:val="00926F2C"/>
    <w:rsid w:val="00926F67"/>
    <w:rsid w:val="009270DF"/>
    <w:rsid w:val="0092748D"/>
    <w:rsid w:val="00927790"/>
    <w:rsid w:val="009278FC"/>
    <w:rsid w:val="00927970"/>
    <w:rsid w:val="00927BAC"/>
    <w:rsid w:val="00927CE6"/>
    <w:rsid w:val="00927FA9"/>
    <w:rsid w:val="00930409"/>
    <w:rsid w:val="0093044C"/>
    <w:rsid w:val="00930596"/>
    <w:rsid w:val="009305AA"/>
    <w:rsid w:val="0093079D"/>
    <w:rsid w:val="009307C4"/>
    <w:rsid w:val="009309F0"/>
    <w:rsid w:val="00930A4F"/>
    <w:rsid w:val="00930A93"/>
    <w:rsid w:val="00930B8A"/>
    <w:rsid w:val="00930DC8"/>
    <w:rsid w:val="00930F3C"/>
    <w:rsid w:val="00931186"/>
    <w:rsid w:val="00931293"/>
    <w:rsid w:val="009314AE"/>
    <w:rsid w:val="00931617"/>
    <w:rsid w:val="00931669"/>
    <w:rsid w:val="00931830"/>
    <w:rsid w:val="00931A98"/>
    <w:rsid w:val="00931B25"/>
    <w:rsid w:val="00931CF6"/>
    <w:rsid w:val="00931F1F"/>
    <w:rsid w:val="0093201C"/>
    <w:rsid w:val="009321E2"/>
    <w:rsid w:val="0093221D"/>
    <w:rsid w:val="009322F7"/>
    <w:rsid w:val="00932741"/>
    <w:rsid w:val="0093296B"/>
    <w:rsid w:val="00932B09"/>
    <w:rsid w:val="00932CCA"/>
    <w:rsid w:val="009331F8"/>
    <w:rsid w:val="00933302"/>
    <w:rsid w:val="009334EA"/>
    <w:rsid w:val="00933516"/>
    <w:rsid w:val="009339C3"/>
    <w:rsid w:val="00933A09"/>
    <w:rsid w:val="00933C84"/>
    <w:rsid w:val="00933C8E"/>
    <w:rsid w:val="00933FF6"/>
    <w:rsid w:val="00934777"/>
    <w:rsid w:val="009349B2"/>
    <w:rsid w:val="00934FAE"/>
    <w:rsid w:val="00935106"/>
    <w:rsid w:val="0093540E"/>
    <w:rsid w:val="0093548A"/>
    <w:rsid w:val="009355C1"/>
    <w:rsid w:val="00935764"/>
    <w:rsid w:val="0093583B"/>
    <w:rsid w:val="00935BA1"/>
    <w:rsid w:val="00935E8E"/>
    <w:rsid w:val="009362F9"/>
    <w:rsid w:val="009365B7"/>
    <w:rsid w:val="00936740"/>
    <w:rsid w:val="00936902"/>
    <w:rsid w:val="00936A42"/>
    <w:rsid w:val="00936C04"/>
    <w:rsid w:val="00936C05"/>
    <w:rsid w:val="00936DD7"/>
    <w:rsid w:val="00937812"/>
    <w:rsid w:val="00937AA8"/>
    <w:rsid w:val="00937AC5"/>
    <w:rsid w:val="00937B21"/>
    <w:rsid w:val="00937F01"/>
    <w:rsid w:val="00940011"/>
    <w:rsid w:val="0094028B"/>
    <w:rsid w:val="00940398"/>
    <w:rsid w:val="0094039D"/>
    <w:rsid w:val="0094068E"/>
    <w:rsid w:val="00940C21"/>
    <w:rsid w:val="00940EDE"/>
    <w:rsid w:val="00941184"/>
    <w:rsid w:val="0094121E"/>
    <w:rsid w:val="0094157D"/>
    <w:rsid w:val="0094159F"/>
    <w:rsid w:val="00941A27"/>
    <w:rsid w:val="00941A4E"/>
    <w:rsid w:val="00941A80"/>
    <w:rsid w:val="00941B86"/>
    <w:rsid w:val="00941E47"/>
    <w:rsid w:val="00941EEE"/>
    <w:rsid w:val="00941F26"/>
    <w:rsid w:val="00942165"/>
    <w:rsid w:val="009421A6"/>
    <w:rsid w:val="009424C7"/>
    <w:rsid w:val="009425C0"/>
    <w:rsid w:val="00942794"/>
    <w:rsid w:val="0094283A"/>
    <w:rsid w:val="00942993"/>
    <w:rsid w:val="009429FB"/>
    <w:rsid w:val="00942B08"/>
    <w:rsid w:val="00942BD8"/>
    <w:rsid w:val="00942D28"/>
    <w:rsid w:val="00942DBB"/>
    <w:rsid w:val="00942E98"/>
    <w:rsid w:val="00943059"/>
    <w:rsid w:val="009431A3"/>
    <w:rsid w:val="009433F1"/>
    <w:rsid w:val="009437CD"/>
    <w:rsid w:val="009438A0"/>
    <w:rsid w:val="00943A05"/>
    <w:rsid w:val="00943A74"/>
    <w:rsid w:val="00943F59"/>
    <w:rsid w:val="009440CA"/>
    <w:rsid w:val="00944619"/>
    <w:rsid w:val="009446BD"/>
    <w:rsid w:val="00944826"/>
    <w:rsid w:val="00944967"/>
    <w:rsid w:val="00944B81"/>
    <w:rsid w:val="00944BF3"/>
    <w:rsid w:val="00945044"/>
    <w:rsid w:val="00945070"/>
    <w:rsid w:val="0094508F"/>
    <w:rsid w:val="00945220"/>
    <w:rsid w:val="00945855"/>
    <w:rsid w:val="00945CF9"/>
    <w:rsid w:val="00946031"/>
    <w:rsid w:val="009462D2"/>
    <w:rsid w:val="00946441"/>
    <w:rsid w:val="009468E4"/>
    <w:rsid w:val="00946D87"/>
    <w:rsid w:val="00946D92"/>
    <w:rsid w:val="0094710E"/>
    <w:rsid w:val="0094716A"/>
    <w:rsid w:val="009471EB"/>
    <w:rsid w:val="00947664"/>
    <w:rsid w:val="009477DE"/>
    <w:rsid w:val="009479A6"/>
    <w:rsid w:val="00947A56"/>
    <w:rsid w:val="00947A82"/>
    <w:rsid w:val="00947E7F"/>
    <w:rsid w:val="0095033B"/>
    <w:rsid w:val="009503ED"/>
    <w:rsid w:val="009504A8"/>
    <w:rsid w:val="0095096E"/>
    <w:rsid w:val="00950975"/>
    <w:rsid w:val="00950B50"/>
    <w:rsid w:val="00950E0A"/>
    <w:rsid w:val="00950E80"/>
    <w:rsid w:val="00951023"/>
    <w:rsid w:val="00951133"/>
    <w:rsid w:val="0095114E"/>
    <w:rsid w:val="009511D3"/>
    <w:rsid w:val="009512BA"/>
    <w:rsid w:val="009517E2"/>
    <w:rsid w:val="00951AA1"/>
    <w:rsid w:val="00951DE4"/>
    <w:rsid w:val="0095245A"/>
    <w:rsid w:val="00952567"/>
    <w:rsid w:val="0095274E"/>
    <w:rsid w:val="0095277C"/>
    <w:rsid w:val="009527AF"/>
    <w:rsid w:val="009527BC"/>
    <w:rsid w:val="009529AB"/>
    <w:rsid w:val="00952DD8"/>
    <w:rsid w:val="00952FA8"/>
    <w:rsid w:val="00953148"/>
    <w:rsid w:val="009532BB"/>
    <w:rsid w:val="00953614"/>
    <w:rsid w:val="0095374F"/>
    <w:rsid w:val="00953757"/>
    <w:rsid w:val="00953CFB"/>
    <w:rsid w:val="00953DEA"/>
    <w:rsid w:val="00953EA9"/>
    <w:rsid w:val="00953EFC"/>
    <w:rsid w:val="009545CA"/>
    <w:rsid w:val="00954D26"/>
    <w:rsid w:val="00954F8E"/>
    <w:rsid w:val="00954FEC"/>
    <w:rsid w:val="00955188"/>
    <w:rsid w:val="009556EB"/>
    <w:rsid w:val="00955A41"/>
    <w:rsid w:val="00956110"/>
    <w:rsid w:val="00956117"/>
    <w:rsid w:val="009567D5"/>
    <w:rsid w:val="009569A9"/>
    <w:rsid w:val="00956A03"/>
    <w:rsid w:val="00956C39"/>
    <w:rsid w:val="00956F43"/>
    <w:rsid w:val="0095720E"/>
    <w:rsid w:val="0095724F"/>
    <w:rsid w:val="00957725"/>
    <w:rsid w:val="00960054"/>
    <w:rsid w:val="0096011F"/>
    <w:rsid w:val="0096025A"/>
    <w:rsid w:val="009602B2"/>
    <w:rsid w:val="009603DB"/>
    <w:rsid w:val="00960479"/>
    <w:rsid w:val="0096072C"/>
    <w:rsid w:val="009608D3"/>
    <w:rsid w:val="009616C6"/>
    <w:rsid w:val="00961A66"/>
    <w:rsid w:val="00961C6F"/>
    <w:rsid w:val="00961D36"/>
    <w:rsid w:val="00961F41"/>
    <w:rsid w:val="009621EE"/>
    <w:rsid w:val="00962397"/>
    <w:rsid w:val="00962427"/>
    <w:rsid w:val="00962563"/>
    <w:rsid w:val="00962654"/>
    <w:rsid w:val="00962724"/>
    <w:rsid w:val="0096294C"/>
    <w:rsid w:val="00962BB8"/>
    <w:rsid w:val="00962CC2"/>
    <w:rsid w:val="00963084"/>
    <w:rsid w:val="00963233"/>
    <w:rsid w:val="0096390C"/>
    <w:rsid w:val="00963AB7"/>
    <w:rsid w:val="00963BA4"/>
    <w:rsid w:val="00963BC8"/>
    <w:rsid w:val="00964017"/>
    <w:rsid w:val="009642AE"/>
    <w:rsid w:val="009643D3"/>
    <w:rsid w:val="009644E4"/>
    <w:rsid w:val="009645B4"/>
    <w:rsid w:val="009646CC"/>
    <w:rsid w:val="0096473A"/>
    <w:rsid w:val="00964DCD"/>
    <w:rsid w:val="00964E41"/>
    <w:rsid w:val="00964FE6"/>
    <w:rsid w:val="00965119"/>
    <w:rsid w:val="0096519B"/>
    <w:rsid w:val="0096547A"/>
    <w:rsid w:val="0096582E"/>
    <w:rsid w:val="0096587A"/>
    <w:rsid w:val="009658B0"/>
    <w:rsid w:val="00965BF7"/>
    <w:rsid w:val="00965FF6"/>
    <w:rsid w:val="0096635D"/>
    <w:rsid w:val="009664BE"/>
    <w:rsid w:val="00966553"/>
    <w:rsid w:val="00966585"/>
    <w:rsid w:val="009665B5"/>
    <w:rsid w:val="009668D3"/>
    <w:rsid w:val="009669E9"/>
    <w:rsid w:val="00966B04"/>
    <w:rsid w:val="00966C70"/>
    <w:rsid w:val="00966D15"/>
    <w:rsid w:val="00966F24"/>
    <w:rsid w:val="009670A5"/>
    <w:rsid w:val="0096713E"/>
    <w:rsid w:val="009671C9"/>
    <w:rsid w:val="0096721B"/>
    <w:rsid w:val="009673AE"/>
    <w:rsid w:val="00967767"/>
    <w:rsid w:val="0096799B"/>
    <w:rsid w:val="00967ECA"/>
    <w:rsid w:val="00970091"/>
    <w:rsid w:val="0097017D"/>
    <w:rsid w:val="00970C93"/>
    <w:rsid w:val="00970CA4"/>
    <w:rsid w:val="00970D02"/>
    <w:rsid w:val="00970EF7"/>
    <w:rsid w:val="0097126F"/>
    <w:rsid w:val="009715A1"/>
    <w:rsid w:val="009715D6"/>
    <w:rsid w:val="009717A3"/>
    <w:rsid w:val="00971D8D"/>
    <w:rsid w:val="00971E24"/>
    <w:rsid w:val="0097210D"/>
    <w:rsid w:val="00972629"/>
    <w:rsid w:val="0097265E"/>
    <w:rsid w:val="009727BD"/>
    <w:rsid w:val="0097280C"/>
    <w:rsid w:val="009729E1"/>
    <w:rsid w:val="00972A59"/>
    <w:rsid w:val="00972A7C"/>
    <w:rsid w:val="00972AD2"/>
    <w:rsid w:val="00972D9F"/>
    <w:rsid w:val="00972ECA"/>
    <w:rsid w:val="00972F93"/>
    <w:rsid w:val="009731F7"/>
    <w:rsid w:val="00973259"/>
    <w:rsid w:val="00973276"/>
    <w:rsid w:val="00973472"/>
    <w:rsid w:val="009734E9"/>
    <w:rsid w:val="009736A0"/>
    <w:rsid w:val="00973770"/>
    <w:rsid w:val="0097398A"/>
    <w:rsid w:val="00973DD2"/>
    <w:rsid w:val="00973ECD"/>
    <w:rsid w:val="00974041"/>
    <w:rsid w:val="00974304"/>
    <w:rsid w:val="0097447F"/>
    <w:rsid w:val="00974B19"/>
    <w:rsid w:val="00974C68"/>
    <w:rsid w:val="00974F74"/>
    <w:rsid w:val="00975015"/>
    <w:rsid w:val="00975271"/>
    <w:rsid w:val="00975504"/>
    <w:rsid w:val="0097558B"/>
    <w:rsid w:val="00975607"/>
    <w:rsid w:val="009756A6"/>
    <w:rsid w:val="0097571D"/>
    <w:rsid w:val="00975A17"/>
    <w:rsid w:val="00975B06"/>
    <w:rsid w:val="00975BD5"/>
    <w:rsid w:val="00975C15"/>
    <w:rsid w:val="00975D67"/>
    <w:rsid w:val="00975DE1"/>
    <w:rsid w:val="009760D2"/>
    <w:rsid w:val="0097688D"/>
    <w:rsid w:val="009768FA"/>
    <w:rsid w:val="00976968"/>
    <w:rsid w:val="00976CE8"/>
    <w:rsid w:val="00976D5B"/>
    <w:rsid w:val="00976F21"/>
    <w:rsid w:val="009770BF"/>
    <w:rsid w:val="00977153"/>
    <w:rsid w:val="0097722D"/>
    <w:rsid w:val="00977287"/>
    <w:rsid w:val="00977381"/>
    <w:rsid w:val="009773DE"/>
    <w:rsid w:val="00977DB5"/>
    <w:rsid w:val="00977F7E"/>
    <w:rsid w:val="00980256"/>
    <w:rsid w:val="009802D9"/>
    <w:rsid w:val="0098035B"/>
    <w:rsid w:val="00980444"/>
    <w:rsid w:val="0098057D"/>
    <w:rsid w:val="00980610"/>
    <w:rsid w:val="00980661"/>
    <w:rsid w:val="00980D20"/>
    <w:rsid w:val="00980D5F"/>
    <w:rsid w:val="00981614"/>
    <w:rsid w:val="009816A3"/>
    <w:rsid w:val="00981AF9"/>
    <w:rsid w:val="00981F22"/>
    <w:rsid w:val="0098202A"/>
    <w:rsid w:val="009821EE"/>
    <w:rsid w:val="00982326"/>
    <w:rsid w:val="0098278C"/>
    <w:rsid w:val="009827D2"/>
    <w:rsid w:val="00982801"/>
    <w:rsid w:val="00982A2D"/>
    <w:rsid w:val="00982D02"/>
    <w:rsid w:val="00982DD3"/>
    <w:rsid w:val="00982E90"/>
    <w:rsid w:val="00983109"/>
    <w:rsid w:val="0098312E"/>
    <w:rsid w:val="009834E0"/>
    <w:rsid w:val="009835FD"/>
    <w:rsid w:val="00983CEE"/>
    <w:rsid w:val="00983E11"/>
    <w:rsid w:val="00983E9D"/>
    <w:rsid w:val="00983FFC"/>
    <w:rsid w:val="00984844"/>
    <w:rsid w:val="00984855"/>
    <w:rsid w:val="00984888"/>
    <w:rsid w:val="00984A6F"/>
    <w:rsid w:val="00984BFC"/>
    <w:rsid w:val="0098500F"/>
    <w:rsid w:val="00985297"/>
    <w:rsid w:val="0098559C"/>
    <w:rsid w:val="00985730"/>
    <w:rsid w:val="00985A47"/>
    <w:rsid w:val="00985AE7"/>
    <w:rsid w:val="00985AFD"/>
    <w:rsid w:val="00985BAB"/>
    <w:rsid w:val="00986067"/>
    <w:rsid w:val="009861B7"/>
    <w:rsid w:val="009863AF"/>
    <w:rsid w:val="0098667A"/>
    <w:rsid w:val="009867BA"/>
    <w:rsid w:val="00986F27"/>
    <w:rsid w:val="009871DC"/>
    <w:rsid w:val="00987268"/>
    <w:rsid w:val="009872FE"/>
    <w:rsid w:val="009873F8"/>
    <w:rsid w:val="0098787A"/>
    <w:rsid w:val="00987C4E"/>
    <w:rsid w:val="00987CD3"/>
    <w:rsid w:val="0099008D"/>
    <w:rsid w:val="009900BD"/>
    <w:rsid w:val="00990118"/>
    <w:rsid w:val="0099025E"/>
    <w:rsid w:val="00990738"/>
    <w:rsid w:val="0099099C"/>
    <w:rsid w:val="00990E7C"/>
    <w:rsid w:val="009911F1"/>
    <w:rsid w:val="00991220"/>
    <w:rsid w:val="009915C0"/>
    <w:rsid w:val="009915D1"/>
    <w:rsid w:val="0099164C"/>
    <w:rsid w:val="009916C9"/>
    <w:rsid w:val="0099174B"/>
    <w:rsid w:val="00991B28"/>
    <w:rsid w:val="00991CDA"/>
    <w:rsid w:val="00991DFD"/>
    <w:rsid w:val="0099221D"/>
    <w:rsid w:val="00992295"/>
    <w:rsid w:val="0099232D"/>
    <w:rsid w:val="0099295A"/>
    <w:rsid w:val="00992960"/>
    <w:rsid w:val="00992978"/>
    <w:rsid w:val="00992EA0"/>
    <w:rsid w:val="00992FB4"/>
    <w:rsid w:val="009936FF"/>
    <w:rsid w:val="00993730"/>
    <w:rsid w:val="00993B4F"/>
    <w:rsid w:val="00993BC9"/>
    <w:rsid w:val="00993C06"/>
    <w:rsid w:val="00993D42"/>
    <w:rsid w:val="00993E11"/>
    <w:rsid w:val="00994047"/>
    <w:rsid w:val="00995841"/>
    <w:rsid w:val="00995881"/>
    <w:rsid w:val="0099595F"/>
    <w:rsid w:val="00996275"/>
    <w:rsid w:val="0099644B"/>
    <w:rsid w:val="009964C7"/>
    <w:rsid w:val="00996975"/>
    <w:rsid w:val="00996A2F"/>
    <w:rsid w:val="00996F08"/>
    <w:rsid w:val="0099718E"/>
    <w:rsid w:val="009971ED"/>
    <w:rsid w:val="009973DE"/>
    <w:rsid w:val="0099754B"/>
    <w:rsid w:val="00997823"/>
    <w:rsid w:val="009978A4"/>
    <w:rsid w:val="0099799C"/>
    <w:rsid w:val="00997B1F"/>
    <w:rsid w:val="009A0008"/>
    <w:rsid w:val="009A02A8"/>
    <w:rsid w:val="009A02CB"/>
    <w:rsid w:val="009A037F"/>
    <w:rsid w:val="009A0443"/>
    <w:rsid w:val="009A053B"/>
    <w:rsid w:val="009A0715"/>
    <w:rsid w:val="009A0816"/>
    <w:rsid w:val="009A09F2"/>
    <w:rsid w:val="009A0F62"/>
    <w:rsid w:val="009A1165"/>
    <w:rsid w:val="009A1169"/>
    <w:rsid w:val="009A117E"/>
    <w:rsid w:val="009A1360"/>
    <w:rsid w:val="009A1399"/>
    <w:rsid w:val="009A189E"/>
    <w:rsid w:val="009A18EE"/>
    <w:rsid w:val="009A1A79"/>
    <w:rsid w:val="009A1E82"/>
    <w:rsid w:val="009A1FD4"/>
    <w:rsid w:val="009A236E"/>
    <w:rsid w:val="009A23F5"/>
    <w:rsid w:val="009A2556"/>
    <w:rsid w:val="009A26A9"/>
    <w:rsid w:val="009A281C"/>
    <w:rsid w:val="009A2957"/>
    <w:rsid w:val="009A2B0F"/>
    <w:rsid w:val="009A2B95"/>
    <w:rsid w:val="009A305D"/>
    <w:rsid w:val="009A327C"/>
    <w:rsid w:val="009A3461"/>
    <w:rsid w:val="009A347E"/>
    <w:rsid w:val="009A3B2C"/>
    <w:rsid w:val="009A3C95"/>
    <w:rsid w:val="009A3D6B"/>
    <w:rsid w:val="009A3EFD"/>
    <w:rsid w:val="009A43A3"/>
    <w:rsid w:val="009A449C"/>
    <w:rsid w:val="009A4728"/>
    <w:rsid w:val="009A5113"/>
    <w:rsid w:val="009A51BB"/>
    <w:rsid w:val="009A525E"/>
    <w:rsid w:val="009A5397"/>
    <w:rsid w:val="009A5ABE"/>
    <w:rsid w:val="009A5B06"/>
    <w:rsid w:val="009A5C70"/>
    <w:rsid w:val="009A6240"/>
    <w:rsid w:val="009A661B"/>
    <w:rsid w:val="009A663F"/>
    <w:rsid w:val="009A695E"/>
    <w:rsid w:val="009A69CB"/>
    <w:rsid w:val="009A6A01"/>
    <w:rsid w:val="009A6A9A"/>
    <w:rsid w:val="009A6CFD"/>
    <w:rsid w:val="009A72F6"/>
    <w:rsid w:val="009A76B4"/>
    <w:rsid w:val="009A79CA"/>
    <w:rsid w:val="009A7A61"/>
    <w:rsid w:val="009A7C17"/>
    <w:rsid w:val="009B057D"/>
    <w:rsid w:val="009B087F"/>
    <w:rsid w:val="009B0D79"/>
    <w:rsid w:val="009B0E7E"/>
    <w:rsid w:val="009B0F93"/>
    <w:rsid w:val="009B1708"/>
    <w:rsid w:val="009B1AAE"/>
    <w:rsid w:val="009B1ADC"/>
    <w:rsid w:val="009B1F50"/>
    <w:rsid w:val="009B21BF"/>
    <w:rsid w:val="009B222F"/>
    <w:rsid w:val="009B2726"/>
    <w:rsid w:val="009B28DA"/>
    <w:rsid w:val="009B2E84"/>
    <w:rsid w:val="009B347D"/>
    <w:rsid w:val="009B355A"/>
    <w:rsid w:val="009B363E"/>
    <w:rsid w:val="009B3782"/>
    <w:rsid w:val="009B3836"/>
    <w:rsid w:val="009B385B"/>
    <w:rsid w:val="009B396A"/>
    <w:rsid w:val="009B3A33"/>
    <w:rsid w:val="009B3AE5"/>
    <w:rsid w:val="009B3B9B"/>
    <w:rsid w:val="009B3D1B"/>
    <w:rsid w:val="009B3F4E"/>
    <w:rsid w:val="009B3FE8"/>
    <w:rsid w:val="009B43FC"/>
    <w:rsid w:val="009B459E"/>
    <w:rsid w:val="009B4688"/>
    <w:rsid w:val="009B47D3"/>
    <w:rsid w:val="009B4ABD"/>
    <w:rsid w:val="009B5350"/>
    <w:rsid w:val="009B5484"/>
    <w:rsid w:val="009B5A91"/>
    <w:rsid w:val="009B5C15"/>
    <w:rsid w:val="009B5C88"/>
    <w:rsid w:val="009B5E22"/>
    <w:rsid w:val="009B5E99"/>
    <w:rsid w:val="009B6494"/>
    <w:rsid w:val="009B65F2"/>
    <w:rsid w:val="009B6680"/>
    <w:rsid w:val="009B700B"/>
    <w:rsid w:val="009B7066"/>
    <w:rsid w:val="009B73C1"/>
    <w:rsid w:val="009B7643"/>
    <w:rsid w:val="009B76D7"/>
    <w:rsid w:val="009B79AF"/>
    <w:rsid w:val="009B7AAD"/>
    <w:rsid w:val="009B7AF3"/>
    <w:rsid w:val="009B7C49"/>
    <w:rsid w:val="009B7FE9"/>
    <w:rsid w:val="009C006A"/>
    <w:rsid w:val="009C008C"/>
    <w:rsid w:val="009C03B4"/>
    <w:rsid w:val="009C091B"/>
    <w:rsid w:val="009C142E"/>
    <w:rsid w:val="009C156C"/>
    <w:rsid w:val="009C1584"/>
    <w:rsid w:val="009C1697"/>
    <w:rsid w:val="009C17EE"/>
    <w:rsid w:val="009C1A4D"/>
    <w:rsid w:val="009C1A5B"/>
    <w:rsid w:val="009C1A7D"/>
    <w:rsid w:val="009C1C71"/>
    <w:rsid w:val="009C21D5"/>
    <w:rsid w:val="009C243C"/>
    <w:rsid w:val="009C24A7"/>
    <w:rsid w:val="009C26EB"/>
    <w:rsid w:val="009C2A08"/>
    <w:rsid w:val="009C2B90"/>
    <w:rsid w:val="009C2F4C"/>
    <w:rsid w:val="009C33A9"/>
    <w:rsid w:val="009C36D1"/>
    <w:rsid w:val="009C3842"/>
    <w:rsid w:val="009C38D2"/>
    <w:rsid w:val="009C3A1B"/>
    <w:rsid w:val="009C3ED4"/>
    <w:rsid w:val="009C4127"/>
    <w:rsid w:val="009C4432"/>
    <w:rsid w:val="009C449B"/>
    <w:rsid w:val="009C4642"/>
    <w:rsid w:val="009C49D7"/>
    <w:rsid w:val="009C4F1A"/>
    <w:rsid w:val="009C5532"/>
    <w:rsid w:val="009C582D"/>
    <w:rsid w:val="009C583D"/>
    <w:rsid w:val="009C5B4B"/>
    <w:rsid w:val="009C61C8"/>
    <w:rsid w:val="009C66AF"/>
    <w:rsid w:val="009C692B"/>
    <w:rsid w:val="009C6930"/>
    <w:rsid w:val="009C693A"/>
    <w:rsid w:val="009C69C3"/>
    <w:rsid w:val="009C69D5"/>
    <w:rsid w:val="009C6D14"/>
    <w:rsid w:val="009C6DDA"/>
    <w:rsid w:val="009C7508"/>
    <w:rsid w:val="009C75AE"/>
    <w:rsid w:val="009C773E"/>
    <w:rsid w:val="009C7AC7"/>
    <w:rsid w:val="009C7B10"/>
    <w:rsid w:val="009C7CF9"/>
    <w:rsid w:val="009C7E4F"/>
    <w:rsid w:val="009D01F6"/>
    <w:rsid w:val="009D0237"/>
    <w:rsid w:val="009D02D4"/>
    <w:rsid w:val="009D09FB"/>
    <w:rsid w:val="009D0D65"/>
    <w:rsid w:val="009D0D82"/>
    <w:rsid w:val="009D0E01"/>
    <w:rsid w:val="009D114A"/>
    <w:rsid w:val="009D14C4"/>
    <w:rsid w:val="009D1634"/>
    <w:rsid w:val="009D1909"/>
    <w:rsid w:val="009D1A10"/>
    <w:rsid w:val="009D2011"/>
    <w:rsid w:val="009D2185"/>
    <w:rsid w:val="009D21A6"/>
    <w:rsid w:val="009D21F1"/>
    <w:rsid w:val="009D2A99"/>
    <w:rsid w:val="009D2B4B"/>
    <w:rsid w:val="009D2C76"/>
    <w:rsid w:val="009D2E24"/>
    <w:rsid w:val="009D2E40"/>
    <w:rsid w:val="009D2FAC"/>
    <w:rsid w:val="009D352C"/>
    <w:rsid w:val="009D358C"/>
    <w:rsid w:val="009D4094"/>
    <w:rsid w:val="009D4140"/>
    <w:rsid w:val="009D456F"/>
    <w:rsid w:val="009D462F"/>
    <w:rsid w:val="009D479F"/>
    <w:rsid w:val="009D47B5"/>
    <w:rsid w:val="009D484B"/>
    <w:rsid w:val="009D4D5A"/>
    <w:rsid w:val="009D4EA3"/>
    <w:rsid w:val="009D4F11"/>
    <w:rsid w:val="009D4FC8"/>
    <w:rsid w:val="009D503F"/>
    <w:rsid w:val="009D556D"/>
    <w:rsid w:val="009D5740"/>
    <w:rsid w:val="009D584E"/>
    <w:rsid w:val="009D5AA5"/>
    <w:rsid w:val="009D5AD4"/>
    <w:rsid w:val="009D5F1E"/>
    <w:rsid w:val="009D6317"/>
    <w:rsid w:val="009D655F"/>
    <w:rsid w:val="009D6583"/>
    <w:rsid w:val="009D69B2"/>
    <w:rsid w:val="009D69B8"/>
    <w:rsid w:val="009D6B35"/>
    <w:rsid w:val="009D6C0F"/>
    <w:rsid w:val="009D7087"/>
    <w:rsid w:val="009D7328"/>
    <w:rsid w:val="009D7488"/>
    <w:rsid w:val="009D7578"/>
    <w:rsid w:val="009D758E"/>
    <w:rsid w:val="009D7745"/>
    <w:rsid w:val="009D79B1"/>
    <w:rsid w:val="009D79F0"/>
    <w:rsid w:val="009D7A73"/>
    <w:rsid w:val="009D7D06"/>
    <w:rsid w:val="009E00AC"/>
    <w:rsid w:val="009E0109"/>
    <w:rsid w:val="009E0207"/>
    <w:rsid w:val="009E03E1"/>
    <w:rsid w:val="009E0629"/>
    <w:rsid w:val="009E067F"/>
    <w:rsid w:val="009E0AF9"/>
    <w:rsid w:val="009E0B7D"/>
    <w:rsid w:val="009E0C30"/>
    <w:rsid w:val="009E0CEA"/>
    <w:rsid w:val="009E1069"/>
    <w:rsid w:val="009E10D3"/>
    <w:rsid w:val="009E1131"/>
    <w:rsid w:val="009E11B0"/>
    <w:rsid w:val="009E1210"/>
    <w:rsid w:val="009E1271"/>
    <w:rsid w:val="009E1448"/>
    <w:rsid w:val="009E1600"/>
    <w:rsid w:val="009E1C2F"/>
    <w:rsid w:val="009E1F3C"/>
    <w:rsid w:val="009E2011"/>
    <w:rsid w:val="009E23BC"/>
    <w:rsid w:val="009E23EA"/>
    <w:rsid w:val="009E2577"/>
    <w:rsid w:val="009E28F9"/>
    <w:rsid w:val="009E295E"/>
    <w:rsid w:val="009E29C7"/>
    <w:rsid w:val="009E2B80"/>
    <w:rsid w:val="009E2E52"/>
    <w:rsid w:val="009E3151"/>
    <w:rsid w:val="009E336E"/>
    <w:rsid w:val="009E33C1"/>
    <w:rsid w:val="009E341F"/>
    <w:rsid w:val="009E3551"/>
    <w:rsid w:val="009E3A60"/>
    <w:rsid w:val="009E3D9A"/>
    <w:rsid w:val="009E3E52"/>
    <w:rsid w:val="009E4513"/>
    <w:rsid w:val="009E4598"/>
    <w:rsid w:val="009E47C2"/>
    <w:rsid w:val="009E48D8"/>
    <w:rsid w:val="009E4F36"/>
    <w:rsid w:val="009E54E9"/>
    <w:rsid w:val="009E57DA"/>
    <w:rsid w:val="009E5C60"/>
    <w:rsid w:val="009E5CC4"/>
    <w:rsid w:val="009E5D44"/>
    <w:rsid w:val="009E6012"/>
    <w:rsid w:val="009E62CF"/>
    <w:rsid w:val="009E670D"/>
    <w:rsid w:val="009E6850"/>
    <w:rsid w:val="009E6904"/>
    <w:rsid w:val="009E6BEA"/>
    <w:rsid w:val="009E6E1C"/>
    <w:rsid w:val="009E7022"/>
    <w:rsid w:val="009E705E"/>
    <w:rsid w:val="009E74A6"/>
    <w:rsid w:val="009E7599"/>
    <w:rsid w:val="009E77F4"/>
    <w:rsid w:val="009E78AC"/>
    <w:rsid w:val="009E78D1"/>
    <w:rsid w:val="009E79E5"/>
    <w:rsid w:val="009E7A54"/>
    <w:rsid w:val="009F02C9"/>
    <w:rsid w:val="009F0373"/>
    <w:rsid w:val="009F03DB"/>
    <w:rsid w:val="009F0635"/>
    <w:rsid w:val="009F07D3"/>
    <w:rsid w:val="009F0E13"/>
    <w:rsid w:val="009F0E53"/>
    <w:rsid w:val="009F10CC"/>
    <w:rsid w:val="009F11BC"/>
    <w:rsid w:val="009F14BB"/>
    <w:rsid w:val="009F1663"/>
    <w:rsid w:val="009F1960"/>
    <w:rsid w:val="009F1B19"/>
    <w:rsid w:val="009F1B52"/>
    <w:rsid w:val="009F1C32"/>
    <w:rsid w:val="009F1CD1"/>
    <w:rsid w:val="009F1DF1"/>
    <w:rsid w:val="009F1F03"/>
    <w:rsid w:val="009F23EA"/>
    <w:rsid w:val="009F26C9"/>
    <w:rsid w:val="009F2727"/>
    <w:rsid w:val="009F2886"/>
    <w:rsid w:val="009F28E6"/>
    <w:rsid w:val="009F2B3E"/>
    <w:rsid w:val="009F2BA1"/>
    <w:rsid w:val="009F2E0E"/>
    <w:rsid w:val="009F2E6A"/>
    <w:rsid w:val="009F2F83"/>
    <w:rsid w:val="009F3044"/>
    <w:rsid w:val="009F33AF"/>
    <w:rsid w:val="009F376F"/>
    <w:rsid w:val="009F3837"/>
    <w:rsid w:val="009F38B9"/>
    <w:rsid w:val="009F3AA4"/>
    <w:rsid w:val="009F3B55"/>
    <w:rsid w:val="009F3CED"/>
    <w:rsid w:val="009F3E41"/>
    <w:rsid w:val="009F3F36"/>
    <w:rsid w:val="009F42FE"/>
    <w:rsid w:val="009F4773"/>
    <w:rsid w:val="009F4950"/>
    <w:rsid w:val="009F4AED"/>
    <w:rsid w:val="009F5106"/>
    <w:rsid w:val="009F5331"/>
    <w:rsid w:val="009F5569"/>
    <w:rsid w:val="009F55D8"/>
    <w:rsid w:val="009F56CA"/>
    <w:rsid w:val="009F597E"/>
    <w:rsid w:val="009F5A5A"/>
    <w:rsid w:val="009F5C01"/>
    <w:rsid w:val="009F6499"/>
    <w:rsid w:val="009F65E7"/>
    <w:rsid w:val="009F6669"/>
    <w:rsid w:val="009F66D5"/>
    <w:rsid w:val="009F6BBB"/>
    <w:rsid w:val="009F6CAD"/>
    <w:rsid w:val="009F6CD1"/>
    <w:rsid w:val="009F7815"/>
    <w:rsid w:val="009F7B8C"/>
    <w:rsid w:val="009F7C0A"/>
    <w:rsid w:val="009F7F1F"/>
    <w:rsid w:val="00A001C7"/>
    <w:rsid w:val="00A00568"/>
    <w:rsid w:val="00A005D1"/>
    <w:rsid w:val="00A00602"/>
    <w:rsid w:val="00A0092C"/>
    <w:rsid w:val="00A00F26"/>
    <w:rsid w:val="00A01025"/>
    <w:rsid w:val="00A0106B"/>
    <w:rsid w:val="00A0115C"/>
    <w:rsid w:val="00A0125C"/>
    <w:rsid w:val="00A015E1"/>
    <w:rsid w:val="00A01B36"/>
    <w:rsid w:val="00A01C1B"/>
    <w:rsid w:val="00A01C54"/>
    <w:rsid w:val="00A022A2"/>
    <w:rsid w:val="00A029A0"/>
    <w:rsid w:val="00A029E6"/>
    <w:rsid w:val="00A02E69"/>
    <w:rsid w:val="00A02F35"/>
    <w:rsid w:val="00A02F9F"/>
    <w:rsid w:val="00A033D3"/>
    <w:rsid w:val="00A03449"/>
    <w:rsid w:val="00A034DC"/>
    <w:rsid w:val="00A03519"/>
    <w:rsid w:val="00A0365F"/>
    <w:rsid w:val="00A0369F"/>
    <w:rsid w:val="00A03964"/>
    <w:rsid w:val="00A03B31"/>
    <w:rsid w:val="00A03D96"/>
    <w:rsid w:val="00A03EE3"/>
    <w:rsid w:val="00A03FDD"/>
    <w:rsid w:val="00A0402B"/>
    <w:rsid w:val="00A04094"/>
    <w:rsid w:val="00A04106"/>
    <w:rsid w:val="00A04147"/>
    <w:rsid w:val="00A04154"/>
    <w:rsid w:val="00A0431E"/>
    <w:rsid w:val="00A04479"/>
    <w:rsid w:val="00A044D3"/>
    <w:rsid w:val="00A04637"/>
    <w:rsid w:val="00A04693"/>
    <w:rsid w:val="00A04795"/>
    <w:rsid w:val="00A047D5"/>
    <w:rsid w:val="00A0500B"/>
    <w:rsid w:val="00A050BE"/>
    <w:rsid w:val="00A05130"/>
    <w:rsid w:val="00A0518A"/>
    <w:rsid w:val="00A0547F"/>
    <w:rsid w:val="00A05532"/>
    <w:rsid w:val="00A05771"/>
    <w:rsid w:val="00A057E2"/>
    <w:rsid w:val="00A06238"/>
    <w:rsid w:val="00A06371"/>
    <w:rsid w:val="00A0678F"/>
    <w:rsid w:val="00A067A9"/>
    <w:rsid w:val="00A0695B"/>
    <w:rsid w:val="00A06D87"/>
    <w:rsid w:val="00A06DEE"/>
    <w:rsid w:val="00A06FD5"/>
    <w:rsid w:val="00A070B9"/>
    <w:rsid w:val="00A07253"/>
    <w:rsid w:val="00A073B7"/>
    <w:rsid w:val="00A0745B"/>
    <w:rsid w:val="00A07B81"/>
    <w:rsid w:val="00A07EA6"/>
    <w:rsid w:val="00A07FA5"/>
    <w:rsid w:val="00A10132"/>
    <w:rsid w:val="00A101E4"/>
    <w:rsid w:val="00A10673"/>
    <w:rsid w:val="00A1072A"/>
    <w:rsid w:val="00A109EA"/>
    <w:rsid w:val="00A112DB"/>
    <w:rsid w:val="00A11490"/>
    <w:rsid w:val="00A115FA"/>
    <w:rsid w:val="00A118C2"/>
    <w:rsid w:val="00A11922"/>
    <w:rsid w:val="00A11A83"/>
    <w:rsid w:val="00A11DE2"/>
    <w:rsid w:val="00A11E6C"/>
    <w:rsid w:val="00A11E9F"/>
    <w:rsid w:val="00A1242F"/>
    <w:rsid w:val="00A1250D"/>
    <w:rsid w:val="00A12546"/>
    <w:rsid w:val="00A12A12"/>
    <w:rsid w:val="00A12A31"/>
    <w:rsid w:val="00A12AA2"/>
    <w:rsid w:val="00A12D28"/>
    <w:rsid w:val="00A1304D"/>
    <w:rsid w:val="00A13219"/>
    <w:rsid w:val="00A135BF"/>
    <w:rsid w:val="00A13764"/>
    <w:rsid w:val="00A139F9"/>
    <w:rsid w:val="00A13E0F"/>
    <w:rsid w:val="00A14403"/>
    <w:rsid w:val="00A14499"/>
    <w:rsid w:val="00A147AB"/>
    <w:rsid w:val="00A14867"/>
    <w:rsid w:val="00A148AA"/>
    <w:rsid w:val="00A14BB1"/>
    <w:rsid w:val="00A14C1D"/>
    <w:rsid w:val="00A14EDD"/>
    <w:rsid w:val="00A14F75"/>
    <w:rsid w:val="00A15389"/>
    <w:rsid w:val="00A15542"/>
    <w:rsid w:val="00A15910"/>
    <w:rsid w:val="00A15B21"/>
    <w:rsid w:val="00A15B96"/>
    <w:rsid w:val="00A15DCE"/>
    <w:rsid w:val="00A16016"/>
    <w:rsid w:val="00A1627A"/>
    <w:rsid w:val="00A16543"/>
    <w:rsid w:val="00A1659F"/>
    <w:rsid w:val="00A16610"/>
    <w:rsid w:val="00A168D4"/>
    <w:rsid w:val="00A169B5"/>
    <w:rsid w:val="00A16A5A"/>
    <w:rsid w:val="00A16DC9"/>
    <w:rsid w:val="00A16DD4"/>
    <w:rsid w:val="00A170BF"/>
    <w:rsid w:val="00A17107"/>
    <w:rsid w:val="00A17420"/>
    <w:rsid w:val="00A17438"/>
    <w:rsid w:val="00A17561"/>
    <w:rsid w:val="00A176FE"/>
    <w:rsid w:val="00A178E7"/>
    <w:rsid w:val="00A17A10"/>
    <w:rsid w:val="00A17B8E"/>
    <w:rsid w:val="00A17B92"/>
    <w:rsid w:val="00A201AE"/>
    <w:rsid w:val="00A203BA"/>
    <w:rsid w:val="00A20469"/>
    <w:rsid w:val="00A2056A"/>
    <w:rsid w:val="00A20936"/>
    <w:rsid w:val="00A20C88"/>
    <w:rsid w:val="00A20F3C"/>
    <w:rsid w:val="00A21183"/>
    <w:rsid w:val="00A211C8"/>
    <w:rsid w:val="00A21302"/>
    <w:rsid w:val="00A2159E"/>
    <w:rsid w:val="00A21601"/>
    <w:rsid w:val="00A21A13"/>
    <w:rsid w:val="00A21A38"/>
    <w:rsid w:val="00A21B4E"/>
    <w:rsid w:val="00A21BDC"/>
    <w:rsid w:val="00A21E40"/>
    <w:rsid w:val="00A22196"/>
    <w:rsid w:val="00A223F8"/>
    <w:rsid w:val="00A22420"/>
    <w:rsid w:val="00A22510"/>
    <w:rsid w:val="00A225FB"/>
    <w:rsid w:val="00A227CC"/>
    <w:rsid w:val="00A228B8"/>
    <w:rsid w:val="00A229A2"/>
    <w:rsid w:val="00A22ADF"/>
    <w:rsid w:val="00A22BEB"/>
    <w:rsid w:val="00A22E3B"/>
    <w:rsid w:val="00A22FFF"/>
    <w:rsid w:val="00A2306A"/>
    <w:rsid w:val="00A230AE"/>
    <w:rsid w:val="00A231C3"/>
    <w:rsid w:val="00A23556"/>
    <w:rsid w:val="00A23579"/>
    <w:rsid w:val="00A237E1"/>
    <w:rsid w:val="00A23D7D"/>
    <w:rsid w:val="00A245B4"/>
    <w:rsid w:val="00A24D21"/>
    <w:rsid w:val="00A24F1D"/>
    <w:rsid w:val="00A2552F"/>
    <w:rsid w:val="00A255D2"/>
    <w:rsid w:val="00A25710"/>
    <w:rsid w:val="00A258D0"/>
    <w:rsid w:val="00A25BCC"/>
    <w:rsid w:val="00A25C0F"/>
    <w:rsid w:val="00A25E99"/>
    <w:rsid w:val="00A260CE"/>
    <w:rsid w:val="00A26239"/>
    <w:rsid w:val="00A263EF"/>
    <w:rsid w:val="00A26885"/>
    <w:rsid w:val="00A26924"/>
    <w:rsid w:val="00A26C59"/>
    <w:rsid w:val="00A26D3D"/>
    <w:rsid w:val="00A26DEC"/>
    <w:rsid w:val="00A27040"/>
    <w:rsid w:val="00A27097"/>
    <w:rsid w:val="00A27307"/>
    <w:rsid w:val="00A274B3"/>
    <w:rsid w:val="00A275B4"/>
    <w:rsid w:val="00A27661"/>
    <w:rsid w:val="00A276EE"/>
    <w:rsid w:val="00A27703"/>
    <w:rsid w:val="00A27744"/>
    <w:rsid w:val="00A279C1"/>
    <w:rsid w:val="00A27AE9"/>
    <w:rsid w:val="00A27C17"/>
    <w:rsid w:val="00A3011E"/>
    <w:rsid w:val="00A3033D"/>
    <w:rsid w:val="00A3037E"/>
    <w:rsid w:val="00A303AF"/>
    <w:rsid w:val="00A30471"/>
    <w:rsid w:val="00A30AB3"/>
    <w:rsid w:val="00A30D27"/>
    <w:rsid w:val="00A30F02"/>
    <w:rsid w:val="00A31915"/>
    <w:rsid w:val="00A31B37"/>
    <w:rsid w:val="00A324D5"/>
    <w:rsid w:val="00A32AA7"/>
    <w:rsid w:val="00A32BB1"/>
    <w:rsid w:val="00A32CE2"/>
    <w:rsid w:val="00A32EFB"/>
    <w:rsid w:val="00A331FF"/>
    <w:rsid w:val="00A3320E"/>
    <w:rsid w:val="00A332FB"/>
    <w:rsid w:val="00A33A96"/>
    <w:rsid w:val="00A33A97"/>
    <w:rsid w:val="00A33DC6"/>
    <w:rsid w:val="00A33EBC"/>
    <w:rsid w:val="00A34085"/>
    <w:rsid w:val="00A346E2"/>
    <w:rsid w:val="00A346FF"/>
    <w:rsid w:val="00A34C37"/>
    <w:rsid w:val="00A3501D"/>
    <w:rsid w:val="00A3556A"/>
    <w:rsid w:val="00A356B5"/>
    <w:rsid w:val="00A357F1"/>
    <w:rsid w:val="00A35A0E"/>
    <w:rsid w:val="00A35B15"/>
    <w:rsid w:val="00A35BF0"/>
    <w:rsid w:val="00A35CBD"/>
    <w:rsid w:val="00A35CF1"/>
    <w:rsid w:val="00A35D9B"/>
    <w:rsid w:val="00A35E25"/>
    <w:rsid w:val="00A35F21"/>
    <w:rsid w:val="00A36475"/>
    <w:rsid w:val="00A36602"/>
    <w:rsid w:val="00A3660C"/>
    <w:rsid w:val="00A36622"/>
    <w:rsid w:val="00A36711"/>
    <w:rsid w:val="00A368BB"/>
    <w:rsid w:val="00A36B72"/>
    <w:rsid w:val="00A36F98"/>
    <w:rsid w:val="00A370E4"/>
    <w:rsid w:val="00A37235"/>
    <w:rsid w:val="00A37A15"/>
    <w:rsid w:val="00A37B6E"/>
    <w:rsid w:val="00A37CF1"/>
    <w:rsid w:val="00A37EE5"/>
    <w:rsid w:val="00A37F04"/>
    <w:rsid w:val="00A37F41"/>
    <w:rsid w:val="00A40095"/>
    <w:rsid w:val="00A401E2"/>
    <w:rsid w:val="00A4025B"/>
    <w:rsid w:val="00A40271"/>
    <w:rsid w:val="00A4042A"/>
    <w:rsid w:val="00A404D6"/>
    <w:rsid w:val="00A40542"/>
    <w:rsid w:val="00A40940"/>
    <w:rsid w:val="00A409F1"/>
    <w:rsid w:val="00A40CD4"/>
    <w:rsid w:val="00A40D16"/>
    <w:rsid w:val="00A4136B"/>
    <w:rsid w:val="00A4139E"/>
    <w:rsid w:val="00A41607"/>
    <w:rsid w:val="00A418A0"/>
    <w:rsid w:val="00A41B17"/>
    <w:rsid w:val="00A41B8A"/>
    <w:rsid w:val="00A41C8C"/>
    <w:rsid w:val="00A41CA3"/>
    <w:rsid w:val="00A41D76"/>
    <w:rsid w:val="00A41EE2"/>
    <w:rsid w:val="00A41F22"/>
    <w:rsid w:val="00A42156"/>
    <w:rsid w:val="00A4222A"/>
    <w:rsid w:val="00A423B9"/>
    <w:rsid w:val="00A4248C"/>
    <w:rsid w:val="00A42E16"/>
    <w:rsid w:val="00A42E9E"/>
    <w:rsid w:val="00A42F25"/>
    <w:rsid w:val="00A43001"/>
    <w:rsid w:val="00A4336D"/>
    <w:rsid w:val="00A43AED"/>
    <w:rsid w:val="00A43D53"/>
    <w:rsid w:val="00A43E72"/>
    <w:rsid w:val="00A440BF"/>
    <w:rsid w:val="00A444BF"/>
    <w:rsid w:val="00A445CC"/>
    <w:rsid w:val="00A4464E"/>
    <w:rsid w:val="00A4476F"/>
    <w:rsid w:val="00A44912"/>
    <w:rsid w:val="00A44AB6"/>
    <w:rsid w:val="00A452FD"/>
    <w:rsid w:val="00A45367"/>
    <w:rsid w:val="00A453B7"/>
    <w:rsid w:val="00A453CC"/>
    <w:rsid w:val="00A45FAB"/>
    <w:rsid w:val="00A461DD"/>
    <w:rsid w:val="00A4666F"/>
    <w:rsid w:val="00A46B1A"/>
    <w:rsid w:val="00A46F2C"/>
    <w:rsid w:val="00A47734"/>
    <w:rsid w:val="00A47B22"/>
    <w:rsid w:val="00A47B8D"/>
    <w:rsid w:val="00A47C9A"/>
    <w:rsid w:val="00A47DF5"/>
    <w:rsid w:val="00A500E3"/>
    <w:rsid w:val="00A50A55"/>
    <w:rsid w:val="00A51012"/>
    <w:rsid w:val="00A510F1"/>
    <w:rsid w:val="00A512DE"/>
    <w:rsid w:val="00A5139E"/>
    <w:rsid w:val="00A516BB"/>
    <w:rsid w:val="00A518F0"/>
    <w:rsid w:val="00A519DA"/>
    <w:rsid w:val="00A51ABD"/>
    <w:rsid w:val="00A51F8F"/>
    <w:rsid w:val="00A52049"/>
    <w:rsid w:val="00A52464"/>
    <w:rsid w:val="00A5285C"/>
    <w:rsid w:val="00A52BC4"/>
    <w:rsid w:val="00A52D6B"/>
    <w:rsid w:val="00A52E78"/>
    <w:rsid w:val="00A52E79"/>
    <w:rsid w:val="00A52E81"/>
    <w:rsid w:val="00A52FAC"/>
    <w:rsid w:val="00A52FDF"/>
    <w:rsid w:val="00A52FE8"/>
    <w:rsid w:val="00A5306E"/>
    <w:rsid w:val="00A53310"/>
    <w:rsid w:val="00A533FF"/>
    <w:rsid w:val="00A5348E"/>
    <w:rsid w:val="00A53505"/>
    <w:rsid w:val="00A5361C"/>
    <w:rsid w:val="00A5364E"/>
    <w:rsid w:val="00A53711"/>
    <w:rsid w:val="00A53725"/>
    <w:rsid w:val="00A53BBE"/>
    <w:rsid w:val="00A53E58"/>
    <w:rsid w:val="00A5420C"/>
    <w:rsid w:val="00A5429E"/>
    <w:rsid w:val="00A54695"/>
    <w:rsid w:val="00A5470D"/>
    <w:rsid w:val="00A548AA"/>
    <w:rsid w:val="00A54AA1"/>
    <w:rsid w:val="00A54DA1"/>
    <w:rsid w:val="00A54E1A"/>
    <w:rsid w:val="00A54E7C"/>
    <w:rsid w:val="00A54F93"/>
    <w:rsid w:val="00A554FB"/>
    <w:rsid w:val="00A554FE"/>
    <w:rsid w:val="00A5562F"/>
    <w:rsid w:val="00A55710"/>
    <w:rsid w:val="00A55CBD"/>
    <w:rsid w:val="00A55CD2"/>
    <w:rsid w:val="00A55EF2"/>
    <w:rsid w:val="00A5617F"/>
    <w:rsid w:val="00A561C6"/>
    <w:rsid w:val="00A56287"/>
    <w:rsid w:val="00A565EE"/>
    <w:rsid w:val="00A56879"/>
    <w:rsid w:val="00A56B61"/>
    <w:rsid w:val="00A56BDD"/>
    <w:rsid w:val="00A56C0E"/>
    <w:rsid w:val="00A56D56"/>
    <w:rsid w:val="00A56DD6"/>
    <w:rsid w:val="00A56FD8"/>
    <w:rsid w:val="00A573E8"/>
    <w:rsid w:val="00A575C8"/>
    <w:rsid w:val="00A576BA"/>
    <w:rsid w:val="00A576E2"/>
    <w:rsid w:val="00A57712"/>
    <w:rsid w:val="00A57846"/>
    <w:rsid w:val="00A60228"/>
    <w:rsid w:val="00A6034B"/>
    <w:rsid w:val="00A60612"/>
    <w:rsid w:val="00A60684"/>
    <w:rsid w:val="00A60A1E"/>
    <w:rsid w:val="00A60C6A"/>
    <w:rsid w:val="00A60D7C"/>
    <w:rsid w:val="00A60FCC"/>
    <w:rsid w:val="00A6137C"/>
    <w:rsid w:val="00A613DB"/>
    <w:rsid w:val="00A6185D"/>
    <w:rsid w:val="00A619B3"/>
    <w:rsid w:val="00A61B24"/>
    <w:rsid w:val="00A61D9F"/>
    <w:rsid w:val="00A61FD2"/>
    <w:rsid w:val="00A6203C"/>
    <w:rsid w:val="00A62329"/>
    <w:rsid w:val="00A62493"/>
    <w:rsid w:val="00A625F8"/>
    <w:rsid w:val="00A62965"/>
    <w:rsid w:val="00A62B72"/>
    <w:rsid w:val="00A62E3F"/>
    <w:rsid w:val="00A63105"/>
    <w:rsid w:val="00A63149"/>
    <w:rsid w:val="00A631E9"/>
    <w:rsid w:val="00A63801"/>
    <w:rsid w:val="00A63991"/>
    <w:rsid w:val="00A63C6E"/>
    <w:rsid w:val="00A63D75"/>
    <w:rsid w:val="00A63DCA"/>
    <w:rsid w:val="00A63F73"/>
    <w:rsid w:val="00A64161"/>
    <w:rsid w:val="00A64350"/>
    <w:rsid w:val="00A644B8"/>
    <w:rsid w:val="00A644BA"/>
    <w:rsid w:val="00A6453D"/>
    <w:rsid w:val="00A646D9"/>
    <w:rsid w:val="00A646E7"/>
    <w:rsid w:val="00A647A6"/>
    <w:rsid w:val="00A6485C"/>
    <w:rsid w:val="00A64C13"/>
    <w:rsid w:val="00A65806"/>
    <w:rsid w:val="00A65A06"/>
    <w:rsid w:val="00A65BF3"/>
    <w:rsid w:val="00A65C38"/>
    <w:rsid w:val="00A65C6C"/>
    <w:rsid w:val="00A65D29"/>
    <w:rsid w:val="00A65FAA"/>
    <w:rsid w:val="00A66785"/>
    <w:rsid w:val="00A667CF"/>
    <w:rsid w:val="00A667FC"/>
    <w:rsid w:val="00A66A3E"/>
    <w:rsid w:val="00A66CFA"/>
    <w:rsid w:val="00A66D82"/>
    <w:rsid w:val="00A6701D"/>
    <w:rsid w:val="00A672D2"/>
    <w:rsid w:val="00A67569"/>
    <w:rsid w:val="00A67733"/>
    <w:rsid w:val="00A679D1"/>
    <w:rsid w:val="00A67B31"/>
    <w:rsid w:val="00A67B9D"/>
    <w:rsid w:val="00A67BFE"/>
    <w:rsid w:val="00A70730"/>
    <w:rsid w:val="00A708FC"/>
    <w:rsid w:val="00A70BD8"/>
    <w:rsid w:val="00A70BF8"/>
    <w:rsid w:val="00A70D2D"/>
    <w:rsid w:val="00A70FB6"/>
    <w:rsid w:val="00A70FB8"/>
    <w:rsid w:val="00A711AC"/>
    <w:rsid w:val="00A71557"/>
    <w:rsid w:val="00A71564"/>
    <w:rsid w:val="00A716A0"/>
    <w:rsid w:val="00A71E66"/>
    <w:rsid w:val="00A720A5"/>
    <w:rsid w:val="00A72636"/>
    <w:rsid w:val="00A72E14"/>
    <w:rsid w:val="00A72E30"/>
    <w:rsid w:val="00A72E9F"/>
    <w:rsid w:val="00A72F2C"/>
    <w:rsid w:val="00A73292"/>
    <w:rsid w:val="00A732A2"/>
    <w:rsid w:val="00A733BB"/>
    <w:rsid w:val="00A7389E"/>
    <w:rsid w:val="00A738E6"/>
    <w:rsid w:val="00A73FCA"/>
    <w:rsid w:val="00A740A2"/>
    <w:rsid w:val="00A742B9"/>
    <w:rsid w:val="00A743CB"/>
    <w:rsid w:val="00A74411"/>
    <w:rsid w:val="00A74506"/>
    <w:rsid w:val="00A74630"/>
    <w:rsid w:val="00A746EC"/>
    <w:rsid w:val="00A747F9"/>
    <w:rsid w:val="00A74A25"/>
    <w:rsid w:val="00A74D49"/>
    <w:rsid w:val="00A74F29"/>
    <w:rsid w:val="00A75071"/>
    <w:rsid w:val="00A75148"/>
    <w:rsid w:val="00A7540C"/>
    <w:rsid w:val="00A7551F"/>
    <w:rsid w:val="00A757D6"/>
    <w:rsid w:val="00A75BD0"/>
    <w:rsid w:val="00A75F6A"/>
    <w:rsid w:val="00A763B1"/>
    <w:rsid w:val="00A7648D"/>
    <w:rsid w:val="00A765DA"/>
    <w:rsid w:val="00A77270"/>
    <w:rsid w:val="00A7775F"/>
    <w:rsid w:val="00A77CC7"/>
    <w:rsid w:val="00A77FE1"/>
    <w:rsid w:val="00A8009A"/>
    <w:rsid w:val="00A80155"/>
    <w:rsid w:val="00A807E5"/>
    <w:rsid w:val="00A8097B"/>
    <w:rsid w:val="00A80A9E"/>
    <w:rsid w:val="00A80C3E"/>
    <w:rsid w:val="00A80DE6"/>
    <w:rsid w:val="00A810C3"/>
    <w:rsid w:val="00A8115D"/>
    <w:rsid w:val="00A813AD"/>
    <w:rsid w:val="00A81816"/>
    <w:rsid w:val="00A81B40"/>
    <w:rsid w:val="00A81C6A"/>
    <w:rsid w:val="00A81D5E"/>
    <w:rsid w:val="00A81DCC"/>
    <w:rsid w:val="00A81E62"/>
    <w:rsid w:val="00A82002"/>
    <w:rsid w:val="00A8201F"/>
    <w:rsid w:val="00A8209B"/>
    <w:rsid w:val="00A82227"/>
    <w:rsid w:val="00A823BE"/>
    <w:rsid w:val="00A82462"/>
    <w:rsid w:val="00A829A9"/>
    <w:rsid w:val="00A82A65"/>
    <w:rsid w:val="00A82CD4"/>
    <w:rsid w:val="00A82D0F"/>
    <w:rsid w:val="00A82EB7"/>
    <w:rsid w:val="00A82FAB"/>
    <w:rsid w:val="00A830C9"/>
    <w:rsid w:val="00A83349"/>
    <w:rsid w:val="00A8375F"/>
    <w:rsid w:val="00A83AB9"/>
    <w:rsid w:val="00A83B85"/>
    <w:rsid w:val="00A83E75"/>
    <w:rsid w:val="00A842FE"/>
    <w:rsid w:val="00A8495E"/>
    <w:rsid w:val="00A84A06"/>
    <w:rsid w:val="00A84B61"/>
    <w:rsid w:val="00A84CF9"/>
    <w:rsid w:val="00A84D76"/>
    <w:rsid w:val="00A84DC7"/>
    <w:rsid w:val="00A84ECA"/>
    <w:rsid w:val="00A8501B"/>
    <w:rsid w:val="00A85309"/>
    <w:rsid w:val="00A857ED"/>
    <w:rsid w:val="00A85DA8"/>
    <w:rsid w:val="00A85DBC"/>
    <w:rsid w:val="00A865CB"/>
    <w:rsid w:val="00A86891"/>
    <w:rsid w:val="00A86B69"/>
    <w:rsid w:val="00A86B93"/>
    <w:rsid w:val="00A86C55"/>
    <w:rsid w:val="00A86CE2"/>
    <w:rsid w:val="00A86E49"/>
    <w:rsid w:val="00A87131"/>
    <w:rsid w:val="00A87221"/>
    <w:rsid w:val="00A875B2"/>
    <w:rsid w:val="00A87A2D"/>
    <w:rsid w:val="00A87A2F"/>
    <w:rsid w:val="00A87D89"/>
    <w:rsid w:val="00A90424"/>
    <w:rsid w:val="00A9059B"/>
    <w:rsid w:val="00A90628"/>
    <w:rsid w:val="00A90780"/>
    <w:rsid w:val="00A90C81"/>
    <w:rsid w:val="00A90C82"/>
    <w:rsid w:val="00A91238"/>
    <w:rsid w:val="00A9130C"/>
    <w:rsid w:val="00A91577"/>
    <w:rsid w:val="00A91E80"/>
    <w:rsid w:val="00A92058"/>
    <w:rsid w:val="00A9209B"/>
    <w:rsid w:val="00A925CD"/>
    <w:rsid w:val="00A92659"/>
    <w:rsid w:val="00A926C4"/>
    <w:rsid w:val="00A92766"/>
    <w:rsid w:val="00A92A50"/>
    <w:rsid w:val="00A92E4F"/>
    <w:rsid w:val="00A92E77"/>
    <w:rsid w:val="00A9328B"/>
    <w:rsid w:val="00A93380"/>
    <w:rsid w:val="00A9345A"/>
    <w:rsid w:val="00A9347F"/>
    <w:rsid w:val="00A935D7"/>
    <w:rsid w:val="00A93C8A"/>
    <w:rsid w:val="00A93E69"/>
    <w:rsid w:val="00A940A4"/>
    <w:rsid w:val="00A9434E"/>
    <w:rsid w:val="00A9454E"/>
    <w:rsid w:val="00A945A9"/>
    <w:rsid w:val="00A94619"/>
    <w:rsid w:val="00A94624"/>
    <w:rsid w:val="00A9490B"/>
    <w:rsid w:val="00A949B0"/>
    <w:rsid w:val="00A94C2C"/>
    <w:rsid w:val="00A95349"/>
    <w:rsid w:val="00A95536"/>
    <w:rsid w:val="00A9557D"/>
    <w:rsid w:val="00A955C9"/>
    <w:rsid w:val="00A956CE"/>
    <w:rsid w:val="00A95716"/>
    <w:rsid w:val="00A95A77"/>
    <w:rsid w:val="00A963EC"/>
    <w:rsid w:val="00A96652"/>
    <w:rsid w:val="00A96655"/>
    <w:rsid w:val="00A966A9"/>
    <w:rsid w:val="00A96702"/>
    <w:rsid w:val="00A96A8E"/>
    <w:rsid w:val="00A96BAC"/>
    <w:rsid w:val="00A96CBD"/>
    <w:rsid w:val="00A96EF0"/>
    <w:rsid w:val="00A96EFD"/>
    <w:rsid w:val="00A97615"/>
    <w:rsid w:val="00A9764B"/>
    <w:rsid w:val="00A97CC6"/>
    <w:rsid w:val="00A97FBC"/>
    <w:rsid w:val="00A97FF2"/>
    <w:rsid w:val="00AA0377"/>
    <w:rsid w:val="00AA0737"/>
    <w:rsid w:val="00AA0AB7"/>
    <w:rsid w:val="00AA0BC1"/>
    <w:rsid w:val="00AA0C19"/>
    <w:rsid w:val="00AA0CD0"/>
    <w:rsid w:val="00AA0FF8"/>
    <w:rsid w:val="00AA11D4"/>
    <w:rsid w:val="00AA149D"/>
    <w:rsid w:val="00AA14A1"/>
    <w:rsid w:val="00AA14D5"/>
    <w:rsid w:val="00AA1EEB"/>
    <w:rsid w:val="00AA1F1E"/>
    <w:rsid w:val="00AA2015"/>
    <w:rsid w:val="00AA224B"/>
    <w:rsid w:val="00AA23E1"/>
    <w:rsid w:val="00AA24CA"/>
    <w:rsid w:val="00AA2712"/>
    <w:rsid w:val="00AA2CA8"/>
    <w:rsid w:val="00AA2CF9"/>
    <w:rsid w:val="00AA2EAC"/>
    <w:rsid w:val="00AA3150"/>
    <w:rsid w:val="00AA3482"/>
    <w:rsid w:val="00AA36F6"/>
    <w:rsid w:val="00AA3BE2"/>
    <w:rsid w:val="00AA3C41"/>
    <w:rsid w:val="00AA3CE7"/>
    <w:rsid w:val="00AA3D7D"/>
    <w:rsid w:val="00AA3DED"/>
    <w:rsid w:val="00AA40D5"/>
    <w:rsid w:val="00AA436D"/>
    <w:rsid w:val="00AA491C"/>
    <w:rsid w:val="00AA5053"/>
    <w:rsid w:val="00AA51CC"/>
    <w:rsid w:val="00AA51E6"/>
    <w:rsid w:val="00AA569B"/>
    <w:rsid w:val="00AA5B8A"/>
    <w:rsid w:val="00AA5C0D"/>
    <w:rsid w:val="00AA5EFD"/>
    <w:rsid w:val="00AA5F45"/>
    <w:rsid w:val="00AA5FD2"/>
    <w:rsid w:val="00AA6068"/>
    <w:rsid w:val="00AA61C6"/>
    <w:rsid w:val="00AA688B"/>
    <w:rsid w:val="00AA6978"/>
    <w:rsid w:val="00AA69C3"/>
    <w:rsid w:val="00AA6AA9"/>
    <w:rsid w:val="00AA6C3B"/>
    <w:rsid w:val="00AA6FFA"/>
    <w:rsid w:val="00AA75D4"/>
    <w:rsid w:val="00AA75D8"/>
    <w:rsid w:val="00AA78B0"/>
    <w:rsid w:val="00AA7D12"/>
    <w:rsid w:val="00AA7EAF"/>
    <w:rsid w:val="00AA7F06"/>
    <w:rsid w:val="00AA7FFB"/>
    <w:rsid w:val="00AB0087"/>
    <w:rsid w:val="00AB00AF"/>
    <w:rsid w:val="00AB0447"/>
    <w:rsid w:val="00AB045F"/>
    <w:rsid w:val="00AB0569"/>
    <w:rsid w:val="00AB07C2"/>
    <w:rsid w:val="00AB0805"/>
    <w:rsid w:val="00AB0ABD"/>
    <w:rsid w:val="00AB0F47"/>
    <w:rsid w:val="00AB0F4E"/>
    <w:rsid w:val="00AB1242"/>
    <w:rsid w:val="00AB1838"/>
    <w:rsid w:val="00AB19CB"/>
    <w:rsid w:val="00AB1A5B"/>
    <w:rsid w:val="00AB1A93"/>
    <w:rsid w:val="00AB1BD9"/>
    <w:rsid w:val="00AB1BF8"/>
    <w:rsid w:val="00AB204F"/>
    <w:rsid w:val="00AB209B"/>
    <w:rsid w:val="00AB213C"/>
    <w:rsid w:val="00AB2180"/>
    <w:rsid w:val="00AB22C7"/>
    <w:rsid w:val="00AB22FC"/>
    <w:rsid w:val="00AB2553"/>
    <w:rsid w:val="00AB2774"/>
    <w:rsid w:val="00AB27DE"/>
    <w:rsid w:val="00AB280A"/>
    <w:rsid w:val="00AB2AEB"/>
    <w:rsid w:val="00AB2D33"/>
    <w:rsid w:val="00AB3106"/>
    <w:rsid w:val="00AB3BB5"/>
    <w:rsid w:val="00AB3C53"/>
    <w:rsid w:val="00AB3D1D"/>
    <w:rsid w:val="00AB3D41"/>
    <w:rsid w:val="00AB3DD7"/>
    <w:rsid w:val="00AB3F67"/>
    <w:rsid w:val="00AB42E7"/>
    <w:rsid w:val="00AB4625"/>
    <w:rsid w:val="00AB4640"/>
    <w:rsid w:val="00AB4940"/>
    <w:rsid w:val="00AB4D75"/>
    <w:rsid w:val="00AB4E94"/>
    <w:rsid w:val="00AB51A1"/>
    <w:rsid w:val="00AB52A9"/>
    <w:rsid w:val="00AB56C6"/>
    <w:rsid w:val="00AB599E"/>
    <w:rsid w:val="00AB59D0"/>
    <w:rsid w:val="00AB5A2E"/>
    <w:rsid w:val="00AB5AB6"/>
    <w:rsid w:val="00AB5B63"/>
    <w:rsid w:val="00AB646A"/>
    <w:rsid w:val="00AB6574"/>
    <w:rsid w:val="00AB65DA"/>
    <w:rsid w:val="00AB6635"/>
    <w:rsid w:val="00AB6C03"/>
    <w:rsid w:val="00AB6E04"/>
    <w:rsid w:val="00AB70C1"/>
    <w:rsid w:val="00AB7271"/>
    <w:rsid w:val="00AB73C8"/>
    <w:rsid w:val="00AB7541"/>
    <w:rsid w:val="00AB75D6"/>
    <w:rsid w:val="00AB77E6"/>
    <w:rsid w:val="00AB7DDE"/>
    <w:rsid w:val="00AB7EEA"/>
    <w:rsid w:val="00AB7F4F"/>
    <w:rsid w:val="00AC02CD"/>
    <w:rsid w:val="00AC03C6"/>
    <w:rsid w:val="00AC0459"/>
    <w:rsid w:val="00AC05C7"/>
    <w:rsid w:val="00AC07B9"/>
    <w:rsid w:val="00AC07D4"/>
    <w:rsid w:val="00AC087C"/>
    <w:rsid w:val="00AC0928"/>
    <w:rsid w:val="00AC0B3F"/>
    <w:rsid w:val="00AC0BDC"/>
    <w:rsid w:val="00AC0CCB"/>
    <w:rsid w:val="00AC0E34"/>
    <w:rsid w:val="00AC0FE7"/>
    <w:rsid w:val="00AC12BA"/>
    <w:rsid w:val="00AC12F5"/>
    <w:rsid w:val="00AC13AD"/>
    <w:rsid w:val="00AC172D"/>
    <w:rsid w:val="00AC1CC0"/>
    <w:rsid w:val="00AC2094"/>
    <w:rsid w:val="00AC2127"/>
    <w:rsid w:val="00AC24F0"/>
    <w:rsid w:val="00AC2899"/>
    <w:rsid w:val="00AC296E"/>
    <w:rsid w:val="00AC2CA1"/>
    <w:rsid w:val="00AC2D1C"/>
    <w:rsid w:val="00AC3090"/>
    <w:rsid w:val="00AC321F"/>
    <w:rsid w:val="00AC3530"/>
    <w:rsid w:val="00AC35E9"/>
    <w:rsid w:val="00AC363A"/>
    <w:rsid w:val="00AC3AEB"/>
    <w:rsid w:val="00AC3B83"/>
    <w:rsid w:val="00AC3E86"/>
    <w:rsid w:val="00AC3F28"/>
    <w:rsid w:val="00AC3F61"/>
    <w:rsid w:val="00AC4066"/>
    <w:rsid w:val="00AC410D"/>
    <w:rsid w:val="00AC4380"/>
    <w:rsid w:val="00AC4E06"/>
    <w:rsid w:val="00AC4F77"/>
    <w:rsid w:val="00AC549E"/>
    <w:rsid w:val="00AC5805"/>
    <w:rsid w:val="00AC5900"/>
    <w:rsid w:val="00AC5DAD"/>
    <w:rsid w:val="00AC5ED5"/>
    <w:rsid w:val="00AC6240"/>
    <w:rsid w:val="00AC65FD"/>
    <w:rsid w:val="00AC69AF"/>
    <w:rsid w:val="00AC70D9"/>
    <w:rsid w:val="00AC7189"/>
    <w:rsid w:val="00AC71F6"/>
    <w:rsid w:val="00AC766B"/>
    <w:rsid w:val="00AC7A17"/>
    <w:rsid w:val="00AC7B12"/>
    <w:rsid w:val="00AC7B19"/>
    <w:rsid w:val="00AD0077"/>
    <w:rsid w:val="00AD045E"/>
    <w:rsid w:val="00AD05E8"/>
    <w:rsid w:val="00AD074D"/>
    <w:rsid w:val="00AD082F"/>
    <w:rsid w:val="00AD08B4"/>
    <w:rsid w:val="00AD0916"/>
    <w:rsid w:val="00AD0923"/>
    <w:rsid w:val="00AD0931"/>
    <w:rsid w:val="00AD0EC5"/>
    <w:rsid w:val="00AD0EF8"/>
    <w:rsid w:val="00AD1273"/>
    <w:rsid w:val="00AD1525"/>
    <w:rsid w:val="00AD1844"/>
    <w:rsid w:val="00AD1B6A"/>
    <w:rsid w:val="00AD1BF5"/>
    <w:rsid w:val="00AD26D9"/>
    <w:rsid w:val="00AD2D51"/>
    <w:rsid w:val="00AD2D95"/>
    <w:rsid w:val="00AD2FF3"/>
    <w:rsid w:val="00AD309D"/>
    <w:rsid w:val="00AD3328"/>
    <w:rsid w:val="00AD34FB"/>
    <w:rsid w:val="00AD3A06"/>
    <w:rsid w:val="00AD3A3C"/>
    <w:rsid w:val="00AD3B67"/>
    <w:rsid w:val="00AD3FB7"/>
    <w:rsid w:val="00AD40AE"/>
    <w:rsid w:val="00AD41CA"/>
    <w:rsid w:val="00AD42E3"/>
    <w:rsid w:val="00AD4577"/>
    <w:rsid w:val="00AD4A17"/>
    <w:rsid w:val="00AD4C96"/>
    <w:rsid w:val="00AD4D79"/>
    <w:rsid w:val="00AD4FF0"/>
    <w:rsid w:val="00AD50D1"/>
    <w:rsid w:val="00AD5385"/>
    <w:rsid w:val="00AD55E9"/>
    <w:rsid w:val="00AD5696"/>
    <w:rsid w:val="00AD5831"/>
    <w:rsid w:val="00AD5A38"/>
    <w:rsid w:val="00AD5D88"/>
    <w:rsid w:val="00AD5EDF"/>
    <w:rsid w:val="00AD5EF8"/>
    <w:rsid w:val="00AD5F19"/>
    <w:rsid w:val="00AD6042"/>
    <w:rsid w:val="00AD60BD"/>
    <w:rsid w:val="00AD60E0"/>
    <w:rsid w:val="00AD69DF"/>
    <w:rsid w:val="00AD6A75"/>
    <w:rsid w:val="00AD6B18"/>
    <w:rsid w:val="00AD6D30"/>
    <w:rsid w:val="00AD7C4B"/>
    <w:rsid w:val="00AE01C2"/>
    <w:rsid w:val="00AE031B"/>
    <w:rsid w:val="00AE04EC"/>
    <w:rsid w:val="00AE057F"/>
    <w:rsid w:val="00AE0A2E"/>
    <w:rsid w:val="00AE0BEE"/>
    <w:rsid w:val="00AE0D8A"/>
    <w:rsid w:val="00AE118B"/>
    <w:rsid w:val="00AE1443"/>
    <w:rsid w:val="00AE145F"/>
    <w:rsid w:val="00AE15AA"/>
    <w:rsid w:val="00AE17C2"/>
    <w:rsid w:val="00AE1929"/>
    <w:rsid w:val="00AE1D8C"/>
    <w:rsid w:val="00AE1E80"/>
    <w:rsid w:val="00AE1EF9"/>
    <w:rsid w:val="00AE1F1D"/>
    <w:rsid w:val="00AE2752"/>
    <w:rsid w:val="00AE2A6B"/>
    <w:rsid w:val="00AE32CF"/>
    <w:rsid w:val="00AE32D7"/>
    <w:rsid w:val="00AE376E"/>
    <w:rsid w:val="00AE39AA"/>
    <w:rsid w:val="00AE3AC4"/>
    <w:rsid w:val="00AE4141"/>
    <w:rsid w:val="00AE43B9"/>
    <w:rsid w:val="00AE4422"/>
    <w:rsid w:val="00AE4512"/>
    <w:rsid w:val="00AE456B"/>
    <w:rsid w:val="00AE4677"/>
    <w:rsid w:val="00AE47FA"/>
    <w:rsid w:val="00AE4B6C"/>
    <w:rsid w:val="00AE4BF8"/>
    <w:rsid w:val="00AE5299"/>
    <w:rsid w:val="00AE55E5"/>
    <w:rsid w:val="00AE5675"/>
    <w:rsid w:val="00AE56B9"/>
    <w:rsid w:val="00AE5733"/>
    <w:rsid w:val="00AE5790"/>
    <w:rsid w:val="00AE5861"/>
    <w:rsid w:val="00AE5F15"/>
    <w:rsid w:val="00AE5F53"/>
    <w:rsid w:val="00AE61C3"/>
    <w:rsid w:val="00AE632F"/>
    <w:rsid w:val="00AE646E"/>
    <w:rsid w:val="00AE653E"/>
    <w:rsid w:val="00AE6575"/>
    <w:rsid w:val="00AE6597"/>
    <w:rsid w:val="00AE663C"/>
    <w:rsid w:val="00AE66B5"/>
    <w:rsid w:val="00AE683D"/>
    <w:rsid w:val="00AE6861"/>
    <w:rsid w:val="00AE6CFF"/>
    <w:rsid w:val="00AE6E39"/>
    <w:rsid w:val="00AE6F9B"/>
    <w:rsid w:val="00AE71DA"/>
    <w:rsid w:val="00AE7E30"/>
    <w:rsid w:val="00AF0007"/>
    <w:rsid w:val="00AF0260"/>
    <w:rsid w:val="00AF097B"/>
    <w:rsid w:val="00AF0B00"/>
    <w:rsid w:val="00AF0C37"/>
    <w:rsid w:val="00AF0D5D"/>
    <w:rsid w:val="00AF0E74"/>
    <w:rsid w:val="00AF0F01"/>
    <w:rsid w:val="00AF191C"/>
    <w:rsid w:val="00AF1A0B"/>
    <w:rsid w:val="00AF1B61"/>
    <w:rsid w:val="00AF1C40"/>
    <w:rsid w:val="00AF1F48"/>
    <w:rsid w:val="00AF2292"/>
    <w:rsid w:val="00AF24FA"/>
    <w:rsid w:val="00AF29BF"/>
    <w:rsid w:val="00AF2DE3"/>
    <w:rsid w:val="00AF2E74"/>
    <w:rsid w:val="00AF34E2"/>
    <w:rsid w:val="00AF3BC1"/>
    <w:rsid w:val="00AF3BDA"/>
    <w:rsid w:val="00AF3F7D"/>
    <w:rsid w:val="00AF414E"/>
    <w:rsid w:val="00AF428C"/>
    <w:rsid w:val="00AF42F2"/>
    <w:rsid w:val="00AF45CC"/>
    <w:rsid w:val="00AF4BE0"/>
    <w:rsid w:val="00AF4EA2"/>
    <w:rsid w:val="00AF5053"/>
    <w:rsid w:val="00AF5863"/>
    <w:rsid w:val="00AF5975"/>
    <w:rsid w:val="00AF59AF"/>
    <w:rsid w:val="00AF5DB9"/>
    <w:rsid w:val="00AF6241"/>
    <w:rsid w:val="00AF68A8"/>
    <w:rsid w:val="00AF6B61"/>
    <w:rsid w:val="00AF7119"/>
    <w:rsid w:val="00AF721A"/>
    <w:rsid w:val="00AF727D"/>
    <w:rsid w:val="00AF7486"/>
    <w:rsid w:val="00AF7B2A"/>
    <w:rsid w:val="00B00068"/>
    <w:rsid w:val="00B001CC"/>
    <w:rsid w:val="00B0020B"/>
    <w:rsid w:val="00B0022E"/>
    <w:rsid w:val="00B003FA"/>
    <w:rsid w:val="00B00637"/>
    <w:rsid w:val="00B006FD"/>
    <w:rsid w:val="00B00AAC"/>
    <w:rsid w:val="00B00C12"/>
    <w:rsid w:val="00B00C30"/>
    <w:rsid w:val="00B00DE3"/>
    <w:rsid w:val="00B00EB7"/>
    <w:rsid w:val="00B0119E"/>
    <w:rsid w:val="00B012C8"/>
    <w:rsid w:val="00B014AE"/>
    <w:rsid w:val="00B01829"/>
    <w:rsid w:val="00B01D5A"/>
    <w:rsid w:val="00B01EC7"/>
    <w:rsid w:val="00B01F13"/>
    <w:rsid w:val="00B01FB7"/>
    <w:rsid w:val="00B02059"/>
    <w:rsid w:val="00B020AD"/>
    <w:rsid w:val="00B028DA"/>
    <w:rsid w:val="00B028FA"/>
    <w:rsid w:val="00B02950"/>
    <w:rsid w:val="00B02B04"/>
    <w:rsid w:val="00B03168"/>
    <w:rsid w:val="00B032E0"/>
    <w:rsid w:val="00B033BD"/>
    <w:rsid w:val="00B03CD8"/>
    <w:rsid w:val="00B040CB"/>
    <w:rsid w:val="00B041CF"/>
    <w:rsid w:val="00B04331"/>
    <w:rsid w:val="00B044A2"/>
    <w:rsid w:val="00B04C85"/>
    <w:rsid w:val="00B04D54"/>
    <w:rsid w:val="00B04E2F"/>
    <w:rsid w:val="00B04E8C"/>
    <w:rsid w:val="00B04F55"/>
    <w:rsid w:val="00B051B4"/>
    <w:rsid w:val="00B05211"/>
    <w:rsid w:val="00B054D5"/>
    <w:rsid w:val="00B0552D"/>
    <w:rsid w:val="00B058D0"/>
    <w:rsid w:val="00B05AC2"/>
    <w:rsid w:val="00B05F67"/>
    <w:rsid w:val="00B065F5"/>
    <w:rsid w:val="00B066E6"/>
    <w:rsid w:val="00B0684D"/>
    <w:rsid w:val="00B0687E"/>
    <w:rsid w:val="00B06A4C"/>
    <w:rsid w:val="00B06B70"/>
    <w:rsid w:val="00B070B8"/>
    <w:rsid w:val="00B07275"/>
    <w:rsid w:val="00B07538"/>
    <w:rsid w:val="00B0782C"/>
    <w:rsid w:val="00B079B7"/>
    <w:rsid w:val="00B10051"/>
    <w:rsid w:val="00B102A7"/>
    <w:rsid w:val="00B1079D"/>
    <w:rsid w:val="00B10ACA"/>
    <w:rsid w:val="00B10D83"/>
    <w:rsid w:val="00B11072"/>
    <w:rsid w:val="00B11147"/>
    <w:rsid w:val="00B112F5"/>
    <w:rsid w:val="00B116CE"/>
    <w:rsid w:val="00B11C20"/>
    <w:rsid w:val="00B11D58"/>
    <w:rsid w:val="00B12584"/>
    <w:rsid w:val="00B12825"/>
    <w:rsid w:val="00B12AA7"/>
    <w:rsid w:val="00B12AFA"/>
    <w:rsid w:val="00B12F0B"/>
    <w:rsid w:val="00B1310A"/>
    <w:rsid w:val="00B134EA"/>
    <w:rsid w:val="00B13B01"/>
    <w:rsid w:val="00B13E59"/>
    <w:rsid w:val="00B1403B"/>
    <w:rsid w:val="00B14BBE"/>
    <w:rsid w:val="00B14BF2"/>
    <w:rsid w:val="00B14D6E"/>
    <w:rsid w:val="00B1509F"/>
    <w:rsid w:val="00B150B0"/>
    <w:rsid w:val="00B152D4"/>
    <w:rsid w:val="00B15366"/>
    <w:rsid w:val="00B15564"/>
    <w:rsid w:val="00B1567A"/>
    <w:rsid w:val="00B1597E"/>
    <w:rsid w:val="00B15A1D"/>
    <w:rsid w:val="00B15B57"/>
    <w:rsid w:val="00B15C88"/>
    <w:rsid w:val="00B15D12"/>
    <w:rsid w:val="00B16001"/>
    <w:rsid w:val="00B160FF"/>
    <w:rsid w:val="00B16228"/>
    <w:rsid w:val="00B16392"/>
    <w:rsid w:val="00B16471"/>
    <w:rsid w:val="00B1652B"/>
    <w:rsid w:val="00B16668"/>
    <w:rsid w:val="00B167F8"/>
    <w:rsid w:val="00B16913"/>
    <w:rsid w:val="00B16AC2"/>
    <w:rsid w:val="00B16B0E"/>
    <w:rsid w:val="00B17159"/>
    <w:rsid w:val="00B1716E"/>
    <w:rsid w:val="00B1718A"/>
    <w:rsid w:val="00B17336"/>
    <w:rsid w:val="00B17388"/>
    <w:rsid w:val="00B173DD"/>
    <w:rsid w:val="00B1759B"/>
    <w:rsid w:val="00B17A92"/>
    <w:rsid w:val="00B17E6E"/>
    <w:rsid w:val="00B201A8"/>
    <w:rsid w:val="00B20233"/>
    <w:rsid w:val="00B203A0"/>
    <w:rsid w:val="00B203FE"/>
    <w:rsid w:val="00B2050B"/>
    <w:rsid w:val="00B20827"/>
    <w:rsid w:val="00B2097D"/>
    <w:rsid w:val="00B20C7E"/>
    <w:rsid w:val="00B20DBF"/>
    <w:rsid w:val="00B20E0B"/>
    <w:rsid w:val="00B2155B"/>
    <w:rsid w:val="00B21636"/>
    <w:rsid w:val="00B21B59"/>
    <w:rsid w:val="00B21DAB"/>
    <w:rsid w:val="00B21E18"/>
    <w:rsid w:val="00B2224F"/>
    <w:rsid w:val="00B2261E"/>
    <w:rsid w:val="00B2279A"/>
    <w:rsid w:val="00B2282A"/>
    <w:rsid w:val="00B228F7"/>
    <w:rsid w:val="00B22CCC"/>
    <w:rsid w:val="00B22EFB"/>
    <w:rsid w:val="00B22F5B"/>
    <w:rsid w:val="00B22F8E"/>
    <w:rsid w:val="00B22FB4"/>
    <w:rsid w:val="00B231A7"/>
    <w:rsid w:val="00B231C3"/>
    <w:rsid w:val="00B235D4"/>
    <w:rsid w:val="00B23800"/>
    <w:rsid w:val="00B238D8"/>
    <w:rsid w:val="00B23A1E"/>
    <w:rsid w:val="00B23D7F"/>
    <w:rsid w:val="00B24097"/>
    <w:rsid w:val="00B24126"/>
    <w:rsid w:val="00B24351"/>
    <w:rsid w:val="00B24954"/>
    <w:rsid w:val="00B25192"/>
    <w:rsid w:val="00B2520B"/>
    <w:rsid w:val="00B252A4"/>
    <w:rsid w:val="00B254A5"/>
    <w:rsid w:val="00B25955"/>
    <w:rsid w:val="00B25964"/>
    <w:rsid w:val="00B259D3"/>
    <w:rsid w:val="00B25D6B"/>
    <w:rsid w:val="00B25E86"/>
    <w:rsid w:val="00B25F36"/>
    <w:rsid w:val="00B25F89"/>
    <w:rsid w:val="00B26049"/>
    <w:rsid w:val="00B2609B"/>
    <w:rsid w:val="00B261D5"/>
    <w:rsid w:val="00B2640E"/>
    <w:rsid w:val="00B264C4"/>
    <w:rsid w:val="00B266ED"/>
    <w:rsid w:val="00B26853"/>
    <w:rsid w:val="00B26A23"/>
    <w:rsid w:val="00B26B75"/>
    <w:rsid w:val="00B26DC2"/>
    <w:rsid w:val="00B26E08"/>
    <w:rsid w:val="00B27144"/>
    <w:rsid w:val="00B271D5"/>
    <w:rsid w:val="00B273E6"/>
    <w:rsid w:val="00B2758F"/>
    <w:rsid w:val="00B278AC"/>
    <w:rsid w:val="00B27A01"/>
    <w:rsid w:val="00B27C40"/>
    <w:rsid w:val="00B30242"/>
    <w:rsid w:val="00B30520"/>
    <w:rsid w:val="00B30769"/>
    <w:rsid w:val="00B3092F"/>
    <w:rsid w:val="00B30A0B"/>
    <w:rsid w:val="00B30D2C"/>
    <w:rsid w:val="00B30D8E"/>
    <w:rsid w:val="00B30FF4"/>
    <w:rsid w:val="00B3102A"/>
    <w:rsid w:val="00B311E2"/>
    <w:rsid w:val="00B31365"/>
    <w:rsid w:val="00B314F9"/>
    <w:rsid w:val="00B315C3"/>
    <w:rsid w:val="00B316B4"/>
    <w:rsid w:val="00B3192E"/>
    <w:rsid w:val="00B31BA1"/>
    <w:rsid w:val="00B31D61"/>
    <w:rsid w:val="00B32860"/>
    <w:rsid w:val="00B32B57"/>
    <w:rsid w:val="00B33157"/>
    <w:rsid w:val="00B331F5"/>
    <w:rsid w:val="00B332F7"/>
    <w:rsid w:val="00B3340F"/>
    <w:rsid w:val="00B33580"/>
    <w:rsid w:val="00B3387B"/>
    <w:rsid w:val="00B338A4"/>
    <w:rsid w:val="00B33CCA"/>
    <w:rsid w:val="00B34048"/>
    <w:rsid w:val="00B340FE"/>
    <w:rsid w:val="00B342AE"/>
    <w:rsid w:val="00B342B8"/>
    <w:rsid w:val="00B342FD"/>
    <w:rsid w:val="00B343AC"/>
    <w:rsid w:val="00B3459A"/>
    <w:rsid w:val="00B34A1C"/>
    <w:rsid w:val="00B34C4A"/>
    <w:rsid w:val="00B3500E"/>
    <w:rsid w:val="00B3512B"/>
    <w:rsid w:val="00B35283"/>
    <w:rsid w:val="00B3546B"/>
    <w:rsid w:val="00B35616"/>
    <w:rsid w:val="00B35BF0"/>
    <w:rsid w:val="00B36211"/>
    <w:rsid w:val="00B363F2"/>
    <w:rsid w:val="00B36799"/>
    <w:rsid w:val="00B36971"/>
    <w:rsid w:val="00B36B15"/>
    <w:rsid w:val="00B36F8F"/>
    <w:rsid w:val="00B37193"/>
    <w:rsid w:val="00B37424"/>
    <w:rsid w:val="00B376FE"/>
    <w:rsid w:val="00B3776C"/>
    <w:rsid w:val="00B401D8"/>
    <w:rsid w:val="00B40483"/>
    <w:rsid w:val="00B405DB"/>
    <w:rsid w:val="00B40928"/>
    <w:rsid w:val="00B40B37"/>
    <w:rsid w:val="00B40BDD"/>
    <w:rsid w:val="00B40DF0"/>
    <w:rsid w:val="00B40E29"/>
    <w:rsid w:val="00B40EEA"/>
    <w:rsid w:val="00B4115E"/>
    <w:rsid w:val="00B415A5"/>
    <w:rsid w:val="00B41700"/>
    <w:rsid w:val="00B418BE"/>
    <w:rsid w:val="00B41B7A"/>
    <w:rsid w:val="00B41BD2"/>
    <w:rsid w:val="00B41C4D"/>
    <w:rsid w:val="00B41DDD"/>
    <w:rsid w:val="00B41F13"/>
    <w:rsid w:val="00B41F8C"/>
    <w:rsid w:val="00B41FA1"/>
    <w:rsid w:val="00B4206D"/>
    <w:rsid w:val="00B42208"/>
    <w:rsid w:val="00B423B8"/>
    <w:rsid w:val="00B4242A"/>
    <w:rsid w:val="00B42640"/>
    <w:rsid w:val="00B42870"/>
    <w:rsid w:val="00B428D7"/>
    <w:rsid w:val="00B428F3"/>
    <w:rsid w:val="00B42D77"/>
    <w:rsid w:val="00B42E08"/>
    <w:rsid w:val="00B42E7D"/>
    <w:rsid w:val="00B43237"/>
    <w:rsid w:val="00B434FE"/>
    <w:rsid w:val="00B43991"/>
    <w:rsid w:val="00B43AA2"/>
    <w:rsid w:val="00B43D1C"/>
    <w:rsid w:val="00B44119"/>
    <w:rsid w:val="00B44130"/>
    <w:rsid w:val="00B44625"/>
    <w:rsid w:val="00B447B0"/>
    <w:rsid w:val="00B4480A"/>
    <w:rsid w:val="00B4484F"/>
    <w:rsid w:val="00B44C9D"/>
    <w:rsid w:val="00B44F50"/>
    <w:rsid w:val="00B44F7B"/>
    <w:rsid w:val="00B4507F"/>
    <w:rsid w:val="00B45229"/>
    <w:rsid w:val="00B452A3"/>
    <w:rsid w:val="00B452A8"/>
    <w:rsid w:val="00B45360"/>
    <w:rsid w:val="00B453F0"/>
    <w:rsid w:val="00B458FE"/>
    <w:rsid w:val="00B45C15"/>
    <w:rsid w:val="00B45C3E"/>
    <w:rsid w:val="00B45D20"/>
    <w:rsid w:val="00B45D78"/>
    <w:rsid w:val="00B460A6"/>
    <w:rsid w:val="00B46383"/>
    <w:rsid w:val="00B463F7"/>
    <w:rsid w:val="00B464F9"/>
    <w:rsid w:val="00B4656A"/>
    <w:rsid w:val="00B46A5E"/>
    <w:rsid w:val="00B46B10"/>
    <w:rsid w:val="00B46BEB"/>
    <w:rsid w:val="00B46C2F"/>
    <w:rsid w:val="00B47024"/>
    <w:rsid w:val="00B470C5"/>
    <w:rsid w:val="00B4743D"/>
    <w:rsid w:val="00B47883"/>
    <w:rsid w:val="00B47A8C"/>
    <w:rsid w:val="00B47B78"/>
    <w:rsid w:val="00B47E87"/>
    <w:rsid w:val="00B5002E"/>
    <w:rsid w:val="00B503B4"/>
    <w:rsid w:val="00B50579"/>
    <w:rsid w:val="00B505AA"/>
    <w:rsid w:val="00B50620"/>
    <w:rsid w:val="00B50775"/>
    <w:rsid w:val="00B50837"/>
    <w:rsid w:val="00B508E3"/>
    <w:rsid w:val="00B508F9"/>
    <w:rsid w:val="00B509A8"/>
    <w:rsid w:val="00B50B12"/>
    <w:rsid w:val="00B50D81"/>
    <w:rsid w:val="00B5126B"/>
    <w:rsid w:val="00B51346"/>
    <w:rsid w:val="00B516F9"/>
    <w:rsid w:val="00B52339"/>
    <w:rsid w:val="00B524C3"/>
    <w:rsid w:val="00B52626"/>
    <w:rsid w:val="00B52708"/>
    <w:rsid w:val="00B533C7"/>
    <w:rsid w:val="00B5341A"/>
    <w:rsid w:val="00B53772"/>
    <w:rsid w:val="00B537F4"/>
    <w:rsid w:val="00B53B0A"/>
    <w:rsid w:val="00B53EA0"/>
    <w:rsid w:val="00B53F1A"/>
    <w:rsid w:val="00B53FE8"/>
    <w:rsid w:val="00B540CF"/>
    <w:rsid w:val="00B5438D"/>
    <w:rsid w:val="00B543F2"/>
    <w:rsid w:val="00B54A3D"/>
    <w:rsid w:val="00B54B3B"/>
    <w:rsid w:val="00B54DE2"/>
    <w:rsid w:val="00B54EDA"/>
    <w:rsid w:val="00B54F0F"/>
    <w:rsid w:val="00B55166"/>
    <w:rsid w:val="00B553FB"/>
    <w:rsid w:val="00B55784"/>
    <w:rsid w:val="00B55975"/>
    <w:rsid w:val="00B55C53"/>
    <w:rsid w:val="00B56109"/>
    <w:rsid w:val="00B56753"/>
    <w:rsid w:val="00B569A6"/>
    <w:rsid w:val="00B56A2D"/>
    <w:rsid w:val="00B56A6A"/>
    <w:rsid w:val="00B56AB6"/>
    <w:rsid w:val="00B56DFF"/>
    <w:rsid w:val="00B56EEC"/>
    <w:rsid w:val="00B56F14"/>
    <w:rsid w:val="00B56F2D"/>
    <w:rsid w:val="00B57201"/>
    <w:rsid w:val="00B5735B"/>
    <w:rsid w:val="00B5735F"/>
    <w:rsid w:val="00B57562"/>
    <w:rsid w:val="00B57987"/>
    <w:rsid w:val="00B57A03"/>
    <w:rsid w:val="00B57A3B"/>
    <w:rsid w:val="00B57A8A"/>
    <w:rsid w:val="00B57C35"/>
    <w:rsid w:val="00B57CD1"/>
    <w:rsid w:val="00B57DF8"/>
    <w:rsid w:val="00B57E31"/>
    <w:rsid w:val="00B57F4C"/>
    <w:rsid w:val="00B6013D"/>
    <w:rsid w:val="00B602B5"/>
    <w:rsid w:val="00B602BB"/>
    <w:rsid w:val="00B60360"/>
    <w:rsid w:val="00B6036D"/>
    <w:rsid w:val="00B60832"/>
    <w:rsid w:val="00B60946"/>
    <w:rsid w:val="00B61165"/>
    <w:rsid w:val="00B61423"/>
    <w:rsid w:val="00B614FF"/>
    <w:rsid w:val="00B6169D"/>
    <w:rsid w:val="00B617DC"/>
    <w:rsid w:val="00B61931"/>
    <w:rsid w:val="00B61FC3"/>
    <w:rsid w:val="00B620E7"/>
    <w:rsid w:val="00B621A3"/>
    <w:rsid w:val="00B621A9"/>
    <w:rsid w:val="00B6248A"/>
    <w:rsid w:val="00B625D4"/>
    <w:rsid w:val="00B62E62"/>
    <w:rsid w:val="00B6303F"/>
    <w:rsid w:val="00B630E9"/>
    <w:rsid w:val="00B6313F"/>
    <w:rsid w:val="00B63376"/>
    <w:rsid w:val="00B634B3"/>
    <w:rsid w:val="00B639BE"/>
    <w:rsid w:val="00B63AE1"/>
    <w:rsid w:val="00B63B0F"/>
    <w:rsid w:val="00B63E44"/>
    <w:rsid w:val="00B63F3E"/>
    <w:rsid w:val="00B640EA"/>
    <w:rsid w:val="00B6424E"/>
    <w:rsid w:val="00B647B2"/>
    <w:rsid w:val="00B648D4"/>
    <w:rsid w:val="00B64917"/>
    <w:rsid w:val="00B649A2"/>
    <w:rsid w:val="00B649C7"/>
    <w:rsid w:val="00B64C65"/>
    <w:rsid w:val="00B64E2B"/>
    <w:rsid w:val="00B6505C"/>
    <w:rsid w:val="00B650E5"/>
    <w:rsid w:val="00B6545F"/>
    <w:rsid w:val="00B654B7"/>
    <w:rsid w:val="00B6559E"/>
    <w:rsid w:val="00B6568A"/>
    <w:rsid w:val="00B6572D"/>
    <w:rsid w:val="00B6597B"/>
    <w:rsid w:val="00B65E51"/>
    <w:rsid w:val="00B65F1E"/>
    <w:rsid w:val="00B660BE"/>
    <w:rsid w:val="00B6648D"/>
    <w:rsid w:val="00B66937"/>
    <w:rsid w:val="00B66A2A"/>
    <w:rsid w:val="00B66B6D"/>
    <w:rsid w:val="00B66C42"/>
    <w:rsid w:val="00B6716D"/>
    <w:rsid w:val="00B675B3"/>
    <w:rsid w:val="00B6760E"/>
    <w:rsid w:val="00B6776E"/>
    <w:rsid w:val="00B6787F"/>
    <w:rsid w:val="00B67920"/>
    <w:rsid w:val="00B67AF5"/>
    <w:rsid w:val="00B67F10"/>
    <w:rsid w:val="00B67FCE"/>
    <w:rsid w:val="00B700C8"/>
    <w:rsid w:val="00B701E6"/>
    <w:rsid w:val="00B703E6"/>
    <w:rsid w:val="00B707C7"/>
    <w:rsid w:val="00B709C3"/>
    <w:rsid w:val="00B70B83"/>
    <w:rsid w:val="00B70BFD"/>
    <w:rsid w:val="00B70D04"/>
    <w:rsid w:val="00B70DFD"/>
    <w:rsid w:val="00B70E88"/>
    <w:rsid w:val="00B70ECD"/>
    <w:rsid w:val="00B71010"/>
    <w:rsid w:val="00B712F1"/>
    <w:rsid w:val="00B7158C"/>
    <w:rsid w:val="00B71718"/>
    <w:rsid w:val="00B71A44"/>
    <w:rsid w:val="00B71ACD"/>
    <w:rsid w:val="00B71AD4"/>
    <w:rsid w:val="00B71E90"/>
    <w:rsid w:val="00B720AD"/>
    <w:rsid w:val="00B72441"/>
    <w:rsid w:val="00B729B1"/>
    <w:rsid w:val="00B72AAB"/>
    <w:rsid w:val="00B72B2B"/>
    <w:rsid w:val="00B72F44"/>
    <w:rsid w:val="00B731D4"/>
    <w:rsid w:val="00B731F2"/>
    <w:rsid w:val="00B73282"/>
    <w:rsid w:val="00B732DC"/>
    <w:rsid w:val="00B73391"/>
    <w:rsid w:val="00B73544"/>
    <w:rsid w:val="00B735AC"/>
    <w:rsid w:val="00B73623"/>
    <w:rsid w:val="00B736CE"/>
    <w:rsid w:val="00B73BB3"/>
    <w:rsid w:val="00B73F40"/>
    <w:rsid w:val="00B74096"/>
    <w:rsid w:val="00B7430C"/>
    <w:rsid w:val="00B74A88"/>
    <w:rsid w:val="00B74BCE"/>
    <w:rsid w:val="00B74EBD"/>
    <w:rsid w:val="00B75052"/>
    <w:rsid w:val="00B7530F"/>
    <w:rsid w:val="00B75EEA"/>
    <w:rsid w:val="00B75F21"/>
    <w:rsid w:val="00B764D8"/>
    <w:rsid w:val="00B7652A"/>
    <w:rsid w:val="00B76D0B"/>
    <w:rsid w:val="00B76ED7"/>
    <w:rsid w:val="00B76FF4"/>
    <w:rsid w:val="00B770C5"/>
    <w:rsid w:val="00B77189"/>
    <w:rsid w:val="00B772ED"/>
    <w:rsid w:val="00B773B0"/>
    <w:rsid w:val="00B77619"/>
    <w:rsid w:val="00B77D55"/>
    <w:rsid w:val="00B77EDB"/>
    <w:rsid w:val="00B800B7"/>
    <w:rsid w:val="00B8010C"/>
    <w:rsid w:val="00B80285"/>
    <w:rsid w:val="00B806FB"/>
    <w:rsid w:val="00B81045"/>
    <w:rsid w:val="00B810B7"/>
    <w:rsid w:val="00B813C0"/>
    <w:rsid w:val="00B81668"/>
    <w:rsid w:val="00B816CF"/>
    <w:rsid w:val="00B816DC"/>
    <w:rsid w:val="00B81762"/>
    <w:rsid w:val="00B81920"/>
    <w:rsid w:val="00B81926"/>
    <w:rsid w:val="00B819AD"/>
    <w:rsid w:val="00B81B08"/>
    <w:rsid w:val="00B81B3F"/>
    <w:rsid w:val="00B81DCA"/>
    <w:rsid w:val="00B81DE5"/>
    <w:rsid w:val="00B81E5F"/>
    <w:rsid w:val="00B81F42"/>
    <w:rsid w:val="00B81F87"/>
    <w:rsid w:val="00B82016"/>
    <w:rsid w:val="00B82451"/>
    <w:rsid w:val="00B829DC"/>
    <w:rsid w:val="00B82AB2"/>
    <w:rsid w:val="00B82B89"/>
    <w:rsid w:val="00B82FB6"/>
    <w:rsid w:val="00B8303E"/>
    <w:rsid w:val="00B83044"/>
    <w:rsid w:val="00B8338E"/>
    <w:rsid w:val="00B8351B"/>
    <w:rsid w:val="00B835DA"/>
    <w:rsid w:val="00B8394E"/>
    <w:rsid w:val="00B83B29"/>
    <w:rsid w:val="00B84253"/>
    <w:rsid w:val="00B844F9"/>
    <w:rsid w:val="00B84542"/>
    <w:rsid w:val="00B84931"/>
    <w:rsid w:val="00B8495C"/>
    <w:rsid w:val="00B849F9"/>
    <w:rsid w:val="00B849FB"/>
    <w:rsid w:val="00B8513D"/>
    <w:rsid w:val="00B852A1"/>
    <w:rsid w:val="00B85457"/>
    <w:rsid w:val="00B856BF"/>
    <w:rsid w:val="00B85834"/>
    <w:rsid w:val="00B859CD"/>
    <w:rsid w:val="00B85CC7"/>
    <w:rsid w:val="00B85F17"/>
    <w:rsid w:val="00B864FC"/>
    <w:rsid w:val="00B8677C"/>
    <w:rsid w:val="00B86C7B"/>
    <w:rsid w:val="00B86E8E"/>
    <w:rsid w:val="00B86EB2"/>
    <w:rsid w:val="00B8727E"/>
    <w:rsid w:val="00B87657"/>
    <w:rsid w:val="00B87672"/>
    <w:rsid w:val="00B87770"/>
    <w:rsid w:val="00B87933"/>
    <w:rsid w:val="00B87B56"/>
    <w:rsid w:val="00B87C05"/>
    <w:rsid w:val="00B90153"/>
    <w:rsid w:val="00B901F6"/>
    <w:rsid w:val="00B9043D"/>
    <w:rsid w:val="00B90651"/>
    <w:rsid w:val="00B90836"/>
    <w:rsid w:val="00B90903"/>
    <w:rsid w:val="00B90A7E"/>
    <w:rsid w:val="00B90AE5"/>
    <w:rsid w:val="00B90BC5"/>
    <w:rsid w:val="00B90D8E"/>
    <w:rsid w:val="00B90DB5"/>
    <w:rsid w:val="00B90EDE"/>
    <w:rsid w:val="00B912DA"/>
    <w:rsid w:val="00B91647"/>
    <w:rsid w:val="00B91684"/>
    <w:rsid w:val="00B916E9"/>
    <w:rsid w:val="00B919B9"/>
    <w:rsid w:val="00B91BDD"/>
    <w:rsid w:val="00B91BDE"/>
    <w:rsid w:val="00B91D7E"/>
    <w:rsid w:val="00B92242"/>
    <w:rsid w:val="00B922C4"/>
    <w:rsid w:val="00B922E4"/>
    <w:rsid w:val="00B92661"/>
    <w:rsid w:val="00B92785"/>
    <w:rsid w:val="00B9280D"/>
    <w:rsid w:val="00B928C4"/>
    <w:rsid w:val="00B92AE4"/>
    <w:rsid w:val="00B92C09"/>
    <w:rsid w:val="00B92C69"/>
    <w:rsid w:val="00B92E82"/>
    <w:rsid w:val="00B92F7C"/>
    <w:rsid w:val="00B92FB0"/>
    <w:rsid w:val="00B933C9"/>
    <w:rsid w:val="00B933F9"/>
    <w:rsid w:val="00B9356E"/>
    <w:rsid w:val="00B936E3"/>
    <w:rsid w:val="00B937FA"/>
    <w:rsid w:val="00B93B0A"/>
    <w:rsid w:val="00B93EDF"/>
    <w:rsid w:val="00B93FB6"/>
    <w:rsid w:val="00B93FC2"/>
    <w:rsid w:val="00B9440F"/>
    <w:rsid w:val="00B9492E"/>
    <w:rsid w:val="00B94C93"/>
    <w:rsid w:val="00B94E86"/>
    <w:rsid w:val="00B9516D"/>
    <w:rsid w:val="00B9530F"/>
    <w:rsid w:val="00B95442"/>
    <w:rsid w:val="00B954AD"/>
    <w:rsid w:val="00B95606"/>
    <w:rsid w:val="00B95980"/>
    <w:rsid w:val="00B95E90"/>
    <w:rsid w:val="00B95FD0"/>
    <w:rsid w:val="00B96036"/>
    <w:rsid w:val="00B96139"/>
    <w:rsid w:val="00B96452"/>
    <w:rsid w:val="00B96501"/>
    <w:rsid w:val="00B966EC"/>
    <w:rsid w:val="00B96712"/>
    <w:rsid w:val="00B96726"/>
    <w:rsid w:val="00B969CA"/>
    <w:rsid w:val="00B96CE3"/>
    <w:rsid w:val="00B96E38"/>
    <w:rsid w:val="00B96F0C"/>
    <w:rsid w:val="00B96F4F"/>
    <w:rsid w:val="00B97341"/>
    <w:rsid w:val="00B9739C"/>
    <w:rsid w:val="00B97438"/>
    <w:rsid w:val="00B977B2"/>
    <w:rsid w:val="00B97A57"/>
    <w:rsid w:val="00B97C3A"/>
    <w:rsid w:val="00B97D46"/>
    <w:rsid w:val="00B97D8B"/>
    <w:rsid w:val="00B97E5F"/>
    <w:rsid w:val="00BA00AD"/>
    <w:rsid w:val="00BA028B"/>
    <w:rsid w:val="00BA02FB"/>
    <w:rsid w:val="00BA0342"/>
    <w:rsid w:val="00BA0689"/>
    <w:rsid w:val="00BA0D65"/>
    <w:rsid w:val="00BA1109"/>
    <w:rsid w:val="00BA1154"/>
    <w:rsid w:val="00BA12D4"/>
    <w:rsid w:val="00BA1301"/>
    <w:rsid w:val="00BA1372"/>
    <w:rsid w:val="00BA1914"/>
    <w:rsid w:val="00BA1922"/>
    <w:rsid w:val="00BA1DE3"/>
    <w:rsid w:val="00BA208A"/>
    <w:rsid w:val="00BA2310"/>
    <w:rsid w:val="00BA288B"/>
    <w:rsid w:val="00BA2C19"/>
    <w:rsid w:val="00BA2CA3"/>
    <w:rsid w:val="00BA2D94"/>
    <w:rsid w:val="00BA30DD"/>
    <w:rsid w:val="00BA335D"/>
    <w:rsid w:val="00BA3525"/>
    <w:rsid w:val="00BA3A78"/>
    <w:rsid w:val="00BA3BAE"/>
    <w:rsid w:val="00BA3C4B"/>
    <w:rsid w:val="00BA3C8C"/>
    <w:rsid w:val="00BA3F2F"/>
    <w:rsid w:val="00BA3F4D"/>
    <w:rsid w:val="00BA43F7"/>
    <w:rsid w:val="00BA4434"/>
    <w:rsid w:val="00BA4796"/>
    <w:rsid w:val="00BA493B"/>
    <w:rsid w:val="00BA4AF1"/>
    <w:rsid w:val="00BA4DE7"/>
    <w:rsid w:val="00BA5416"/>
    <w:rsid w:val="00BA54EE"/>
    <w:rsid w:val="00BA55B2"/>
    <w:rsid w:val="00BA57EA"/>
    <w:rsid w:val="00BA5A1A"/>
    <w:rsid w:val="00BA5B81"/>
    <w:rsid w:val="00BA5DF3"/>
    <w:rsid w:val="00BA5ED7"/>
    <w:rsid w:val="00BA6249"/>
    <w:rsid w:val="00BA6253"/>
    <w:rsid w:val="00BA6383"/>
    <w:rsid w:val="00BA6686"/>
    <w:rsid w:val="00BA69F1"/>
    <w:rsid w:val="00BA6CA3"/>
    <w:rsid w:val="00BA6E4C"/>
    <w:rsid w:val="00BA6F71"/>
    <w:rsid w:val="00BA6FA1"/>
    <w:rsid w:val="00BA72B0"/>
    <w:rsid w:val="00BA7335"/>
    <w:rsid w:val="00BA73AB"/>
    <w:rsid w:val="00BA76C2"/>
    <w:rsid w:val="00BA77FD"/>
    <w:rsid w:val="00BA7971"/>
    <w:rsid w:val="00BA7C6B"/>
    <w:rsid w:val="00BA7F97"/>
    <w:rsid w:val="00BB0112"/>
    <w:rsid w:val="00BB0572"/>
    <w:rsid w:val="00BB05DF"/>
    <w:rsid w:val="00BB06BC"/>
    <w:rsid w:val="00BB07CC"/>
    <w:rsid w:val="00BB0AE6"/>
    <w:rsid w:val="00BB0CAB"/>
    <w:rsid w:val="00BB0E20"/>
    <w:rsid w:val="00BB0FFD"/>
    <w:rsid w:val="00BB1372"/>
    <w:rsid w:val="00BB1541"/>
    <w:rsid w:val="00BB163A"/>
    <w:rsid w:val="00BB1B7C"/>
    <w:rsid w:val="00BB1DD0"/>
    <w:rsid w:val="00BB1ECA"/>
    <w:rsid w:val="00BB1ED1"/>
    <w:rsid w:val="00BB1F1B"/>
    <w:rsid w:val="00BB224F"/>
    <w:rsid w:val="00BB22F7"/>
    <w:rsid w:val="00BB22F9"/>
    <w:rsid w:val="00BB25A8"/>
    <w:rsid w:val="00BB25EF"/>
    <w:rsid w:val="00BB264B"/>
    <w:rsid w:val="00BB290A"/>
    <w:rsid w:val="00BB2920"/>
    <w:rsid w:val="00BB294E"/>
    <w:rsid w:val="00BB29A8"/>
    <w:rsid w:val="00BB357A"/>
    <w:rsid w:val="00BB3617"/>
    <w:rsid w:val="00BB3705"/>
    <w:rsid w:val="00BB3742"/>
    <w:rsid w:val="00BB3819"/>
    <w:rsid w:val="00BB38F7"/>
    <w:rsid w:val="00BB393B"/>
    <w:rsid w:val="00BB3A2D"/>
    <w:rsid w:val="00BB3AE2"/>
    <w:rsid w:val="00BB3B68"/>
    <w:rsid w:val="00BB49AA"/>
    <w:rsid w:val="00BB4BA5"/>
    <w:rsid w:val="00BB4BAE"/>
    <w:rsid w:val="00BB4CB6"/>
    <w:rsid w:val="00BB4D07"/>
    <w:rsid w:val="00BB559B"/>
    <w:rsid w:val="00BB58E1"/>
    <w:rsid w:val="00BB59DF"/>
    <w:rsid w:val="00BB5F1B"/>
    <w:rsid w:val="00BB5FCB"/>
    <w:rsid w:val="00BB6674"/>
    <w:rsid w:val="00BB6755"/>
    <w:rsid w:val="00BB67D2"/>
    <w:rsid w:val="00BB6A7D"/>
    <w:rsid w:val="00BB6ED4"/>
    <w:rsid w:val="00BB6EDE"/>
    <w:rsid w:val="00BB6FEE"/>
    <w:rsid w:val="00BB7598"/>
    <w:rsid w:val="00BB7CA6"/>
    <w:rsid w:val="00BB7E3E"/>
    <w:rsid w:val="00BB7F89"/>
    <w:rsid w:val="00BC006D"/>
    <w:rsid w:val="00BC0233"/>
    <w:rsid w:val="00BC0876"/>
    <w:rsid w:val="00BC0D0C"/>
    <w:rsid w:val="00BC0E68"/>
    <w:rsid w:val="00BC0F43"/>
    <w:rsid w:val="00BC0FCE"/>
    <w:rsid w:val="00BC1160"/>
    <w:rsid w:val="00BC134A"/>
    <w:rsid w:val="00BC1400"/>
    <w:rsid w:val="00BC1566"/>
    <w:rsid w:val="00BC15CB"/>
    <w:rsid w:val="00BC1B43"/>
    <w:rsid w:val="00BC2016"/>
    <w:rsid w:val="00BC2179"/>
    <w:rsid w:val="00BC29EE"/>
    <w:rsid w:val="00BC2A4D"/>
    <w:rsid w:val="00BC2A59"/>
    <w:rsid w:val="00BC2DC5"/>
    <w:rsid w:val="00BC2E4A"/>
    <w:rsid w:val="00BC2F9D"/>
    <w:rsid w:val="00BC3049"/>
    <w:rsid w:val="00BC30F7"/>
    <w:rsid w:val="00BC3197"/>
    <w:rsid w:val="00BC38A7"/>
    <w:rsid w:val="00BC3A24"/>
    <w:rsid w:val="00BC3BDB"/>
    <w:rsid w:val="00BC3C96"/>
    <w:rsid w:val="00BC3F95"/>
    <w:rsid w:val="00BC404D"/>
    <w:rsid w:val="00BC412F"/>
    <w:rsid w:val="00BC4436"/>
    <w:rsid w:val="00BC45A0"/>
    <w:rsid w:val="00BC48CB"/>
    <w:rsid w:val="00BC4A0C"/>
    <w:rsid w:val="00BC4A1F"/>
    <w:rsid w:val="00BC500C"/>
    <w:rsid w:val="00BC50FD"/>
    <w:rsid w:val="00BC526A"/>
    <w:rsid w:val="00BC52A0"/>
    <w:rsid w:val="00BC565E"/>
    <w:rsid w:val="00BC57B6"/>
    <w:rsid w:val="00BC5826"/>
    <w:rsid w:val="00BC58E5"/>
    <w:rsid w:val="00BC5B00"/>
    <w:rsid w:val="00BC5C72"/>
    <w:rsid w:val="00BC5CCE"/>
    <w:rsid w:val="00BC5F41"/>
    <w:rsid w:val="00BC60C1"/>
    <w:rsid w:val="00BC6241"/>
    <w:rsid w:val="00BC632D"/>
    <w:rsid w:val="00BC63B2"/>
    <w:rsid w:val="00BC63EB"/>
    <w:rsid w:val="00BC670C"/>
    <w:rsid w:val="00BC67EA"/>
    <w:rsid w:val="00BC68BD"/>
    <w:rsid w:val="00BC699F"/>
    <w:rsid w:val="00BC6AB3"/>
    <w:rsid w:val="00BC6C35"/>
    <w:rsid w:val="00BC6C84"/>
    <w:rsid w:val="00BC6C92"/>
    <w:rsid w:val="00BC6DE2"/>
    <w:rsid w:val="00BC6EC7"/>
    <w:rsid w:val="00BC7166"/>
    <w:rsid w:val="00BC721C"/>
    <w:rsid w:val="00BC7486"/>
    <w:rsid w:val="00BC7A0A"/>
    <w:rsid w:val="00BC7A3E"/>
    <w:rsid w:val="00BC7BC2"/>
    <w:rsid w:val="00BC7E9F"/>
    <w:rsid w:val="00BD016A"/>
    <w:rsid w:val="00BD01D6"/>
    <w:rsid w:val="00BD020C"/>
    <w:rsid w:val="00BD0263"/>
    <w:rsid w:val="00BD0288"/>
    <w:rsid w:val="00BD0309"/>
    <w:rsid w:val="00BD03CA"/>
    <w:rsid w:val="00BD050D"/>
    <w:rsid w:val="00BD07E3"/>
    <w:rsid w:val="00BD0BC3"/>
    <w:rsid w:val="00BD0EDA"/>
    <w:rsid w:val="00BD138F"/>
    <w:rsid w:val="00BD1584"/>
    <w:rsid w:val="00BD15BE"/>
    <w:rsid w:val="00BD1704"/>
    <w:rsid w:val="00BD183B"/>
    <w:rsid w:val="00BD1AAC"/>
    <w:rsid w:val="00BD1CB8"/>
    <w:rsid w:val="00BD201F"/>
    <w:rsid w:val="00BD210A"/>
    <w:rsid w:val="00BD221C"/>
    <w:rsid w:val="00BD2806"/>
    <w:rsid w:val="00BD2C5F"/>
    <w:rsid w:val="00BD2EB2"/>
    <w:rsid w:val="00BD316B"/>
    <w:rsid w:val="00BD324C"/>
    <w:rsid w:val="00BD329E"/>
    <w:rsid w:val="00BD3371"/>
    <w:rsid w:val="00BD3D02"/>
    <w:rsid w:val="00BD3FE7"/>
    <w:rsid w:val="00BD3FFE"/>
    <w:rsid w:val="00BD4478"/>
    <w:rsid w:val="00BD4620"/>
    <w:rsid w:val="00BD46A0"/>
    <w:rsid w:val="00BD49EB"/>
    <w:rsid w:val="00BD4C9D"/>
    <w:rsid w:val="00BD4D90"/>
    <w:rsid w:val="00BD5113"/>
    <w:rsid w:val="00BD55B5"/>
    <w:rsid w:val="00BD5720"/>
    <w:rsid w:val="00BD5B33"/>
    <w:rsid w:val="00BD5D09"/>
    <w:rsid w:val="00BD5E57"/>
    <w:rsid w:val="00BD5ECD"/>
    <w:rsid w:val="00BD5F3A"/>
    <w:rsid w:val="00BD6069"/>
    <w:rsid w:val="00BD6092"/>
    <w:rsid w:val="00BD6619"/>
    <w:rsid w:val="00BD6655"/>
    <w:rsid w:val="00BD66CD"/>
    <w:rsid w:val="00BD678E"/>
    <w:rsid w:val="00BD691D"/>
    <w:rsid w:val="00BD6C86"/>
    <w:rsid w:val="00BD6E35"/>
    <w:rsid w:val="00BD72E7"/>
    <w:rsid w:val="00BD72F0"/>
    <w:rsid w:val="00BD73E0"/>
    <w:rsid w:val="00BD759D"/>
    <w:rsid w:val="00BD75B3"/>
    <w:rsid w:val="00BD75DE"/>
    <w:rsid w:val="00BD7677"/>
    <w:rsid w:val="00BD7808"/>
    <w:rsid w:val="00BD7818"/>
    <w:rsid w:val="00BD78AB"/>
    <w:rsid w:val="00BD7BEE"/>
    <w:rsid w:val="00BD7D05"/>
    <w:rsid w:val="00BE0327"/>
    <w:rsid w:val="00BE0730"/>
    <w:rsid w:val="00BE07F5"/>
    <w:rsid w:val="00BE0DA9"/>
    <w:rsid w:val="00BE0E88"/>
    <w:rsid w:val="00BE0FC0"/>
    <w:rsid w:val="00BE1233"/>
    <w:rsid w:val="00BE14D6"/>
    <w:rsid w:val="00BE15F6"/>
    <w:rsid w:val="00BE197D"/>
    <w:rsid w:val="00BE1B40"/>
    <w:rsid w:val="00BE1E7B"/>
    <w:rsid w:val="00BE22DC"/>
    <w:rsid w:val="00BE2380"/>
    <w:rsid w:val="00BE248E"/>
    <w:rsid w:val="00BE2882"/>
    <w:rsid w:val="00BE294F"/>
    <w:rsid w:val="00BE2B2F"/>
    <w:rsid w:val="00BE2B5E"/>
    <w:rsid w:val="00BE2D1F"/>
    <w:rsid w:val="00BE2D4A"/>
    <w:rsid w:val="00BE2D80"/>
    <w:rsid w:val="00BE2F92"/>
    <w:rsid w:val="00BE3038"/>
    <w:rsid w:val="00BE3090"/>
    <w:rsid w:val="00BE3BCE"/>
    <w:rsid w:val="00BE3E6F"/>
    <w:rsid w:val="00BE40FD"/>
    <w:rsid w:val="00BE4148"/>
    <w:rsid w:val="00BE41D6"/>
    <w:rsid w:val="00BE4552"/>
    <w:rsid w:val="00BE4D7A"/>
    <w:rsid w:val="00BE4F81"/>
    <w:rsid w:val="00BE4FD9"/>
    <w:rsid w:val="00BE51CF"/>
    <w:rsid w:val="00BE537C"/>
    <w:rsid w:val="00BE553E"/>
    <w:rsid w:val="00BE55B5"/>
    <w:rsid w:val="00BE57E2"/>
    <w:rsid w:val="00BE584A"/>
    <w:rsid w:val="00BE59A7"/>
    <w:rsid w:val="00BE5A84"/>
    <w:rsid w:val="00BE5D52"/>
    <w:rsid w:val="00BE5E69"/>
    <w:rsid w:val="00BE5F05"/>
    <w:rsid w:val="00BE61DD"/>
    <w:rsid w:val="00BE6633"/>
    <w:rsid w:val="00BE6A53"/>
    <w:rsid w:val="00BE6BCE"/>
    <w:rsid w:val="00BE6D67"/>
    <w:rsid w:val="00BE6E22"/>
    <w:rsid w:val="00BE6EFB"/>
    <w:rsid w:val="00BE6FCE"/>
    <w:rsid w:val="00BE7301"/>
    <w:rsid w:val="00BE771C"/>
    <w:rsid w:val="00BE7932"/>
    <w:rsid w:val="00BE7945"/>
    <w:rsid w:val="00BE794E"/>
    <w:rsid w:val="00BE7E6B"/>
    <w:rsid w:val="00BE7E76"/>
    <w:rsid w:val="00BF06F8"/>
    <w:rsid w:val="00BF0F9F"/>
    <w:rsid w:val="00BF10C2"/>
    <w:rsid w:val="00BF124A"/>
    <w:rsid w:val="00BF13BA"/>
    <w:rsid w:val="00BF1579"/>
    <w:rsid w:val="00BF1C9A"/>
    <w:rsid w:val="00BF1CDA"/>
    <w:rsid w:val="00BF20EE"/>
    <w:rsid w:val="00BF2103"/>
    <w:rsid w:val="00BF28B2"/>
    <w:rsid w:val="00BF2B2A"/>
    <w:rsid w:val="00BF2C24"/>
    <w:rsid w:val="00BF2CD0"/>
    <w:rsid w:val="00BF2FE6"/>
    <w:rsid w:val="00BF3042"/>
    <w:rsid w:val="00BF3059"/>
    <w:rsid w:val="00BF30C8"/>
    <w:rsid w:val="00BF3414"/>
    <w:rsid w:val="00BF341B"/>
    <w:rsid w:val="00BF3783"/>
    <w:rsid w:val="00BF39D9"/>
    <w:rsid w:val="00BF3A6F"/>
    <w:rsid w:val="00BF3C9E"/>
    <w:rsid w:val="00BF44D9"/>
    <w:rsid w:val="00BF4509"/>
    <w:rsid w:val="00BF45A8"/>
    <w:rsid w:val="00BF46F5"/>
    <w:rsid w:val="00BF4BD6"/>
    <w:rsid w:val="00BF4DD0"/>
    <w:rsid w:val="00BF4F75"/>
    <w:rsid w:val="00BF5114"/>
    <w:rsid w:val="00BF551C"/>
    <w:rsid w:val="00BF557A"/>
    <w:rsid w:val="00BF560F"/>
    <w:rsid w:val="00BF57BE"/>
    <w:rsid w:val="00BF58A6"/>
    <w:rsid w:val="00BF5DA0"/>
    <w:rsid w:val="00BF61A9"/>
    <w:rsid w:val="00BF631D"/>
    <w:rsid w:val="00BF63DA"/>
    <w:rsid w:val="00BF64D1"/>
    <w:rsid w:val="00BF6C09"/>
    <w:rsid w:val="00BF6C56"/>
    <w:rsid w:val="00BF6C5C"/>
    <w:rsid w:val="00BF6DA7"/>
    <w:rsid w:val="00BF6DF8"/>
    <w:rsid w:val="00BF6F1C"/>
    <w:rsid w:val="00BF7032"/>
    <w:rsid w:val="00BF7538"/>
    <w:rsid w:val="00BF75D6"/>
    <w:rsid w:val="00BF766E"/>
    <w:rsid w:val="00BF78D6"/>
    <w:rsid w:val="00BF79A2"/>
    <w:rsid w:val="00BF7A74"/>
    <w:rsid w:val="00BF7DB5"/>
    <w:rsid w:val="00BF7EC7"/>
    <w:rsid w:val="00BF7F93"/>
    <w:rsid w:val="00C0028F"/>
    <w:rsid w:val="00C00370"/>
    <w:rsid w:val="00C00975"/>
    <w:rsid w:val="00C00A6A"/>
    <w:rsid w:val="00C00B01"/>
    <w:rsid w:val="00C00BB4"/>
    <w:rsid w:val="00C011C4"/>
    <w:rsid w:val="00C01381"/>
    <w:rsid w:val="00C0158D"/>
    <w:rsid w:val="00C0168D"/>
    <w:rsid w:val="00C016EE"/>
    <w:rsid w:val="00C01717"/>
    <w:rsid w:val="00C01A2B"/>
    <w:rsid w:val="00C01C1C"/>
    <w:rsid w:val="00C01D7F"/>
    <w:rsid w:val="00C0207F"/>
    <w:rsid w:val="00C02125"/>
    <w:rsid w:val="00C0241F"/>
    <w:rsid w:val="00C02575"/>
    <w:rsid w:val="00C02A98"/>
    <w:rsid w:val="00C02E4E"/>
    <w:rsid w:val="00C02F1C"/>
    <w:rsid w:val="00C03038"/>
    <w:rsid w:val="00C031D5"/>
    <w:rsid w:val="00C03295"/>
    <w:rsid w:val="00C0329C"/>
    <w:rsid w:val="00C032DC"/>
    <w:rsid w:val="00C03651"/>
    <w:rsid w:val="00C036AF"/>
    <w:rsid w:val="00C04251"/>
    <w:rsid w:val="00C045E3"/>
    <w:rsid w:val="00C046C5"/>
    <w:rsid w:val="00C04703"/>
    <w:rsid w:val="00C049B1"/>
    <w:rsid w:val="00C049ED"/>
    <w:rsid w:val="00C04A2C"/>
    <w:rsid w:val="00C04B34"/>
    <w:rsid w:val="00C04B56"/>
    <w:rsid w:val="00C04C2A"/>
    <w:rsid w:val="00C0526E"/>
    <w:rsid w:val="00C05384"/>
    <w:rsid w:val="00C0568E"/>
    <w:rsid w:val="00C05881"/>
    <w:rsid w:val="00C05ABA"/>
    <w:rsid w:val="00C05B29"/>
    <w:rsid w:val="00C05B92"/>
    <w:rsid w:val="00C05C41"/>
    <w:rsid w:val="00C060FD"/>
    <w:rsid w:val="00C061DE"/>
    <w:rsid w:val="00C064B7"/>
    <w:rsid w:val="00C06584"/>
    <w:rsid w:val="00C066B3"/>
    <w:rsid w:val="00C067CD"/>
    <w:rsid w:val="00C06929"/>
    <w:rsid w:val="00C06C5D"/>
    <w:rsid w:val="00C06D31"/>
    <w:rsid w:val="00C070CE"/>
    <w:rsid w:val="00C073A4"/>
    <w:rsid w:val="00C07443"/>
    <w:rsid w:val="00C075D9"/>
    <w:rsid w:val="00C078E1"/>
    <w:rsid w:val="00C07924"/>
    <w:rsid w:val="00C07971"/>
    <w:rsid w:val="00C07DCC"/>
    <w:rsid w:val="00C07FA5"/>
    <w:rsid w:val="00C10003"/>
    <w:rsid w:val="00C1003B"/>
    <w:rsid w:val="00C10365"/>
    <w:rsid w:val="00C105BF"/>
    <w:rsid w:val="00C10AB5"/>
    <w:rsid w:val="00C10B9B"/>
    <w:rsid w:val="00C10B9F"/>
    <w:rsid w:val="00C10DEF"/>
    <w:rsid w:val="00C111C2"/>
    <w:rsid w:val="00C1126B"/>
    <w:rsid w:val="00C11381"/>
    <w:rsid w:val="00C113AB"/>
    <w:rsid w:val="00C1143C"/>
    <w:rsid w:val="00C114CF"/>
    <w:rsid w:val="00C1155B"/>
    <w:rsid w:val="00C11708"/>
    <w:rsid w:val="00C1183A"/>
    <w:rsid w:val="00C11ADA"/>
    <w:rsid w:val="00C11DF1"/>
    <w:rsid w:val="00C12210"/>
    <w:rsid w:val="00C126FC"/>
    <w:rsid w:val="00C12769"/>
    <w:rsid w:val="00C127E6"/>
    <w:rsid w:val="00C12AC8"/>
    <w:rsid w:val="00C12E55"/>
    <w:rsid w:val="00C12E87"/>
    <w:rsid w:val="00C12F7C"/>
    <w:rsid w:val="00C1316F"/>
    <w:rsid w:val="00C13352"/>
    <w:rsid w:val="00C1340C"/>
    <w:rsid w:val="00C136DA"/>
    <w:rsid w:val="00C1384E"/>
    <w:rsid w:val="00C13875"/>
    <w:rsid w:val="00C13CA8"/>
    <w:rsid w:val="00C13DFA"/>
    <w:rsid w:val="00C13E9D"/>
    <w:rsid w:val="00C13F4A"/>
    <w:rsid w:val="00C14000"/>
    <w:rsid w:val="00C14041"/>
    <w:rsid w:val="00C1419E"/>
    <w:rsid w:val="00C14559"/>
    <w:rsid w:val="00C14680"/>
    <w:rsid w:val="00C146AC"/>
    <w:rsid w:val="00C14727"/>
    <w:rsid w:val="00C148A5"/>
    <w:rsid w:val="00C14A1C"/>
    <w:rsid w:val="00C14C99"/>
    <w:rsid w:val="00C14CC1"/>
    <w:rsid w:val="00C14EA4"/>
    <w:rsid w:val="00C14EE2"/>
    <w:rsid w:val="00C14F8D"/>
    <w:rsid w:val="00C155E5"/>
    <w:rsid w:val="00C15928"/>
    <w:rsid w:val="00C15946"/>
    <w:rsid w:val="00C15C91"/>
    <w:rsid w:val="00C15D94"/>
    <w:rsid w:val="00C15FDC"/>
    <w:rsid w:val="00C160B1"/>
    <w:rsid w:val="00C1619E"/>
    <w:rsid w:val="00C16391"/>
    <w:rsid w:val="00C167AC"/>
    <w:rsid w:val="00C169F3"/>
    <w:rsid w:val="00C16A5B"/>
    <w:rsid w:val="00C1715B"/>
    <w:rsid w:val="00C172B1"/>
    <w:rsid w:val="00C175F8"/>
    <w:rsid w:val="00C176F6"/>
    <w:rsid w:val="00C179CF"/>
    <w:rsid w:val="00C17A90"/>
    <w:rsid w:val="00C17CB5"/>
    <w:rsid w:val="00C17FC0"/>
    <w:rsid w:val="00C206CC"/>
    <w:rsid w:val="00C207EC"/>
    <w:rsid w:val="00C20954"/>
    <w:rsid w:val="00C20A5D"/>
    <w:rsid w:val="00C20C6B"/>
    <w:rsid w:val="00C20D3A"/>
    <w:rsid w:val="00C2100F"/>
    <w:rsid w:val="00C210C5"/>
    <w:rsid w:val="00C211F9"/>
    <w:rsid w:val="00C216EE"/>
    <w:rsid w:val="00C218F7"/>
    <w:rsid w:val="00C21901"/>
    <w:rsid w:val="00C21B7F"/>
    <w:rsid w:val="00C21CD2"/>
    <w:rsid w:val="00C21E28"/>
    <w:rsid w:val="00C21F21"/>
    <w:rsid w:val="00C21FC5"/>
    <w:rsid w:val="00C220D5"/>
    <w:rsid w:val="00C2215F"/>
    <w:rsid w:val="00C2220B"/>
    <w:rsid w:val="00C22458"/>
    <w:rsid w:val="00C227CC"/>
    <w:rsid w:val="00C228DC"/>
    <w:rsid w:val="00C22918"/>
    <w:rsid w:val="00C22B07"/>
    <w:rsid w:val="00C22DA6"/>
    <w:rsid w:val="00C22DEA"/>
    <w:rsid w:val="00C230A5"/>
    <w:rsid w:val="00C23341"/>
    <w:rsid w:val="00C233F0"/>
    <w:rsid w:val="00C239B2"/>
    <w:rsid w:val="00C23BF4"/>
    <w:rsid w:val="00C23D62"/>
    <w:rsid w:val="00C23F40"/>
    <w:rsid w:val="00C243FD"/>
    <w:rsid w:val="00C24B92"/>
    <w:rsid w:val="00C24EC4"/>
    <w:rsid w:val="00C24F5E"/>
    <w:rsid w:val="00C24FB0"/>
    <w:rsid w:val="00C25389"/>
    <w:rsid w:val="00C255DF"/>
    <w:rsid w:val="00C2583B"/>
    <w:rsid w:val="00C25868"/>
    <w:rsid w:val="00C259B4"/>
    <w:rsid w:val="00C25B8A"/>
    <w:rsid w:val="00C25ECA"/>
    <w:rsid w:val="00C2603D"/>
    <w:rsid w:val="00C261B7"/>
    <w:rsid w:val="00C26499"/>
    <w:rsid w:val="00C268A4"/>
    <w:rsid w:val="00C26953"/>
    <w:rsid w:val="00C26985"/>
    <w:rsid w:val="00C26B8F"/>
    <w:rsid w:val="00C26D20"/>
    <w:rsid w:val="00C26E73"/>
    <w:rsid w:val="00C273B2"/>
    <w:rsid w:val="00C27508"/>
    <w:rsid w:val="00C27516"/>
    <w:rsid w:val="00C2752D"/>
    <w:rsid w:val="00C27855"/>
    <w:rsid w:val="00C27979"/>
    <w:rsid w:val="00C27E15"/>
    <w:rsid w:val="00C3009D"/>
    <w:rsid w:val="00C302FC"/>
    <w:rsid w:val="00C303A2"/>
    <w:rsid w:val="00C3084F"/>
    <w:rsid w:val="00C30867"/>
    <w:rsid w:val="00C3096D"/>
    <w:rsid w:val="00C30BD6"/>
    <w:rsid w:val="00C3107C"/>
    <w:rsid w:val="00C3123D"/>
    <w:rsid w:val="00C31304"/>
    <w:rsid w:val="00C31366"/>
    <w:rsid w:val="00C3137A"/>
    <w:rsid w:val="00C318A6"/>
    <w:rsid w:val="00C31C4D"/>
    <w:rsid w:val="00C31EDD"/>
    <w:rsid w:val="00C31F26"/>
    <w:rsid w:val="00C3295E"/>
    <w:rsid w:val="00C32D13"/>
    <w:rsid w:val="00C32DBA"/>
    <w:rsid w:val="00C32F84"/>
    <w:rsid w:val="00C33464"/>
    <w:rsid w:val="00C3364B"/>
    <w:rsid w:val="00C33892"/>
    <w:rsid w:val="00C33936"/>
    <w:rsid w:val="00C3397B"/>
    <w:rsid w:val="00C33A17"/>
    <w:rsid w:val="00C33B07"/>
    <w:rsid w:val="00C33B54"/>
    <w:rsid w:val="00C33B59"/>
    <w:rsid w:val="00C33DF7"/>
    <w:rsid w:val="00C343BC"/>
    <w:rsid w:val="00C3490D"/>
    <w:rsid w:val="00C34B77"/>
    <w:rsid w:val="00C34B79"/>
    <w:rsid w:val="00C34B9E"/>
    <w:rsid w:val="00C34C0E"/>
    <w:rsid w:val="00C34F01"/>
    <w:rsid w:val="00C35014"/>
    <w:rsid w:val="00C35115"/>
    <w:rsid w:val="00C352F3"/>
    <w:rsid w:val="00C3559D"/>
    <w:rsid w:val="00C3580C"/>
    <w:rsid w:val="00C35CE5"/>
    <w:rsid w:val="00C35CFA"/>
    <w:rsid w:val="00C36001"/>
    <w:rsid w:val="00C3613B"/>
    <w:rsid w:val="00C36199"/>
    <w:rsid w:val="00C36227"/>
    <w:rsid w:val="00C3645C"/>
    <w:rsid w:val="00C36490"/>
    <w:rsid w:val="00C364C5"/>
    <w:rsid w:val="00C366C4"/>
    <w:rsid w:val="00C367BE"/>
    <w:rsid w:val="00C36822"/>
    <w:rsid w:val="00C36B30"/>
    <w:rsid w:val="00C36B4F"/>
    <w:rsid w:val="00C36DA8"/>
    <w:rsid w:val="00C36E5A"/>
    <w:rsid w:val="00C370E6"/>
    <w:rsid w:val="00C37185"/>
    <w:rsid w:val="00C371E9"/>
    <w:rsid w:val="00C374EA"/>
    <w:rsid w:val="00C37A04"/>
    <w:rsid w:val="00C37AF2"/>
    <w:rsid w:val="00C37CC0"/>
    <w:rsid w:val="00C37CCE"/>
    <w:rsid w:val="00C37E41"/>
    <w:rsid w:val="00C4029A"/>
    <w:rsid w:val="00C4047B"/>
    <w:rsid w:val="00C404CC"/>
    <w:rsid w:val="00C40889"/>
    <w:rsid w:val="00C40E89"/>
    <w:rsid w:val="00C418B4"/>
    <w:rsid w:val="00C41969"/>
    <w:rsid w:val="00C41B48"/>
    <w:rsid w:val="00C4214B"/>
    <w:rsid w:val="00C421A0"/>
    <w:rsid w:val="00C425F8"/>
    <w:rsid w:val="00C42632"/>
    <w:rsid w:val="00C427E7"/>
    <w:rsid w:val="00C42A10"/>
    <w:rsid w:val="00C42AAB"/>
    <w:rsid w:val="00C43249"/>
    <w:rsid w:val="00C437DD"/>
    <w:rsid w:val="00C438A9"/>
    <w:rsid w:val="00C4393D"/>
    <w:rsid w:val="00C43CDC"/>
    <w:rsid w:val="00C43D7A"/>
    <w:rsid w:val="00C43F85"/>
    <w:rsid w:val="00C446B1"/>
    <w:rsid w:val="00C446C9"/>
    <w:rsid w:val="00C446F3"/>
    <w:rsid w:val="00C44B11"/>
    <w:rsid w:val="00C44F94"/>
    <w:rsid w:val="00C4501E"/>
    <w:rsid w:val="00C455A4"/>
    <w:rsid w:val="00C45AB6"/>
    <w:rsid w:val="00C45E3D"/>
    <w:rsid w:val="00C45E8A"/>
    <w:rsid w:val="00C46301"/>
    <w:rsid w:val="00C4631F"/>
    <w:rsid w:val="00C4640F"/>
    <w:rsid w:val="00C46457"/>
    <w:rsid w:val="00C4655F"/>
    <w:rsid w:val="00C46770"/>
    <w:rsid w:val="00C46980"/>
    <w:rsid w:val="00C46ADE"/>
    <w:rsid w:val="00C46E8C"/>
    <w:rsid w:val="00C46F09"/>
    <w:rsid w:val="00C46FAD"/>
    <w:rsid w:val="00C4711F"/>
    <w:rsid w:val="00C4747E"/>
    <w:rsid w:val="00C4795D"/>
    <w:rsid w:val="00C479DA"/>
    <w:rsid w:val="00C500E3"/>
    <w:rsid w:val="00C5027B"/>
    <w:rsid w:val="00C50312"/>
    <w:rsid w:val="00C50458"/>
    <w:rsid w:val="00C50629"/>
    <w:rsid w:val="00C507AD"/>
    <w:rsid w:val="00C50814"/>
    <w:rsid w:val="00C50AEC"/>
    <w:rsid w:val="00C50BBD"/>
    <w:rsid w:val="00C50CD5"/>
    <w:rsid w:val="00C50F11"/>
    <w:rsid w:val="00C51083"/>
    <w:rsid w:val="00C51267"/>
    <w:rsid w:val="00C512E5"/>
    <w:rsid w:val="00C51451"/>
    <w:rsid w:val="00C5190D"/>
    <w:rsid w:val="00C51B9B"/>
    <w:rsid w:val="00C51C92"/>
    <w:rsid w:val="00C51EBF"/>
    <w:rsid w:val="00C51F77"/>
    <w:rsid w:val="00C5201F"/>
    <w:rsid w:val="00C5229B"/>
    <w:rsid w:val="00C522BA"/>
    <w:rsid w:val="00C52641"/>
    <w:rsid w:val="00C52807"/>
    <w:rsid w:val="00C529ED"/>
    <w:rsid w:val="00C52ACD"/>
    <w:rsid w:val="00C52F92"/>
    <w:rsid w:val="00C53206"/>
    <w:rsid w:val="00C5384D"/>
    <w:rsid w:val="00C53A43"/>
    <w:rsid w:val="00C53FE3"/>
    <w:rsid w:val="00C54720"/>
    <w:rsid w:val="00C54A38"/>
    <w:rsid w:val="00C54CDE"/>
    <w:rsid w:val="00C554CE"/>
    <w:rsid w:val="00C554E2"/>
    <w:rsid w:val="00C5551E"/>
    <w:rsid w:val="00C556C6"/>
    <w:rsid w:val="00C55ED2"/>
    <w:rsid w:val="00C562D2"/>
    <w:rsid w:val="00C5655B"/>
    <w:rsid w:val="00C56DD3"/>
    <w:rsid w:val="00C5726E"/>
    <w:rsid w:val="00C572E8"/>
    <w:rsid w:val="00C57378"/>
    <w:rsid w:val="00C5749F"/>
    <w:rsid w:val="00C574D8"/>
    <w:rsid w:val="00C576EB"/>
    <w:rsid w:val="00C57C68"/>
    <w:rsid w:val="00C57C6D"/>
    <w:rsid w:val="00C57CED"/>
    <w:rsid w:val="00C57F38"/>
    <w:rsid w:val="00C600B8"/>
    <w:rsid w:val="00C600C4"/>
    <w:rsid w:val="00C600DC"/>
    <w:rsid w:val="00C603FD"/>
    <w:rsid w:val="00C60813"/>
    <w:rsid w:val="00C60CBC"/>
    <w:rsid w:val="00C61030"/>
    <w:rsid w:val="00C6112A"/>
    <w:rsid w:val="00C612B1"/>
    <w:rsid w:val="00C6140D"/>
    <w:rsid w:val="00C61829"/>
    <w:rsid w:val="00C61841"/>
    <w:rsid w:val="00C62079"/>
    <w:rsid w:val="00C62142"/>
    <w:rsid w:val="00C6218B"/>
    <w:rsid w:val="00C62749"/>
    <w:rsid w:val="00C62776"/>
    <w:rsid w:val="00C6285C"/>
    <w:rsid w:val="00C629A5"/>
    <w:rsid w:val="00C62DE1"/>
    <w:rsid w:val="00C62F9A"/>
    <w:rsid w:val="00C62FB4"/>
    <w:rsid w:val="00C6344C"/>
    <w:rsid w:val="00C63578"/>
    <w:rsid w:val="00C6361C"/>
    <w:rsid w:val="00C63752"/>
    <w:rsid w:val="00C639C8"/>
    <w:rsid w:val="00C63D28"/>
    <w:rsid w:val="00C63F54"/>
    <w:rsid w:val="00C64045"/>
    <w:rsid w:val="00C641FE"/>
    <w:rsid w:val="00C642B8"/>
    <w:rsid w:val="00C64B61"/>
    <w:rsid w:val="00C6506D"/>
    <w:rsid w:val="00C651C7"/>
    <w:rsid w:val="00C65358"/>
    <w:rsid w:val="00C6537A"/>
    <w:rsid w:val="00C655B2"/>
    <w:rsid w:val="00C659E2"/>
    <w:rsid w:val="00C65EAD"/>
    <w:rsid w:val="00C65F44"/>
    <w:rsid w:val="00C66011"/>
    <w:rsid w:val="00C6603D"/>
    <w:rsid w:val="00C661AC"/>
    <w:rsid w:val="00C664FD"/>
    <w:rsid w:val="00C66952"/>
    <w:rsid w:val="00C6731F"/>
    <w:rsid w:val="00C6798A"/>
    <w:rsid w:val="00C67CA5"/>
    <w:rsid w:val="00C70106"/>
    <w:rsid w:val="00C705D7"/>
    <w:rsid w:val="00C707D5"/>
    <w:rsid w:val="00C70834"/>
    <w:rsid w:val="00C70909"/>
    <w:rsid w:val="00C70A6E"/>
    <w:rsid w:val="00C70ADC"/>
    <w:rsid w:val="00C70C34"/>
    <w:rsid w:val="00C70CA3"/>
    <w:rsid w:val="00C70EBA"/>
    <w:rsid w:val="00C70F18"/>
    <w:rsid w:val="00C71151"/>
    <w:rsid w:val="00C711AB"/>
    <w:rsid w:val="00C71219"/>
    <w:rsid w:val="00C715B3"/>
    <w:rsid w:val="00C719BE"/>
    <w:rsid w:val="00C71AA0"/>
    <w:rsid w:val="00C71D2B"/>
    <w:rsid w:val="00C71E67"/>
    <w:rsid w:val="00C72086"/>
    <w:rsid w:val="00C72095"/>
    <w:rsid w:val="00C722CA"/>
    <w:rsid w:val="00C72472"/>
    <w:rsid w:val="00C72BF8"/>
    <w:rsid w:val="00C72CD4"/>
    <w:rsid w:val="00C72CE7"/>
    <w:rsid w:val="00C72F68"/>
    <w:rsid w:val="00C731DB"/>
    <w:rsid w:val="00C7343F"/>
    <w:rsid w:val="00C734F0"/>
    <w:rsid w:val="00C735A3"/>
    <w:rsid w:val="00C7366F"/>
    <w:rsid w:val="00C73686"/>
    <w:rsid w:val="00C73850"/>
    <w:rsid w:val="00C73A88"/>
    <w:rsid w:val="00C73AF1"/>
    <w:rsid w:val="00C73D7F"/>
    <w:rsid w:val="00C73EAD"/>
    <w:rsid w:val="00C73EF7"/>
    <w:rsid w:val="00C73F8C"/>
    <w:rsid w:val="00C7421A"/>
    <w:rsid w:val="00C743F1"/>
    <w:rsid w:val="00C745A8"/>
    <w:rsid w:val="00C74865"/>
    <w:rsid w:val="00C74B55"/>
    <w:rsid w:val="00C75099"/>
    <w:rsid w:val="00C75361"/>
    <w:rsid w:val="00C75435"/>
    <w:rsid w:val="00C7562A"/>
    <w:rsid w:val="00C75C6A"/>
    <w:rsid w:val="00C75F36"/>
    <w:rsid w:val="00C75FB2"/>
    <w:rsid w:val="00C76174"/>
    <w:rsid w:val="00C7649A"/>
    <w:rsid w:val="00C76898"/>
    <w:rsid w:val="00C76A05"/>
    <w:rsid w:val="00C76CFB"/>
    <w:rsid w:val="00C77053"/>
    <w:rsid w:val="00C7735F"/>
    <w:rsid w:val="00C7751E"/>
    <w:rsid w:val="00C775C6"/>
    <w:rsid w:val="00C77B16"/>
    <w:rsid w:val="00C77C95"/>
    <w:rsid w:val="00C77CF9"/>
    <w:rsid w:val="00C77E49"/>
    <w:rsid w:val="00C77E4D"/>
    <w:rsid w:val="00C806D4"/>
    <w:rsid w:val="00C80810"/>
    <w:rsid w:val="00C809D6"/>
    <w:rsid w:val="00C80CAF"/>
    <w:rsid w:val="00C80EBB"/>
    <w:rsid w:val="00C81246"/>
    <w:rsid w:val="00C81287"/>
    <w:rsid w:val="00C812E3"/>
    <w:rsid w:val="00C8175C"/>
    <w:rsid w:val="00C81821"/>
    <w:rsid w:val="00C81897"/>
    <w:rsid w:val="00C819E2"/>
    <w:rsid w:val="00C81AE1"/>
    <w:rsid w:val="00C81D2B"/>
    <w:rsid w:val="00C820A0"/>
    <w:rsid w:val="00C822EB"/>
    <w:rsid w:val="00C823BE"/>
    <w:rsid w:val="00C8291E"/>
    <w:rsid w:val="00C82EB0"/>
    <w:rsid w:val="00C82FEF"/>
    <w:rsid w:val="00C831EA"/>
    <w:rsid w:val="00C831F1"/>
    <w:rsid w:val="00C832B4"/>
    <w:rsid w:val="00C83335"/>
    <w:rsid w:val="00C8371D"/>
    <w:rsid w:val="00C83807"/>
    <w:rsid w:val="00C8383F"/>
    <w:rsid w:val="00C83A71"/>
    <w:rsid w:val="00C83B2C"/>
    <w:rsid w:val="00C83D80"/>
    <w:rsid w:val="00C83F65"/>
    <w:rsid w:val="00C8435F"/>
    <w:rsid w:val="00C843D6"/>
    <w:rsid w:val="00C846B5"/>
    <w:rsid w:val="00C846DB"/>
    <w:rsid w:val="00C84840"/>
    <w:rsid w:val="00C848F2"/>
    <w:rsid w:val="00C84AF8"/>
    <w:rsid w:val="00C84DCF"/>
    <w:rsid w:val="00C850C1"/>
    <w:rsid w:val="00C85291"/>
    <w:rsid w:val="00C8529B"/>
    <w:rsid w:val="00C856A4"/>
    <w:rsid w:val="00C85752"/>
    <w:rsid w:val="00C8611C"/>
    <w:rsid w:val="00C862A2"/>
    <w:rsid w:val="00C865C4"/>
    <w:rsid w:val="00C8679B"/>
    <w:rsid w:val="00C8681F"/>
    <w:rsid w:val="00C86B1F"/>
    <w:rsid w:val="00C86D7A"/>
    <w:rsid w:val="00C8700E"/>
    <w:rsid w:val="00C87071"/>
    <w:rsid w:val="00C875E0"/>
    <w:rsid w:val="00C87730"/>
    <w:rsid w:val="00C87897"/>
    <w:rsid w:val="00C87B2B"/>
    <w:rsid w:val="00C87C1E"/>
    <w:rsid w:val="00C9004A"/>
    <w:rsid w:val="00C906B5"/>
    <w:rsid w:val="00C90BD8"/>
    <w:rsid w:val="00C90EFF"/>
    <w:rsid w:val="00C91110"/>
    <w:rsid w:val="00C9166F"/>
    <w:rsid w:val="00C916CB"/>
    <w:rsid w:val="00C91A62"/>
    <w:rsid w:val="00C91F0D"/>
    <w:rsid w:val="00C922B0"/>
    <w:rsid w:val="00C92B00"/>
    <w:rsid w:val="00C92D45"/>
    <w:rsid w:val="00C9309B"/>
    <w:rsid w:val="00C93191"/>
    <w:rsid w:val="00C93237"/>
    <w:rsid w:val="00C93505"/>
    <w:rsid w:val="00C936FF"/>
    <w:rsid w:val="00C937A0"/>
    <w:rsid w:val="00C93EB3"/>
    <w:rsid w:val="00C94268"/>
    <w:rsid w:val="00C942DC"/>
    <w:rsid w:val="00C944CE"/>
    <w:rsid w:val="00C947F3"/>
    <w:rsid w:val="00C94C6A"/>
    <w:rsid w:val="00C94E96"/>
    <w:rsid w:val="00C94F7A"/>
    <w:rsid w:val="00C95188"/>
    <w:rsid w:val="00C95350"/>
    <w:rsid w:val="00C9549E"/>
    <w:rsid w:val="00C95916"/>
    <w:rsid w:val="00C95BDE"/>
    <w:rsid w:val="00C95CC5"/>
    <w:rsid w:val="00C9606A"/>
    <w:rsid w:val="00C96182"/>
    <w:rsid w:val="00C9694F"/>
    <w:rsid w:val="00C9698B"/>
    <w:rsid w:val="00C96A76"/>
    <w:rsid w:val="00C96A82"/>
    <w:rsid w:val="00C96AA5"/>
    <w:rsid w:val="00C96C12"/>
    <w:rsid w:val="00C96F6D"/>
    <w:rsid w:val="00C96FB9"/>
    <w:rsid w:val="00C97189"/>
    <w:rsid w:val="00C9729D"/>
    <w:rsid w:val="00C973B9"/>
    <w:rsid w:val="00C974FD"/>
    <w:rsid w:val="00C97544"/>
    <w:rsid w:val="00C97963"/>
    <w:rsid w:val="00C97CF1"/>
    <w:rsid w:val="00C97D9C"/>
    <w:rsid w:val="00CA009C"/>
    <w:rsid w:val="00CA063B"/>
    <w:rsid w:val="00CA06F2"/>
    <w:rsid w:val="00CA0B48"/>
    <w:rsid w:val="00CA0C2C"/>
    <w:rsid w:val="00CA0C84"/>
    <w:rsid w:val="00CA0C8E"/>
    <w:rsid w:val="00CA1070"/>
    <w:rsid w:val="00CA123A"/>
    <w:rsid w:val="00CA13F2"/>
    <w:rsid w:val="00CA16A5"/>
    <w:rsid w:val="00CA1894"/>
    <w:rsid w:val="00CA1AF7"/>
    <w:rsid w:val="00CA1C6E"/>
    <w:rsid w:val="00CA1C93"/>
    <w:rsid w:val="00CA1F3E"/>
    <w:rsid w:val="00CA1F94"/>
    <w:rsid w:val="00CA1FC5"/>
    <w:rsid w:val="00CA202A"/>
    <w:rsid w:val="00CA2100"/>
    <w:rsid w:val="00CA26B0"/>
    <w:rsid w:val="00CA29FE"/>
    <w:rsid w:val="00CA2AE3"/>
    <w:rsid w:val="00CA2C82"/>
    <w:rsid w:val="00CA2D2C"/>
    <w:rsid w:val="00CA2EA1"/>
    <w:rsid w:val="00CA2FD1"/>
    <w:rsid w:val="00CA33A1"/>
    <w:rsid w:val="00CA3457"/>
    <w:rsid w:val="00CA35B6"/>
    <w:rsid w:val="00CA39EB"/>
    <w:rsid w:val="00CA39EE"/>
    <w:rsid w:val="00CA3D10"/>
    <w:rsid w:val="00CA41F8"/>
    <w:rsid w:val="00CA463B"/>
    <w:rsid w:val="00CA4802"/>
    <w:rsid w:val="00CA48D2"/>
    <w:rsid w:val="00CA4CE4"/>
    <w:rsid w:val="00CA4DAF"/>
    <w:rsid w:val="00CA4DC7"/>
    <w:rsid w:val="00CA4E87"/>
    <w:rsid w:val="00CA4F4B"/>
    <w:rsid w:val="00CA50C8"/>
    <w:rsid w:val="00CA51C7"/>
    <w:rsid w:val="00CA52C7"/>
    <w:rsid w:val="00CA542D"/>
    <w:rsid w:val="00CA5C5C"/>
    <w:rsid w:val="00CA5EFF"/>
    <w:rsid w:val="00CA5F18"/>
    <w:rsid w:val="00CA61C6"/>
    <w:rsid w:val="00CA63C0"/>
    <w:rsid w:val="00CA6441"/>
    <w:rsid w:val="00CA65A1"/>
    <w:rsid w:val="00CA68B7"/>
    <w:rsid w:val="00CA68D4"/>
    <w:rsid w:val="00CA6A23"/>
    <w:rsid w:val="00CA6A56"/>
    <w:rsid w:val="00CA6ACB"/>
    <w:rsid w:val="00CA6BCF"/>
    <w:rsid w:val="00CA6CC8"/>
    <w:rsid w:val="00CA6F04"/>
    <w:rsid w:val="00CA725B"/>
    <w:rsid w:val="00CA7A01"/>
    <w:rsid w:val="00CA7F84"/>
    <w:rsid w:val="00CB027A"/>
    <w:rsid w:val="00CB0319"/>
    <w:rsid w:val="00CB0323"/>
    <w:rsid w:val="00CB0381"/>
    <w:rsid w:val="00CB03C0"/>
    <w:rsid w:val="00CB03F5"/>
    <w:rsid w:val="00CB0ADE"/>
    <w:rsid w:val="00CB1166"/>
    <w:rsid w:val="00CB11FD"/>
    <w:rsid w:val="00CB15E9"/>
    <w:rsid w:val="00CB1876"/>
    <w:rsid w:val="00CB1960"/>
    <w:rsid w:val="00CB1AC3"/>
    <w:rsid w:val="00CB1C19"/>
    <w:rsid w:val="00CB1C87"/>
    <w:rsid w:val="00CB1E74"/>
    <w:rsid w:val="00CB229B"/>
    <w:rsid w:val="00CB2639"/>
    <w:rsid w:val="00CB286E"/>
    <w:rsid w:val="00CB28E7"/>
    <w:rsid w:val="00CB28FE"/>
    <w:rsid w:val="00CB2BD7"/>
    <w:rsid w:val="00CB3508"/>
    <w:rsid w:val="00CB35B0"/>
    <w:rsid w:val="00CB3737"/>
    <w:rsid w:val="00CB39FA"/>
    <w:rsid w:val="00CB3AE2"/>
    <w:rsid w:val="00CB3C1F"/>
    <w:rsid w:val="00CB3D8D"/>
    <w:rsid w:val="00CB3FF8"/>
    <w:rsid w:val="00CB4037"/>
    <w:rsid w:val="00CB415F"/>
    <w:rsid w:val="00CB42C2"/>
    <w:rsid w:val="00CB463F"/>
    <w:rsid w:val="00CB471A"/>
    <w:rsid w:val="00CB4AD5"/>
    <w:rsid w:val="00CB4B1E"/>
    <w:rsid w:val="00CB4CFF"/>
    <w:rsid w:val="00CB5243"/>
    <w:rsid w:val="00CB527A"/>
    <w:rsid w:val="00CB57A2"/>
    <w:rsid w:val="00CB5810"/>
    <w:rsid w:val="00CB5B42"/>
    <w:rsid w:val="00CB6526"/>
    <w:rsid w:val="00CB656F"/>
    <w:rsid w:val="00CB65E2"/>
    <w:rsid w:val="00CB660F"/>
    <w:rsid w:val="00CB6689"/>
    <w:rsid w:val="00CB673A"/>
    <w:rsid w:val="00CB6DD2"/>
    <w:rsid w:val="00CB6E83"/>
    <w:rsid w:val="00CB6FAF"/>
    <w:rsid w:val="00CB7202"/>
    <w:rsid w:val="00CB7279"/>
    <w:rsid w:val="00CB7768"/>
    <w:rsid w:val="00CB7889"/>
    <w:rsid w:val="00CB79A1"/>
    <w:rsid w:val="00CB79DA"/>
    <w:rsid w:val="00CB7BD5"/>
    <w:rsid w:val="00CB7C66"/>
    <w:rsid w:val="00CB7FD3"/>
    <w:rsid w:val="00CC000F"/>
    <w:rsid w:val="00CC003D"/>
    <w:rsid w:val="00CC00BD"/>
    <w:rsid w:val="00CC0196"/>
    <w:rsid w:val="00CC0457"/>
    <w:rsid w:val="00CC06B8"/>
    <w:rsid w:val="00CC0782"/>
    <w:rsid w:val="00CC07EA"/>
    <w:rsid w:val="00CC0901"/>
    <w:rsid w:val="00CC0A01"/>
    <w:rsid w:val="00CC0CCD"/>
    <w:rsid w:val="00CC0D45"/>
    <w:rsid w:val="00CC0E2B"/>
    <w:rsid w:val="00CC0FC9"/>
    <w:rsid w:val="00CC1423"/>
    <w:rsid w:val="00CC14A4"/>
    <w:rsid w:val="00CC1582"/>
    <w:rsid w:val="00CC166C"/>
    <w:rsid w:val="00CC1B81"/>
    <w:rsid w:val="00CC1D3A"/>
    <w:rsid w:val="00CC1F10"/>
    <w:rsid w:val="00CC241A"/>
    <w:rsid w:val="00CC246D"/>
    <w:rsid w:val="00CC24C9"/>
    <w:rsid w:val="00CC25C2"/>
    <w:rsid w:val="00CC2BE5"/>
    <w:rsid w:val="00CC2FCA"/>
    <w:rsid w:val="00CC30F9"/>
    <w:rsid w:val="00CC3144"/>
    <w:rsid w:val="00CC34AE"/>
    <w:rsid w:val="00CC3572"/>
    <w:rsid w:val="00CC3800"/>
    <w:rsid w:val="00CC3C13"/>
    <w:rsid w:val="00CC3FC1"/>
    <w:rsid w:val="00CC3FF3"/>
    <w:rsid w:val="00CC44CD"/>
    <w:rsid w:val="00CC45BF"/>
    <w:rsid w:val="00CC4711"/>
    <w:rsid w:val="00CC4C3E"/>
    <w:rsid w:val="00CC4D52"/>
    <w:rsid w:val="00CC4F25"/>
    <w:rsid w:val="00CC4F63"/>
    <w:rsid w:val="00CC50AA"/>
    <w:rsid w:val="00CC5118"/>
    <w:rsid w:val="00CC559D"/>
    <w:rsid w:val="00CC5675"/>
    <w:rsid w:val="00CC56C3"/>
    <w:rsid w:val="00CC5B0C"/>
    <w:rsid w:val="00CC5B8E"/>
    <w:rsid w:val="00CC5C50"/>
    <w:rsid w:val="00CC5C7C"/>
    <w:rsid w:val="00CC5E77"/>
    <w:rsid w:val="00CC5FC2"/>
    <w:rsid w:val="00CC6085"/>
    <w:rsid w:val="00CC60DA"/>
    <w:rsid w:val="00CC6135"/>
    <w:rsid w:val="00CC6156"/>
    <w:rsid w:val="00CC622C"/>
    <w:rsid w:val="00CC633E"/>
    <w:rsid w:val="00CC6368"/>
    <w:rsid w:val="00CC64CE"/>
    <w:rsid w:val="00CC6508"/>
    <w:rsid w:val="00CC6565"/>
    <w:rsid w:val="00CC6772"/>
    <w:rsid w:val="00CC683F"/>
    <w:rsid w:val="00CC69C5"/>
    <w:rsid w:val="00CC69DE"/>
    <w:rsid w:val="00CC6B8E"/>
    <w:rsid w:val="00CC6BC0"/>
    <w:rsid w:val="00CC73F3"/>
    <w:rsid w:val="00CC7AA7"/>
    <w:rsid w:val="00CC7C13"/>
    <w:rsid w:val="00CC7D12"/>
    <w:rsid w:val="00CC7DF0"/>
    <w:rsid w:val="00CC7F48"/>
    <w:rsid w:val="00CD05BC"/>
    <w:rsid w:val="00CD072B"/>
    <w:rsid w:val="00CD096F"/>
    <w:rsid w:val="00CD09F2"/>
    <w:rsid w:val="00CD0A39"/>
    <w:rsid w:val="00CD0C6F"/>
    <w:rsid w:val="00CD0E3C"/>
    <w:rsid w:val="00CD0F34"/>
    <w:rsid w:val="00CD11CA"/>
    <w:rsid w:val="00CD139E"/>
    <w:rsid w:val="00CD1413"/>
    <w:rsid w:val="00CD1A26"/>
    <w:rsid w:val="00CD1A98"/>
    <w:rsid w:val="00CD1B0E"/>
    <w:rsid w:val="00CD1C89"/>
    <w:rsid w:val="00CD1EBD"/>
    <w:rsid w:val="00CD1F70"/>
    <w:rsid w:val="00CD21A0"/>
    <w:rsid w:val="00CD255F"/>
    <w:rsid w:val="00CD263B"/>
    <w:rsid w:val="00CD2681"/>
    <w:rsid w:val="00CD2882"/>
    <w:rsid w:val="00CD2920"/>
    <w:rsid w:val="00CD2FDD"/>
    <w:rsid w:val="00CD35CF"/>
    <w:rsid w:val="00CD3BCB"/>
    <w:rsid w:val="00CD3CEE"/>
    <w:rsid w:val="00CD45C5"/>
    <w:rsid w:val="00CD46FA"/>
    <w:rsid w:val="00CD4A2F"/>
    <w:rsid w:val="00CD4DFB"/>
    <w:rsid w:val="00CD5369"/>
    <w:rsid w:val="00CD55EB"/>
    <w:rsid w:val="00CD579E"/>
    <w:rsid w:val="00CD58EA"/>
    <w:rsid w:val="00CD59EE"/>
    <w:rsid w:val="00CD5FF6"/>
    <w:rsid w:val="00CD60EA"/>
    <w:rsid w:val="00CD62DD"/>
    <w:rsid w:val="00CD649D"/>
    <w:rsid w:val="00CD65A6"/>
    <w:rsid w:val="00CD6624"/>
    <w:rsid w:val="00CD6783"/>
    <w:rsid w:val="00CD67B3"/>
    <w:rsid w:val="00CD6A9C"/>
    <w:rsid w:val="00CD6AC7"/>
    <w:rsid w:val="00CD6D6B"/>
    <w:rsid w:val="00CD6EAD"/>
    <w:rsid w:val="00CD6FE6"/>
    <w:rsid w:val="00CD74EC"/>
    <w:rsid w:val="00CD75C7"/>
    <w:rsid w:val="00CD7A64"/>
    <w:rsid w:val="00CD7A75"/>
    <w:rsid w:val="00CD7C30"/>
    <w:rsid w:val="00CD7D27"/>
    <w:rsid w:val="00CE0287"/>
    <w:rsid w:val="00CE05B6"/>
    <w:rsid w:val="00CE0923"/>
    <w:rsid w:val="00CE0C73"/>
    <w:rsid w:val="00CE0D98"/>
    <w:rsid w:val="00CE116B"/>
    <w:rsid w:val="00CE1520"/>
    <w:rsid w:val="00CE154C"/>
    <w:rsid w:val="00CE168A"/>
    <w:rsid w:val="00CE1975"/>
    <w:rsid w:val="00CE1BFF"/>
    <w:rsid w:val="00CE1C2D"/>
    <w:rsid w:val="00CE1EF7"/>
    <w:rsid w:val="00CE1F02"/>
    <w:rsid w:val="00CE1F8C"/>
    <w:rsid w:val="00CE218F"/>
    <w:rsid w:val="00CE2216"/>
    <w:rsid w:val="00CE2421"/>
    <w:rsid w:val="00CE2470"/>
    <w:rsid w:val="00CE24F4"/>
    <w:rsid w:val="00CE25B1"/>
    <w:rsid w:val="00CE27FA"/>
    <w:rsid w:val="00CE28D3"/>
    <w:rsid w:val="00CE2995"/>
    <w:rsid w:val="00CE2B01"/>
    <w:rsid w:val="00CE3010"/>
    <w:rsid w:val="00CE3193"/>
    <w:rsid w:val="00CE323D"/>
    <w:rsid w:val="00CE3466"/>
    <w:rsid w:val="00CE34FA"/>
    <w:rsid w:val="00CE3590"/>
    <w:rsid w:val="00CE3604"/>
    <w:rsid w:val="00CE37C3"/>
    <w:rsid w:val="00CE3E05"/>
    <w:rsid w:val="00CE3F19"/>
    <w:rsid w:val="00CE405F"/>
    <w:rsid w:val="00CE4064"/>
    <w:rsid w:val="00CE45FD"/>
    <w:rsid w:val="00CE4D40"/>
    <w:rsid w:val="00CE4E1A"/>
    <w:rsid w:val="00CE4E92"/>
    <w:rsid w:val="00CE50AD"/>
    <w:rsid w:val="00CE5375"/>
    <w:rsid w:val="00CE5488"/>
    <w:rsid w:val="00CE5497"/>
    <w:rsid w:val="00CE5707"/>
    <w:rsid w:val="00CE5716"/>
    <w:rsid w:val="00CE58FD"/>
    <w:rsid w:val="00CE5B10"/>
    <w:rsid w:val="00CE5F50"/>
    <w:rsid w:val="00CE5FFE"/>
    <w:rsid w:val="00CE6376"/>
    <w:rsid w:val="00CE6414"/>
    <w:rsid w:val="00CE6875"/>
    <w:rsid w:val="00CE6BAA"/>
    <w:rsid w:val="00CE6C92"/>
    <w:rsid w:val="00CE6D0C"/>
    <w:rsid w:val="00CE6DCF"/>
    <w:rsid w:val="00CE7011"/>
    <w:rsid w:val="00CE73B3"/>
    <w:rsid w:val="00CE7403"/>
    <w:rsid w:val="00CE7458"/>
    <w:rsid w:val="00CE7622"/>
    <w:rsid w:val="00CE79A2"/>
    <w:rsid w:val="00CE7D49"/>
    <w:rsid w:val="00CF02FB"/>
    <w:rsid w:val="00CF0475"/>
    <w:rsid w:val="00CF0865"/>
    <w:rsid w:val="00CF0A79"/>
    <w:rsid w:val="00CF0CEE"/>
    <w:rsid w:val="00CF0D8E"/>
    <w:rsid w:val="00CF1694"/>
    <w:rsid w:val="00CF16CD"/>
    <w:rsid w:val="00CF1709"/>
    <w:rsid w:val="00CF1771"/>
    <w:rsid w:val="00CF1801"/>
    <w:rsid w:val="00CF1CCB"/>
    <w:rsid w:val="00CF1D31"/>
    <w:rsid w:val="00CF1DE7"/>
    <w:rsid w:val="00CF1E06"/>
    <w:rsid w:val="00CF2265"/>
    <w:rsid w:val="00CF2599"/>
    <w:rsid w:val="00CF28AB"/>
    <w:rsid w:val="00CF291A"/>
    <w:rsid w:val="00CF2922"/>
    <w:rsid w:val="00CF2FB6"/>
    <w:rsid w:val="00CF3110"/>
    <w:rsid w:val="00CF3346"/>
    <w:rsid w:val="00CF3595"/>
    <w:rsid w:val="00CF35D4"/>
    <w:rsid w:val="00CF39EB"/>
    <w:rsid w:val="00CF3C71"/>
    <w:rsid w:val="00CF3CA7"/>
    <w:rsid w:val="00CF3D3D"/>
    <w:rsid w:val="00CF3D50"/>
    <w:rsid w:val="00CF3FC9"/>
    <w:rsid w:val="00CF41D0"/>
    <w:rsid w:val="00CF43E3"/>
    <w:rsid w:val="00CF44E3"/>
    <w:rsid w:val="00CF4597"/>
    <w:rsid w:val="00CF4BAE"/>
    <w:rsid w:val="00CF508D"/>
    <w:rsid w:val="00CF5317"/>
    <w:rsid w:val="00CF6183"/>
    <w:rsid w:val="00CF61D3"/>
    <w:rsid w:val="00CF65A1"/>
    <w:rsid w:val="00CF6B68"/>
    <w:rsid w:val="00CF6FC1"/>
    <w:rsid w:val="00CF7072"/>
    <w:rsid w:val="00CF710C"/>
    <w:rsid w:val="00CF7629"/>
    <w:rsid w:val="00CF765F"/>
    <w:rsid w:val="00CF7851"/>
    <w:rsid w:val="00CF797E"/>
    <w:rsid w:val="00CF7A6F"/>
    <w:rsid w:val="00D0032E"/>
    <w:rsid w:val="00D0072D"/>
    <w:rsid w:val="00D00763"/>
    <w:rsid w:val="00D007F1"/>
    <w:rsid w:val="00D00904"/>
    <w:rsid w:val="00D00B63"/>
    <w:rsid w:val="00D00DD8"/>
    <w:rsid w:val="00D00E36"/>
    <w:rsid w:val="00D01021"/>
    <w:rsid w:val="00D01645"/>
    <w:rsid w:val="00D01B35"/>
    <w:rsid w:val="00D0216A"/>
    <w:rsid w:val="00D021BA"/>
    <w:rsid w:val="00D02300"/>
    <w:rsid w:val="00D0234C"/>
    <w:rsid w:val="00D02A4C"/>
    <w:rsid w:val="00D02A8A"/>
    <w:rsid w:val="00D02AD3"/>
    <w:rsid w:val="00D02BEB"/>
    <w:rsid w:val="00D02D97"/>
    <w:rsid w:val="00D02DC8"/>
    <w:rsid w:val="00D02EBF"/>
    <w:rsid w:val="00D02FA6"/>
    <w:rsid w:val="00D02FFB"/>
    <w:rsid w:val="00D03019"/>
    <w:rsid w:val="00D03099"/>
    <w:rsid w:val="00D03286"/>
    <w:rsid w:val="00D032C2"/>
    <w:rsid w:val="00D032C4"/>
    <w:rsid w:val="00D0342E"/>
    <w:rsid w:val="00D0343F"/>
    <w:rsid w:val="00D03463"/>
    <w:rsid w:val="00D0358D"/>
    <w:rsid w:val="00D03846"/>
    <w:rsid w:val="00D03899"/>
    <w:rsid w:val="00D03923"/>
    <w:rsid w:val="00D03C20"/>
    <w:rsid w:val="00D03CF4"/>
    <w:rsid w:val="00D03D36"/>
    <w:rsid w:val="00D03FC3"/>
    <w:rsid w:val="00D046C3"/>
    <w:rsid w:val="00D0473C"/>
    <w:rsid w:val="00D048E3"/>
    <w:rsid w:val="00D049FB"/>
    <w:rsid w:val="00D04A1B"/>
    <w:rsid w:val="00D04DB1"/>
    <w:rsid w:val="00D050FD"/>
    <w:rsid w:val="00D0536B"/>
    <w:rsid w:val="00D05756"/>
    <w:rsid w:val="00D057D7"/>
    <w:rsid w:val="00D05B9D"/>
    <w:rsid w:val="00D05F1D"/>
    <w:rsid w:val="00D06652"/>
    <w:rsid w:val="00D0668C"/>
    <w:rsid w:val="00D066D9"/>
    <w:rsid w:val="00D06A5E"/>
    <w:rsid w:val="00D06AB7"/>
    <w:rsid w:val="00D06C70"/>
    <w:rsid w:val="00D06F03"/>
    <w:rsid w:val="00D0701E"/>
    <w:rsid w:val="00D0760F"/>
    <w:rsid w:val="00D076CC"/>
    <w:rsid w:val="00D07785"/>
    <w:rsid w:val="00D07A6C"/>
    <w:rsid w:val="00D07C10"/>
    <w:rsid w:val="00D10045"/>
    <w:rsid w:val="00D1016A"/>
    <w:rsid w:val="00D102D8"/>
    <w:rsid w:val="00D10375"/>
    <w:rsid w:val="00D10C0F"/>
    <w:rsid w:val="00D10D67"/>
    <w:rsid w:val="00D10E32"/>
    <w:rsid w:val="00D1118C"/>
    <w:rsid w:val="00D111B1"/>
    <w:rsid w:val="00D11815"/>
    <w:rsid w:val="00D11D06"/>
    <w:rsid w:val="00D11D20"/>
    <w:rsid w:val="00D11ED5"/>
    <w:rsid w:val="00D1210E"/>
    <w:rsid w:val="00D121B6"/>
    <w:rsid w:val="00D12386"/>
    <w:rsid w:val="00D125A2"/>
    <w:rsid w:val="00D12675"/>
    <w:rsid w:val="00D126A9"/>
    <w:rsid w:val="00D12ABE"/>
    <w:rsid w:val="00D13199"/>
    <w:rsid w:val="00D13474"/>
    <w:rsid w:val="00D13800"/>
    <w:rsid w:val="00D1386F"/>
    <w:rsid w:val="00D13879"/>
    <w:rsid w:val="00D138A7"/>
    <w:rsid w:val="00D13A98"/>
    <w:rsid w:val="00D13C66"/>
    <w:rsid w:val="00D1435D"/>
    <w:rsid w:val="00D14395"/>
    <w:rsid w:val="00D14BDE"/>
    <w:rsid w:val="00D14C93"/>
    <w:rsid w:val="00D14EBD"/>
    <w:rsid w:val="00D15226"/>
    <w:rsid w:val="00D1563F"/>
    <w:rsid w:val="00D15771"/>
    <w:rsid w:val="00D1590B"/>
    <w:rsid w:val="00D1596E"/>
    <w:rsid w:val="00D15CE9"/>
    <w:rsid w:val="00D15D3F"/>
    <w:rsid w:val="00D15EA2"/>
    <w:rsid w:val="00D16082"/>
    <w:rsid w:val="00D16195"/>
    <w:rsid w:val="00D161EA"/>
    <w:rsid w:val="00D162BF"/>
    <w:rsid w:val="00D16936"/>
    <w:rsid w:val="00D16C99"/>
    <w:rsid w:val="00D16DF1"/>
    <w:rsid w:val="00D16ECD"/>
    <w:rsid w:val="00D170CF"/>
    <w:rsid w:val="00D1746F"/>
    <w:rsid w:val="00D177FD"/>
    <w:rsid w:val="00D1784F"/>
    <w:rsid w:val="00D17908"/>
    <w:rsid w:val="00D179CF"/>
    <w:rsid w:val="00D179F1"/>
    <w:rsid w:val="00D17C08"/>
    <w:rsid w:val="00D17E6E"/>
    <w:rsid w:val="00D17EF9"/>
    <w:rsid w:val="00D20018"/>
    <w:rsid w:val="00D20059"/>
    <w:rsid w:val="00D203C6"/>
    <w:rsid w:val="00D20676"/>
    <w:rsid w:val="00D20730"/>
    <w:rsid w:val="00D208D5"/>
    <w:rsid w:val="00D20A55"/>
    <w:rsid w:val="00D20DA6"/>
    <w:rsid w:val="00D20FE2"/>
    <w:rsid w:val="00D210A1"/>
    <w:rsid w:val="00D2131A"/>
    <w:rsid w:val="00D2145F"/>
    <w:rsid w:val="00D214FE"/>
    <w:rsid w:val="00D2150F"/>
    <w:rsid w:val="00D216C4"/>
    <w:rsid w:val="00D218F0"/>
    <w:rsid w:val="00D21A8A"/>
    <w:rsid w:val="00D21C1A"/>
    <w:rsid w:val="00D21C62"/>
    <w:rsid w:val="00D21CF9"/>
    <w:rsid w:val="00D21F4B"/>
    <w:rsid w:val="00D220AC"/>
    <w:rsid w:val="00D221BB"/>
    <w:rsid w:val="00D222DB"/>
    <w:rsid w:val="00D22718"/>
    <w:rsid w:val="00D22923"/>
    <w:rsid w:val="00D22FB9"/>
    <w:rsid w:val="00D23054"/>
    <w:rsid w:val="00D23358"/>
    <w:rsid w:val="00D233F4"/>
    <w:rsid w:val="00D23546"/>
    <w:rsid w:val="00D235B5"/>
    <w:rsid w:val="00D23EB6"/>
    <w:rsid w:val="00D24144"/>
    <w:rsid w:val="00D249FE"/>
    <w:rsid w:val="00D24F9B"/>
    <w:rsid w:val="00D25049"/>
    <w:rsid w:val="00D25074"/>
    <w:rsid w:val="00D2512F"/>
    <w:rsid w:val="00D258F2"/>
    <w:rsid w:val="00D2594E"/>
    <w:rsid w:val="00D25AED"/>
    <w:rsid w:val="00D25D14"/>
    <w:rsid w:val="00D25E0D"/>
    <w:rsid w:val="00D25F22"/>
    <w:rsid w:val="00D25F7C"/>
    <w:rsid w:val="00D2621F"/>
    <w:rsid w:val="00D26345"/>
    <w:rsid w:val="00D2683F"/>
    <w:rsid w:val="00D2685D"/>
    <w:rsid w:val="00D26A1F"/>
    <w:rsid w:val="00D26A3E"/>
    <w:rsid w:val="00D26BFE"/>
    <w:rsid w:val="00D26E29"/>
    <w:rsid w:val="00D26E8E"/>
    <w:rsid w:val="00D26F16"/>
    <w:rsid w:val="00D27008"/>
    <w:rsid w:val="00D27530"/>
    <w:rsid w:val="00D277BA"/>
    <w:rsid w:val="00D27861"/>
    <w:rsid w:val="00D27A55"/>
    <w:rsid w:val="00D27B08"/>
    <w:rsid w:val="00D30421"/>
    <w:rsid w:val="00D308AD"/>
    <w:rsid w:val="00D30922"/>
    <w:rsid w:val="00D309D4"/>
    <w:rsid w:val="00D30B1C"/>
    <w:rsid w:val="00D30BE8"/>
    <w:rsid w:val="00D3117A"/>
    <w:rsid w:val="00D3140F"/>
    <w:rsid w:val="00D315A8"/>
    <w:rsid w:val="00D31605"/>
    <w:rsid w:val="00D316A5"/>
    <w:rsid w:val="00D32347"/>
    <w:rsid w:val="00D325D0"/>
    <w:rsid w:val="00D327A3"/>
    <w:rsid w:val="00D327D6"/>
    <w:rsid w:val="00D32BCF"/>
    <w:rsid w:val="00D32E6B"/>
    <w:rsid w:val="00D32F17"/>
    <w:rsid w:val="00D33AED"/>
    <w:rsid w:val="00D33B18"/>
    <w:rsid w:val="00D33BC1"/>
    <w:rsid w:val="00D33F04"/>
    <w:rsid w:val="00D3444F"/>
    <w:rsid w:val="00D344A3"/>
    <w:rsid w:val="00D344B1"/>
    <w:rsid w:val="00D3470C"/>
    <w:rsid w:val="00D34B25"/>
    <w:rsid w:val="00D34FC1"/>
    <w:rsid w:val="00D350BD"/>
    <w:rsid w:val="00D350EA"/>
    <w:rsid w:val="00D3526B"/>
    <w:rsid w:val="00D353CE"/>
    <w:rsid w:val="00D35423"/>
    <w:rsid w:val="00D35649"/>
    <w:rsid w:val="00D359E2"/>
    <w:rsid w:val="00D35B8F"/>
    <w:rsid w:val="00D35BEB"/>
    <w:rsid w:val="00D35F86"/>
    <w:rsid w:val="00D35FBD"/>
    <w:rsid w:val="00D36152"/>
    <w:rsid w:val="00D361BD"/>
    <w:rsid w:val="00D364D9"/>
    <w:rsid w:val="00D36620"/>
    <w:rsid w:val="00D367D8"/>
    <w:rsid w:val="00D368CE"/>
    <w:rsid w:val="00D36AA7"/>
    <w:rsid w:val="00D36AED"/>
    <w:rsid w:val="00D36E74"/>
    <w:rsid w:val="00D36E94"/>
    <w:rsid w:val="00D3718F"/>
    <w:rsid w:val="00D37D46"/>
    <w:rsid w:val="00D37E0B"/>
    <w:rsid w:val="00D400EE"/>
    <w:rsid w:val="00D401BC"/>
    <w:rsid w:val="00D40201"/>
    <w:rsid w:val="00D403E8"/>
    <w:rsid w:val="00D4060E"/>
    <w:rsid w:val="00D409E6"/>
    <w:rsid w:val="00D40BDC"/>
    <w:rsid w:val="00D40F06"/>
    <w:rsid w:val="00D40F69"/>
    <w:rsid w:val="00D40F6C"/>
    <w:rsid w:val="00D411D5"/>
    <w:rsid w:val="00D412DB"/>
    <w:rsid w:val="00D41381"/>
    <w:rsid w:val="00D41577"/>
    <w:rsid w:val="00D4177C"/>
    <w:rsid w:val="00D417B7"/>
    <w:rsid w:val="00D4198A"/>
    <w:rsid w:val="00D41B45"/>
    <w:rsid w:val="00D41E82"/>
    <w:rsid w:val="00D41F99"/>
    <w:rsid w:val="00D42423"/>
    <w:rsid w:val="00D426EA"/>
    <w:rsid w:val="00D428EE"/>
    <w:rsid w:val="00D42943"/>
    <w:rsid w:val="00D4294C"/>
    <w:rsid w:val="00D42A03"/>
    <w:rsid w:val="00D42B28"/>
    <w:rsid w:val="00D42FDB"/>
    <w:rsid w:val="00D43366"/>
    <w:rsid w:val="00D43A2B"/>
    <w:rsid w:val="00D43B2C"/>
    <w:rsid w:val="00D43DD6"/>
    <w:rsid w:val="00D4401E"/>
    <w:rsid w:val="00D440B7"/>
    <w:rsid w:val="00D44697"/>
    <w:rsid w:val="00D446D3"/>
    <w:rsid w:val="00D44838"/>
    <w:rsid w:val="00D448BD"/>
    <w:rsid w:val="00D448E0"/>
    <w:rsid w:val="00D44B93"/>
    <w:rsid w:val="00D44CD1"/>
    <w:rsid w:val="00D44D95"/>
    <w:rsid w:val="00D44E77"/>
    <w:rsid w:val="00D4500C"/>
    <w:rsid w:val="00D4502F"/>
    <w:rsid w:val="00D45190"/>
    <w:rsid w:val="00D45263"/>
    <w:rsid w:val="00D45845"/>
    <w:rsid w:val="00D458DE"/>
    <w:rsid w:val="00D45A75"/>
    <w:rsid w:val="00D45D7B"/>
    <w:rsid w:val="00D45EF7"/>
    <w:rsid w:val="00D4634F"/>
    <w:rsid w:val="00D466F0"/>
    <w:rsid w:val="00D46850"/>
    <w:rsid w:val="00D468B2"/>
    <w:rsid w:val="00D4692D"/>
    <w:rsid w:val="00D46BCB"/>
    <w:rsid w:val="00D46FBB"/>
    <w:rsid w:val="00D47029"/>
    <w:rsid w:val="00D47452"/>
    <w:rsid w:val="00D47F73"/>
    <w:rsid w:val="00D50143"/>
    <w:rsid w:val="00D503BD"/>
    <w:rsid w:val="00D50664"/>
    <w:rsid w:val="00D50799"/>
    <w:rsid w:val="00D508B3"/>
    <w:rsid w:val="00D50B06"/>
    <w:rsid w:val="00D51205"/>
    <w:rsid w:val="00D51289"/>
    <w:rsid w:val="00D512D9"/>
    <w:rsid w:val="00D512FD"/>
    <w:rsid w:val="00D51369"/>
    <w:rsid w:val="00D514BA"/>
    <w:rsid w:val="00D514D2"/>
    <w:rsid w:val="00D514DE"/>
    <w:rsid w:val="00D514DF"/>
    <w:rsid w:val="00D514F9"/>
    <w:rsid w:val="00D51530"/>
    <w:rsid w:val="00D51882"/>
    <w:rsid w:val="00D519E8"/>
    <w:rsid w:val="00D51AD0"/>
    <w:rsid w:val="00D51B4A"/>
    <w:rsid w:val="00D51B74"/>
    <w:rsid w:val="00D51CEF"/>
    <w:rsid w:val="00D51E6E"/>
    <w:rsid w:val="00D51EC2"/>
    <w:rsid w:val="00D51FAF"/>
    <w:rsid w:val="00D5201C"/>
    <w:rsid w:val="00D52336"/>
    <w:rsid w:val="00D52404"/>
    <w:rsid w:val="00D52484"/>
    <w:rsid w:val="00D527C9"/>
    <w:rsid w:val="00D52D15"/>
    <w:rsid w:val="00D52E4F"/>
    <w:rsid w:val="00D52FE1"/>
    <w:rsid w:val="00D53584"/>
    <w:rsid w:val="00D53B76"/>
    <w:rsid w:val="00D53F94"/>
    <w:rsid w:val="00D53FD7"/>
    <w:rsid w:val="00D542BA"/>
    <w:rsid w:val="00D543E0"/>
    <w:rsid w:val="00D5441F"/>
    <w:rsid w:val="00D547ED"/>
    <w:rsid w:val="00D548CC"/>
    <w:rsid w:val="00D54911"/>
    <w:rsid w:val="00D5497C"/>
    <w:rsid w:val="00D54C58"/>
    <w:rsid w:val="00D5509F"/>
    <w:rsid w:val="00D55182"/>
    <w:rsid w:val="00D55536"/>
    <w:rsid w:val="00D55858"/>
    <w:rsid w:val="00D5590B"/>
    <w:rsid w:val="00D55EC5"/>
    <w:rsid w:val="00D566D2"/>
    <w:rsid w:val="00D5673B"/>
    <w:rsid w:val="00D56E52"/>
    <w:rsid w:val="00D57047"/>
    <w:rsid w:val="00D5709F"/>
    <w:rsid w:val="00D5715B"/>
    <w:rsid w:val="00D571AA"/>
    <w:rsid w:val="00D572D9"/>
    <w:rsid w:val="00D5749A"/>
    <w:rsid w:val="00D57869"/>
    <w:rsid w:val="00D57C1D"/>
    <w:rsid w:val="00D57D23"/>
    <w:rsid w:val="00D57E5E"/>
    <w:rsid w:val="00D57E67"/>
    <w:rsid w:val="00D57F94"/>
    <w:rsid w:val="00D603D3"/>
    <w:rsid w:val="00D603E7"/>
    <w:rsid w:val="00D6061F"/>
    <w:rsid w:val="00D60754"/>
    <w:rsid w:val="00D6091B"/>
    <w:rsid w:val="00D60921"/>
    <w:rsid w:val="00D60C06"/>
    <w:rsid w:val="00D60C6A"/>
    <w:rsid w:val="00D61679"/>
    <w:rsid w:val="00D617D6"/>
    <w:rsid w:val="00D618D1"/>
    <w:rsid w:val="00D61CDB"/>
    <w:rsid w:val="00D61D07"/>
    <w:rsid w:val="00D61F18"/>
    <w:rsid w:val="00D61F83"/>
    <w:rsid w:val="00D62300"/>
    <w:rsid w:val="00D62308"/>
    <w:rsid w:val="00D6246F"/>
    <w:rsid w:val="00D62520"/>
    <w:rsid w:val="00D62837"/>
    <w:rsid w:val="00D62F15"/>
    <w:rsid w:val="00D62FC9"/>
    <w:rsid w:val="00D630B8"/>
    <w:rsid w:val="00D63351"/>
    <w:rsid w:val="00D633BE"/>
    <w:rsid w:val="00D634A2"/>
    <w:rsid w:val="00D63C3A"/>
    <w:rsid w:val="00D63C51"/>
    <w:rsid w:val="00D63E82"/>
    <w:rsid w:val="00D63FC5"/>
    <w:rsid w:val="00D64032"/>
    <w:rsid w:val="00D640B3"/>
    <w:rsid w:val="00D64C2B"/>
    <w:rsid w:val="00D64D2D"/>
    <w:rsid w:val="00D64E8B"/>
    <w:rsid w:val="00D651DA"/>
    <w:rsid w:val="00D65543"/>
    <w:rsid w:val="00D6584C"/>
    <w:rsid w:val="00D65BE5"/>
    <w:rsid w:val="00D65D07"/>
    <w:rsid w:val="00D65DED"/>
    <w:rsid w:val="00D65F08"/>
    <w:rsid w:val="00D65F96"/>
    <w:rsid w:val="00D66723"/>
    <w:rsid w:val="00D669C2"/>
    <w:rsid w:val="00D66A11"/>
    <w:rsid w:val="00D66B82"/>
    <w:rsid w:val="00D66DFE"/>
    <w:rsid w:val="00D66E98"/>
    <w:rsid w:val="00D66F28"/>
    <w:rsid w:val="00D66F51"/>
    <w:rsid w:val="00D66FA6"/>
    <w:rsid w:val="00D66FA9"/>
    <w:rsid w:val="00D670FE"/>
    <w:rsid w:val="00D671C2"/>
    <w:rsid w:val="00D6771A"/>
    <w:rsid w:val="00D6788D"/>
    <w:rsid w:val="00D678D4"/>
    <w:rsid w:val="00D678E4"/>
    <w:rsid w:val="00D679D1"/>
    <w:rsid w:val="00D67AC7"/>
    <w:rsid w:val="00D67C30"/>
    <w:rsid w:val="00D67D35"/>
    <w:rsid w:val="00D67F7A"/>
    <w:rsid w:val="00D70224"/>
    <w:rsid w:val="00D7026E"/>
    <w:rsid w:val="00D7040D"/>
    <w:rsid w:val="00D708DD"/>
    <w:rsid w:val="00D70DEC"/>
    <w:rsid w:val="00D70E30"/>
    <w:rsid w:val="00D71110"/>
    <w:rsid w:val="00D7130B"/>
    <w:rsid w:val="00D713D1"/>
    <w:rsid w:val="00D7143A"/>
    <w:rsid w:val="00D71509"/>
    <w:rsid w:val="00D71529"/>
    <w:rsid w:val="00D716ED"/>
    <w:rsid w:val="00D7191C"/>
    <w:rsid w:val="00D71DAC"/>
    <w:rsid w:val="00D71F01"/>
    <w:rsid w:val="00D71FF8"/>
    <w:rsid w:val="00D72980"/>
    <w:rsid w:val="00D72D2C"/>
    <w:rsid w:val="00D73291"/>
    <w:rsid w:val="00D73319"/>
    <w:rsid w:val="00D733FC"/>
    <w:rsid w:val="00D73415"/>
    <w:rsid w:val="00D7347A"/>
    <w:rsid w:val="00D73527"/>
    <w:rsid w:val="00D736B7"/>
    <w:rsid w:val="00D73A6E"/>
    <w:rsid w:val="00D73E71"/>
    <w:rsid w:val="00D73FF3"/>
    <w:rsid w:val="00D73FF7"/>
    <w:rsid w:val="00D740D9"/>
    <w:rsid w:val="00D74378"/>
    <w:rsid w:val="00D74C0C"/>
    <w:rsid w:val="00D74C4F"/>
    <w:rsid w:val="00D75038"/>
    <w:rsid w:val="00D75099"/>
    <w:rsid w:val="00D751C6"/>
    <w:rsid w:val="00D75247"/>
    <w:rsid w:val="00D75513"/>
    <w:rsid w:val="00D757DB"/>
    <w:rsid w:val="00D757EF"/>
    <w:rsid w:val="00D758EA"/>
    <w:rsid w:val="00D759EE"/>
    <w:rsid w:val="00D76341"/>
    <w:rsid w:val="00D7647E"/>
    <w:rsid w:val="00D76B1D"/>
    <w:rsid w:val="00D76D9C"/>
    <w:rsid w:val="00D76DF4"/>
    <w:rsid w:val="00D76FC1"/>
    <w:rsid w:val="00D77097"/>
    <w:rsid w:val="00D77441"/>
    <w:rsid w:val="00D77B71"/>
    <w:rsid w:val="00D80073"/>
    <w:rsid w:val="00D801C0"/>
    <w:rsid w:val="00D802A5"/>
    <w:rsid w:val="00D80842"/>
    <w:rsid w:val="00D80998"/>
    <w:rsid w:val="00D80C05"/>
    <w:rsid w:val="00D80C4C"/>
    <w:rsid w:val="00D80C60"/>
    <w:rsid w:val="00D80DF4"/>
    <w:rsid w:val="00D80ECE"/>
    <w:rsid w:val="00D81243"/>
    <w:rsid w:val="00D813BA"/>
    <w:rsid w:val="00D81541"/>
    <w:rsid w:val="00D81981"/>
    <w:rsid w:val="00D8198B"/>
    <w:rsid w:val="00D819DC"/>
    <w:rsid w:val="00D81B41"/>
    <w:rsid w:val="00D8202B"/>
    <w:rsid w:val="00D82226"/>
    <w:rsid w:val="00D82275"/>
    <w:rsid w:val="00D82384"/>
    <w:rsid w:val="00D826A6"/>
    <w:rsid w:val="00D82834"/>
    <w:rsid w:val="00D828CA"/>
    <w:rsid w:val="00D82B39"/>
    <w:rsid w:val="00D82FB7"/>
    <w:rsid w:val="00D83152"/>
    <w:rsid w:val="00D83220"/>
    <w:rsid w:val="00D8357A"/>
    <w:rsid w:val="00D83D35"/>
    <w:rsid w:val="00D841A0"/>
    <w:rsid w:val="00D841CB"/>
    <w:rsid w:val="00D84376"/>
    <w:rsid w:val="00D8455A"/>
    <w:rsid w:val="00D846A8"/>
    <w:rsid w:val="00D84A15"/>
    <w:rsid w:val="00D84C56"/>
    <w:rsid w:val="00D84D47"/>
    <w:rsid w:val="00D85214"/>
    <w:rsid w:val="00D85358"/>
    <w:rsid w:val="00D85457"/>
    <w:rsid w:val="00D856C5"/>
    <w:rsid w:val="00D85A6F"/>
    <w:rsid w:val="00D85E6C"/>
    <w:rsid w:val="00D86069"/>
    <w:rsid w:val="00D8628D"/>
    <w:rsid w:val="00D862F8"/>
    <w:rsid w:val="00D86316"/>
    <w:rsid w:val="00D8638B"/>
    <w:rsid w:val="00D8641B"/>
    <w:rsid w:val="00D8666B"/>
    <w:rsid w:val="00D866E8"/>
    <w:rsid w:val="00D86B36"/>
    <w:rsid w:val="00D86BFB"/>
    <w:rsid w:val="00D86C38"/>
    <w:rsid w:val="00D8700B"/>
    <w:rsid w:val="00D872AF"/>
    <w:rsid w:val="00D87620"/>
    <w:rsid w:val="00D876A1"/>
    <w:rsid w:val="00D87BA1"/>
    <w:rsid w:val="00D901EE"/>
    <w:rsid w:val="00D906DE"/>
    <w:rsid w:val="00D90748"/>
    <w:rsid w:val="00D909FE"/>
    <w:rsid w:val="00D90AE7"/>
    <w:rsid w:val="00D91139"/>
    <w:rsid w:val="00D912FB"/>
    <w:rsid w:val="00D91335"/>
    <w:rsid w:val="00D9144F"/>
    <w:rsid w:val="00D9152C"/>
    <w:rsid w:val="00D91A47"/>
    <w:rsid w:val="00D91D58"/>
    <w:rsid w:val="00D91EC8"/>
    <w:rsid w:val="00D91EF5"/>
    <w:rsid w:val="00D920F7"/>
    <w:rsid w:val="00D921F9"/>
    <w:rsid w:val="00D92991"/>
    <w:rsid w:val="00D92AD2"/>
    <w:rsid w:val="00D92AD5"/>
    <w:rsid w:val="00D92D24"/>
    <w:rsid w:val="00D92F38"/>
    <w:rsid w:val="00D93064"/>
    <w:rsid w:val="00D9310E"/>
    <w:rsid w:val="00D931D5"/>
    <w:rsid w:val="00D932B2"/>
    <w:rsid w:val="00D932E9"/>
    <w:rsid w:val="00D935F0"/>
    <w:rsid w:val="00D93724"/>
    <w:rsid w:val="00D93768"/>
    <w:rsid w:val="00D93C6C"/>
    <w:rsid w:val="00D93DD8"/>
    <w:rsid w:val="00D93E0E"/>
    <w:rsid w:val="00D93EA8"/>
    <w:rsid w:val="00D94120"/>
    <w:rsid w:val="00D94172"/>
    <w:rsid w:val="00D94221"/>
    <w:rsid w:val="00D942F9"/>
    <w:rsid w:val="00D9458F"/>
    <w:rsid w:val="00D947CB"/>
    <w:rsid w:val="00D94EA2"/>
    <w:rsid w:val="00D95352"/>
    <w:rsid w:val="00D955C3"/>
    <w:rsid w:val="00D95661"/>
    <w:rsid w:val="00D9577B"/>
    <w:rsid w:val="00D958CA"/>
    <w:rsid w:val="00D95AE7"/>
    <w:rsid w:val="00D96013"/>
    <w:rsid w:val="00D960D3"/>
    <w:rsid w:val="00D960EC"/>
    <w:rsid w:val="00D96272"/>
    <w:rsid w:val="00D964CE"/>
    <w:rsid w:val="00D964D2"/>
    <w:rsid w:val="00D96668"/>
    <w:rsid w:val="00D969A1"/>
    <w:rsid w:val="00D9771E"/>
    <w:rsid w:val="00D9786A"/>
    <w:rsid w:val="00D979A9"/>
    <w:rsid w:val="00D97FDB"/>
    <w:rsid w:val="00DA0043"/>
    <w:rsid w:val="00DA0259"/>
    <w:rsid w:val="00DA025A"/>
    <w:rsid w:val="00DA0449"/>
    <w:rsid w:val="00DA0B17"/>
    <w:rsid w:val="00DA0B29"/>
    <w:rsid w:val="00DA0B6E"/>
    <w:rsid w:val="00DA0C7E"/>
    <w:rsid w:val="00DA0E4F"/>
    <w:rsid w:val="00DA1096"/>
    <w:rsid w:val="00DA1312"/>
    <w:rsid w:val="00DA1544"/>
    <w:rsid w:val="00DA19A2"/>
    <w:rsid w:val="00DA1E30"/>
    <w:rsid w:val="00DA237E"/>
    <w:rsid w:val="00DA23EF"/>
    <w:rsid w:val="00DA2DF5"/>
    <w:rsid w:val="00DA2EFB"/>
    <w:rsid w:val="00DA30AC"/>
    <w:rsid w:val="00DA350B"/>
    <w:rsid w:val="00DA3529"/>
    <w:rsid w:val="00DA3543"/>
    <w:rsid w:val="00DA361A"/>
    <w:rsid w:val="00DA39C0"/>
    <w:rsid w:val="00DA3E43"/>
    <w:rsid w:val="00DA3FB1"/>
    <w:rsid w:val="00DA43BD"/>
    <w:rsid w:val="00DA447F"/>
    <w:rsid w:val="00DA46AC"/>
    <w:rsid w:val="00DA4CCD"/>
    <w:rsid w:val="00DA4E13"/>
    <w:rsid w:val="00DA4E15"/>
    <w:rsid w:val="00DA537E"/>
    <w:rsid w:val="00DA53B6"/>
    <w:rsid w:val="00DA5774"/>
    <w:rsid w:val="00DA5C6F"/>
    <w:rsid w:val="00DA5DD8"/>
    <w:rsid w:val="00DA6001"/>
    <w:rsid w:val="00DA64AC"/>
    <w:rsid w:val="00DA68F5"/>
    <w:rsid w:val="00DA6956"/>
    <w:rsid w:val="00DA6A73"/>
    <w:rsid w:val="00DA6B09"/>
    <w:rsid w:val="00DA6C0C"/>
    <w:rsid w:val="00DA6DB4"/>
    <w:rsid w:val="00DA703A"/>
    <w:rsid w:val="00DA7157"/>
    <w:rsid w:val="00DA722A"/>
    <w:rsid w:val="00DA726D"/>
    <w:rsid w:val="00DA72C5"/>
    <w:rsid w:val="00DA7576"/>
    <w:rsid w:val="00DA7E32"/>
    <w:rsid w:val="00DA7FE9"/>
    <w:rsid w:val="00DB0089"/>
    <w:rsid w:val="00DB0235"/>
    <w:rsid w:val="00DB0768"/>
    <w:rsid w:val="00DB0793"/>
    <w:rsid w:val="00DB0CFE"/>
    <w:rsid w:val="00DB0F31"/>
    <w:rsid w:val="00DB0FC0"/>
    <w:rsid w:val="00DB108A"/>
    <w:rsid w:val="00DB1307"/>
    <w:rsid w:val="00DB138F"/>
    <w:rsid w:val="00DB1458"/>
    <w:rsid w:val="00DB14ED"/>
    <w:rsid w:val="00DB1786"/>
    <w:rsid w:val="00DB1931"/>
    <w:rsid w:val="00DB1B55"/>
    <w:rsid w:val="00DB1EFB"/>
    <w:rsid w:val="00DB1F84"/>
    <w:rsid w:val="00DB207C"/>
    <w:rsid w:val="00DB22C8"/>
    <w:rsid w:val="00DB23BB"/>
    <w:rsid w:val="00DB28A0"/>
    <w:rsid w:val="00DB3063"/>
    <w:rsid w:val="00DB38B2"/>
    <w:rsid w:val="00DB39BC"/>
    <w:rsid w:val="00DB3A97"/>
    <w:rsid w:val="00DB3B01"/>
    <w:rsid w:val="00DB3D23"/>
    <w:rsid w:val="00DB3F03"/>
    <w:rsid w:val="00DB3FDD"/>
    <w:rsid w:val="00DB47C9"/>
    <w:rsid w:val="00DB4BB9"/>
    <w:rsid w:val="00DB518D"/>
    <w:rsid w:val="00DB520B"/>
    <w:rsid w:val="00DB5262"/>
    <w:rsid w:val="00DB58C4"/>
    <w:rsid w:val="00DB58F6"/>
    <w:rsid w:val="00DB595C"/>
    <w:rsid w:val="00DB59CF"/>
    <w:rsid w:val="00DB5A7E"/>
    <w:rsid w:val="00DB5DA2"/>
    <w:rsid w:val="00DB5F54"/>
    <w:rsid w:val="00DB6068"/>
    <w:rsid w:val="00DB615F"/>
    <w:rsid w:val="00DB6271"/>
    <w:rsid w:val="00DB6531"/>
    <w:rsid w:val="00DB66CA"/>
    <w:rsid w:val="00DB671B"/>
    <w:rsid w:val="00DB6A9B"/>
    <w:rsid w:val="00DB6CAE"/>
    <w:rsid w:val="00DB70FC"/>
    <w:rsid w:val="00DB7225"/>
    <w:rsid w:val="00DB7616"/>
    <w:rsid w:val="00DB7964"/>
    <w:rsid w:val="00DB79A2"/>
    <w:rsid w:val="00DB7C30"/>
    <w:rsid w:val="00DB7C7D"/>
    <w:rsid w:val="00DB7F10"/>
    <w:rsid w:val="00DC0393"/>
    <w:rsid w:val="00DC0448"/>
    <w:rsid w:val="00DC0989"/>
    <w:rsid w:val="00DC0F50"/>
    <w:rsid w:val="00DC0FD9"/>
    <w:rsid w:val="00DC131B"/>
    <w:rsid w:val="00DC132A"/>
    <w:rsid w:val="00DC134D"/>
    <w:rsid w:val="00DC1916"/>
    <w:rsid w:val="00DC19A8"/>
    <w:rsid w:val="00DC1A70"/>
    <w:rsid w:val="00DC1CA4"/>
    <w:rsid w:val="00DC1E71"/>
    <w:rsid w:val="00DC1EF3"/>
    <w:rsid w:val="00DC2069"/>
    <w:rsid w:val="00DC21AF"/>
    <w:rsid w:val="00DC221B"/>
    <w:rsid w:val="00DC2390"/>
    <w:rsid w:val="00DC23E4"/>
    <w:rsid w:val="00DC2655"/>
    <w:rsid w:val="00DC2BC7"/>
    <w:rsid w:val="00DC3054"/>
    <w:rsid w:val="00DC3198"/>
    <w:rsid w:val="00DC3282"/>
    <w:rsid w:val="00DC3516"/>
    <w:rsid w:val="00DC35CC"/>
    <w:rsid w:val="00DC36DA"/>
    <w:rsid w:val="00DC3751"/>
    <w:rsid w:val="00DC379A"/>
    <w:rsid w:val="00DC38B4"/>
    <w:rsid w:val="00DC39F9"/>
    <w:rsid w:val="00DC40EF"/>
    <w:rsid w:val="00DC468A"/>
    <w:rsid w:val="00DC4696"/>
    <w:rsid w:val="00DC48CF"/>
    <w:rsid w:val="00DC49F9"/>
    <w:rsid w:val="00DC50EE"/>
    <w:rsid w:val="00DC548F"/>
    <w:rsid w:val="00DC58AE"/>
    <w:rsid w:val="00DC5972"/>
    <w:rsid w:val="00DC5B7A"/>
    <w:rsid w:val="00DC5C03"/>
    <w:rsid w:val="00DC5D72"/>
    <w:rsid w:val="00DC5E78"/>
    <w:rsid w:val="00DC6093"/>
    <w:rsid w:val="00DC60BF"/>
    <w:rsid w:val="00DC63B2"/>
    <w:rsid w:val="00DC68B9"/>
    <w:rsid w:val="00DC693C"/>
    <w:rsid w:val="00DC6977"/>
    <w:rsid w:val="00DC6A0F"/>
    <w:rsid w:val="00DC6A5D"/>
    <w:rsid w:val="00DC6B31"/>
    <w:rsid w:val="00DC71B0"/>
    <w:rsid w:val="00DC729D"/>
    <w:rsid w:val="00DC7460"/>
    <w:rsid w:val="00DC7474"/>
    <w:rsid w:val="00DC7994"/>
    <w:rsid w:val="00DC7AAC"/>
    <w:rsid w:val="00DC7ADE"/>
    <w:rsid w:val="00DC7B1A"/>
    <w:rsid w:val="00DC7D2B"/>
    <w:rsid w:val="00DC7E8A"/>
    <w:rsid w:val="00DD014B"/>
    <w:rsid w:val="00DD0163"/>
    <w:rsid w:val="00DD01D9"/>
    <w:rsid w:val="00DD0350"/>
    <w:rsid w:val="00DD08D3"/>
    <w:rsid w:val="00DD099A"/>
    <w:rsid w:val="00DD0A96"/>
    <w:rsid w:val="00DD0B99"/>
    <w:rsid w:val="00DD0EB2"/>
    <w:rsid w:val="00DD0F11"/>
    <w:rsid w:val="00DD11FC"/>
    <w:rsid w:val="00DD1478"/>
    <w:rsid w:val="00DD1872"/>
    <w:rsid w:val="00DD1C70"/>
    <w:rsid w:val="00DD20DC"/>
    <w:rsid w:val="00DD22F0"/>
    <w:rsid w:val="00DD2442"/>
    <w:rsid w:val="00DD24DB"/>
    <w:rsid w:val="00DD2596"/>
    <w:rsid w:val="00DD2742"/>
    <w:rsid w:val="00DD2A0B"/>
    <w:rsid w:val="00DD2A9B"/>
    <w:rsid w:val="00DD2E84"/>
    <w:rsid w:val="00DD314D"/>
    <w:rsid w:val="00DD3285"/>
    <w:rsid w:val="00DD34E9"/>
    <w:rsid w:val="00DD3520"/>
    <w:rsid w:val="00DD3544"/>
    <w:rsid w:val="00DD35B7"/>
    <w:rsid w:val="00DD3877"/>
    <w:rsid w:val="00DD3892"/>
    <w:rsid w:val="00DD38C3"/>
    <w:rsid w:val="00DD38EC"/>
    <w:rsid w:val="00DD3A7D"/>
    <w:rsid w:val="00DD3A9A"/>
    <w:rsid w:val="00DD3DE1"/>
    <w:rsid w:val="00DD4195"/>
    <w:rsid w:val="00DD430A"/>
    <w:rsid w:val="00DD4542"/>
    <w:rsid w:val="00DD47CF"/>
    <w:rsid w:val="00DD4A59"/>
    <w:rsid w:val="00DD4C80"/>
    <w:rsid w:val="00DD5081"/>
    <w:rsid w:val="00DD51C0"/>
    <w:rsid w:val="00DD558A"/>
    <w:rsid w:val="00DD5F97"/>
    <w:rsid w:val="00DD6037"/>
    <w:rsid w:val="00DD626A"/>
    <w:rsid w:val="00DD679E"/>
    <w:rsid w:val="00DD69F0"/>
    <w:rsid w:val="00DD69F3"/>
    <w:rsid w:val="00DD6AC3"/>
    <w:rsid w:val="00DD6B5B"/>
    <w:rsid w:val="00DD6B66"/>
    <w:rsid w:val="00DD6E49"/>
    <w:rsid w:val="00DD6EA3"/>
    <w:rsid w:val="00DD7011"/>
    <w:rsid w:val="00DD734C"/>
    <w:rsid w:val="00DD76A6"/>
    <w:rsid w:val="00DD78DA"/>
    <w:rsid w:val="00DD790B"/>
    <w:rsid w:val="00DD7B1A"/>
    <w:rsid w:val="00DD7EBD"/>
    <w:rsid w:val="00DE04B8"/>
    <w:rsid w:val="00DE06A4"/>
    <w:rsid w:val="00DE0977"/>
    <w:rsid w:val="00DE0996"/>
    <w:rsid w:val="00DE0FFA"/>
    <w:rsid w:val="00DE118E"/>
    <w:rsid w:val="00DE1251"/>
    <w:rsid w:val="00DE129B"/>
    <w:rsid w:val="00DE12B3"/>
    <w:rsid w:val="00DE1318"/>
    <w:rsid w:val="00DE1710"/>
    <w:rsid w:val="00DE1ABE"/>
    <w:rsid w:val="00DE1F14"/>
    <w:rsid w:val="00DE204A"/>
    <w:rsid w:val="00DE24BB"/>
    <w:rsid w:val="00DE2598"/>
    <w:rsid w:val="00DE26C7"/>
    <w:rsid w:val="00DE2B83"/>
    <w:rsid w:val="00DE2E0A"/>
    <w:rsid w:val="00DE2EF8"/>
    <w:rsid w:val="00DE306B"/>
    <w:rsid w:val="00DE34F6"/>
    <w:rsid w:val="00DE36C7"/>
    <w:rsid w:val="00DE3722"/>
    <w:rsid w:val="00DE3761"/>
    <w:rsid w:val="00DE390D"/>
    <w:rsid w:val="00DE3B6A"/>
    <w:rsid w:val="00DE3DFD"/>
    <w:rsid w:val="00DE3E85"/>
    <w:rsid w:val="00DE4385"/>
    <w:rsid w:val="00DE44E8"/>
    <w:rsid w:val="00DE4668"/>
    <w:rsid w:val="00DE46F0"/>
    <w:rsid w:val="00DE4A27"/>
    <w:rsid w:val="00DE4D76"/>
    <w:rsid w:val="00DE5282"/>
    <w:rsid w:val="00DE5559"/>
    <w:rsid w:val="00DE5686"/>
    <w:rsid w:val="00DE5874"/>
    <w:rsid w:val="00DE5996"/>
    <w:rsid w:val="00DE5AAE"/>
    <w:rsid w:val="00DE5AD3"/>
    <w:rsid w:val="00DE5B20"/>
    <w:rsid w:val="00DE5FB0"/>
    <w:rsid w:val="00DE6189"/>
    <w:rsid w:val="00DE619D"/>
    <w:rsid w:val="00DE6489"/>
    <w:rsid w:val="00DE64F0"/>
    <w:rsid w:val="00DE6537"/>
    <w:rsid w:val="00DE6674"/>
    <w:rsid w:val="00DE6908"/>
    <w:rsid w:val="00DE6A80"/>
    <w:rsid w:val="00DE6B06"/>
    <w:rsid w:val="00DE6BED"/>
    <w:rsid w:val="00DE6D32"/>
    <w:rsid w:val="00DE6FBF"/>
    <w:rsid w:val="00DE7043"/>
    <w:rsid w:val="00DE7184"/>
    <w:rsid w:val="00DE71D8"/>
    <w:rsid w:val="00DE737B"/>
    <w:rsid w:val="00DE78CA"/>
    <w:rsid w:val="00DE7C6A"/>
    <w:rsid w:val="00DE7D6C"/>
    <w:rsid w:val="00DE7FE6"/>
    <w:rsid w:val="00DF009A"/>
    <w:rsid w:val="00DF023F"/>
    <w:rsid w:val="00DF077A"/>
    <w:rsid w:val="00DF08ED"/>
    <w:rsid w:val="00DF0AE8"/>
    <w:rsid w:val="00DF0B2D"/>
    <w:rsid w:val="00DF1072"/>
    <w:rsid w:val="00DF152F"/>
    <w:rsid w:val="00DF1621"/>
    <w:rsid w:val="00DF1792"/>
    <w:rsid w:val="00DF1835"/>
    <w:rsid w:val="00DF18FF"/>
    <w:rsid w:val="00DF1A30"/>
    <w:rsid w:val="00DF1A4B"/>
    <w:rsid w:val="00DF1EAF"/>
    <w:rsid w:val="00DF1FDD"/>
    <w:rsid w:val="00DF1FFF"/>
    <w:rsid w:val="00DF21CB"/>
    <w:rsid w:val="00DF21F6"/>
    <w:rsid w:val="00DF21FD"/>
    <w:rsid w:val="00DF25D1"/>
    <w:rsid w:val="00DF2744"/>
    <w:rsid w:val="00DF28A3"/>
    <w:rsid w:val="00DF2919"/>
    <w:rsid w:val="00DF29BD"/>
    <w:rsid w:val="00DF2D4D"/>
    <w:rsid w:val="00DF3026"/>
    <w:rsid w:val="00DF303D"/>
    <w:rsid w:val="00DF3790"/>
    <w:rsid w:val="00DF3908"/>
    <w:rsid w:val="00DF392E"/>
    <w:rsid w:val="00DF3A84"/>
    <w:rsid w:val="00DF3CF8"/>
    <w:rsid w:val="00DF4176"/>
    <w:rsid w:val="00DF41D5"/>
    <w:rsid w:val="00DF429F"/>
    <w:rsid w:val="00DF42D2"/>
    <w:rsid w:val="00DF4478"/>
    <w:rsid w:val="00DF4A25"/>
    <w:rsid w:val="00DF4A2E"/>
    <w:rsid w:val="00DF5420"/>
    <w:rsid w:val="00DF5577"/>
    <w:rsid w:val="00DF568C"/>
    <w:rsid w:val="00DF569F"/>
    <w:rsid w:val="00DF585F"/>
    <w:rsid w:val="00DF58B4"/>
    <w:rsid w:val="00DF5C9B"/>
    <w:rsid w:val="00DF5CFE"/>
    <w:rsid w:val="00DF5FC1"/>
    <w:rsid w:val="00DF6110"/>
    <w:rsid w:val="00DF61FA"/>
    <w:rsid w:val="00DF63FE"/>
    <w:rsid w:val="00DF65C9"/>
    <w:rsid w:val="00DF6651"/>
    <w:rsid w:val="00DF673A"/>
    <w:rsid w:val="00DF6C53"/>
    <w:rsid w:val="00DF6D8A"/>
    <w:rsid w:val="00DF6E7E"/>
    <w:rsid w:val="00DF6FEA"/>
    <w:rsid w:val="00DF7091"/>
    <w:rsid w:val="00DF7533"/>
    <w:rsid w:val="00DF76A6"/>
    <w:rsid w:val="00DF7968"/>
    <w:rsid w:val="00DF7A85"/>
    <w:rsid w:val="00DF7EC5"/>
    <w:rsid w:val="00DF7FDC"/>
    <w:rsid w:val="00E00052"/>
    <w:rsid w:val="00E00192"/>
    <w:rsid w:val="00E0069E"/>
    <w:rsid w:val="00E00EA2"/>
    <w:rsid w:val="00E0102E"/>
    <w:rsid w:val="00E010E9"/>
    <w:rsid w:val="00E01412"/>
    <w:rsid w:val="00E0164D"/>
    <w:rsid w:val="00E017BD"/>
    <w:rsid w:val="00E01868"/>
    <w:rsid w:val="00E01BC9"/>
    <w:rsid w:val="00E01F2F"/>
    <w:rsid w:val="00E020CC"/>
    <w:rsid w:val="00E022DD"/>
    <w:rsid w:val="00E02424"/>
    <w:rsid w:val="00E027D7"/>
    <w:rsid w:val="00E0316F"/>
    <w:rsid w:val="00E03415"/>
    <w:rsid w:val="00E0347B"/>
    <w:rsid w:val="00E038D6"/>
    <w:rsid w:val="00E03EF5"/>
    <w:rsid w:val="00E03FCC"/>
    <w:rsid w:val="00E04177"/>
    <w:rsid w:val="00E045FB"/>
    <w:rsid w:val="00E04708"/>
    <w:rsid w:val="00E04A34"/>
    <w:rsid w:val="00E04ACC"/>
    <w:rsid w:val="00E04C74"/>
    <w:rsid w:val="00E04C99"/>
    <w:rsid w:val="00E04CA0"/>
    <w:rsid w:val="00E04F2F"/>
    <w:rsid w:val="00E054C2"/>
    <w:rsid w:val="00E05865"/>
    <w:rsid w:val="00E05CF5"/>
    <w:rsid w:val="00E062E9"/>
    <w:rsid w:val="00E0661E"/>
    <w:rsid w:val="00E06885"/>
    <w:rsid w:val="00E068AD"/>
    <w:rsid w:val="00E06A25"/>
    <w:rsid w:val="00E06AED"/>
    <w:rsid w:val="00E07083"/>
    <w:rsid w:val="00E0708A"/>
    <w:rsid w:val="00E0715E"/>
    <w:rsid w:val="00E073F8"/>
    <w:rsid w:val="00E07D3A"/>
    <w:rsid w:val="00E07D63"/>
    <w:rsid w:val="00E07D81"/>
    <w:rsid w:val="00E101BB"/>
    <w:rsid w:val="00E10230"/>
    <w:rsid w:val="00E106EB"/>
    <w:rsid w:val="00E1085F"/>
    <w:rsid w:val="00E109DE"/>
    <w:rsid w:val="00E10DCB"/>
    <w:rsid w:val="00E10EEA"/>
    <w:rsid w:val="00E110FB"/>
    <w:rsid w:val="00E118D7"/>
    <w:rsid w:val="00E11B02"/>
    <w:rsid w:val="00E11B67"/>
    <w:rsid w:val="00E11ED3"/>
    <w:rsid w:val="00E12421"/>
    <w:rsid w:val="00E12897"/>
    <w:rsid w:val="00E12D65"/>
    <w:rsid w:val="00E12DA3"/>
    <w:rsid w:val="00E12E97"/>
    <w:rsid w:val="00E1300C"/>
    <w:rsid w:val="00E133BC"/>
    <w:rsid w:val="00E137DD"/>
    <w:rsid w:val="00E138B0"/>
    <w:rsid w:val="00E138E6"/>
    <w:rsid w:val="00E13A3D"/>
    <w:rsid w:val="00E13A48"/>
    <w:rsid w:val="00E13BE5"/>
    <w:rsid w:val="00E140A4"/>
    <w:rsid w:val="00E14492"/>
    <w:rsid w:val="00E145F7"/>
    <w:rsid w:val="00E14615"/>
    <w:rsid w:val="00E14937"/>
    <w:rsid w:val="00E14A13"/>
    <w:rsid w:val="00E14AAF"/>
    <w:rsid w:val="00E14B97"/>
    <w:rsid w:val="00E14CA0"/>
    <w:rsid w:val="00E14EB1"/>
    <w:rsid w:val="00E15525"/>
    <w:rsid w:val="00E15527"/>
    <w:rsid w:val="00E155F0"/>
    <w:rsid w:val="00E1585E"/>
    <w:rsid w:val="00E15898"/>
    <w:rsid w:val="00E158D7"/>
    <w:rsid w:val="00E15DE4"/>
    <w:rsid w:val="00E16169"/>
    <w:rsid w:val="00E163A0"/>
    <w:rsid w:val="00E16608"/>
    <w:rsid w:val="00E16671"/>
    <w:rsid w:val="00E1686C"/>
    <w:rsid w:val="00E168CA"/>
    <w:rsid w:val="00E168CD"/>
    <w:rsid w:val="00E16B8B"/>
    <w:rsid w:val="00E16EB2"/>
    <w:rsid w:val="00E16F90"/>
    <w:rsid w:val="00E17058"/>
    <w:rsid w:val="00E174ED"/>
    <w:rsid w:val="00E175AF"/>
    <w:rsid w:val="00E17612"/>
    <w:rsid w:val="00E17707"/>
    <w:rsid w:val="00E17B75"/>
    <w:rsid w:val="00E17BA1"/>
    <w:rsid w:val="00E17C3F"/>
    <w:rsid w:val="00E17E4D"/>
    <w:rsid w:val="00E17E70"/>
    <w:rsid w:val="00E17F46"/>
    <w:rsid w:val="00E17F93"/>
    <w:rsid w:val="00E2010C"/>
    <w:rsid w:val="00E20155"/>
    <w:rsid w:val="00E2025E"/>
    <w:rsid w:val="00E20609"/>
    <w:rsid w:val="00E20874"/>
    <w:rsid w:val="00E20A41"/>
    <w:rsid w:val="00E20AC4"/>
    <w:rsid w:val="00E20B29"/>
    <w:rsid w:val="00E20FAC"/>
    <w:rsid w:val="00E2100B"/>
    <w:rsid w:val="00E2106D"/>
    <w:rsid w:val="00E211F7"/>
    <w:rsid w:val="00E21475"/>
    <w:rsid w:val="00E21944"/>
    <w:rsid w:val="00E21B9F"/>
    <w:rsid w:val="00E21F55"/>
    <w:rsid w:val="00E220E5"/>
    <w:rsid w:val="00E221AB"/>
    <w:rsid w:val="00E223B4"/>
    <w:rsid w:val="00E22745"/>
    <w:rsid w:val="00E22A5C"/>
    <w:rsid w:val="00E22D1C"/>
    <w:rsid w:val="00E22D88"/>
    <w:rsid w:val="00E22F81"/>
    <w:rsid w:val="00E230CE"/>
    <w:rsid w:val="00E2338A"/>
    <w:rsid w:val="00E23688"/>
    <w:rsid w:val="00E237D3"/>
    <w:rsid w:val="00E23A1B"/>
    <w:rsid w:val="00E23AC1"/>
    <w:rsid w:val="00E23B7D"/>
    <w:rsid w:val="00E23BAF"/>
    <w:rsid w:val="00E23C88"/>
    <w:rsid w:val="00E23D2A"/>
    <w:rsid w:val="00E2422E"/>
    <w:rsid w:val="00E2435C"/>
    <w:rsid w:val="00E246E2"/>
    <w:rsid w:val="00E247F7"/>
    <w:rsid w:val="00E2485F"/>
    <w:rsid w:val="00E24908"/>
    <w:rsid w:val="00E24B16"/>
    <w:rsid w:val="00E24CAE"/>
    <w:rsid w:val="00E2504F"/>
    <w:rsid w:val="00E251C0"/>
    <w:rsid w:val="00E251C7"/>
    <w:rsid w:val="00E25362"/>
    <w:rsid w:val="00E253B4"/>
    <w:rsid w:val="00E2574F"/>
    <w:rsid w:val="00E25A6C"/>
    <w:rsid w:val="00E25BB5"/>
    <w:rsid w:val="00E25C5E"/>
    <w:rsid w:val="00E25D7C"/>
    <w:rsid w:val="00E25F7F"/>
    <w:rsid w:val="00E26071"/>
    <w:rsid w:val="00E260E7"/>
    <w:rsid w:val="00E260EA"/>
    <w:rsid w:val="00E26132"/>
    <w:rsid w:val="00E261CF"/>
    <w:rsid w:val="00E26869"/>
    <w:rsid w:val="00E26B36"/>
    <w:rsid w:val="00E26B90"/>
    <w:rsid w:val="00E26BC6"/>
    <w:rsid w:val="00E26BE5"/>
    <w:rsid w:val="00E26E1D"/>
    <w:rsid w:val="00E26FD1"/>
    <w:rsid w:val="00E27062"/>
    <w:rsid w:val="00E27626"/>
    <w:rsid w:val="00E276D3"/>
    <w:rsid w:val="00E279E4"/>
    <w:rsid w:val="00E27B02"/>
    <w:rsid w:val="00E27D06"/>
    <w:rsid w:val="00E30219"/>
    <w:rsid w:val="00E303D9"/>
    <w:rsid w:val="00E30A59"/>
    <w:rsid w:val="00E30FA0"/>
    <w:rsid w:val="00E3106A"/>
    <w:rsid w:val="00E3112A"/>
    <w:rsid w:val="00E312B0"/>
    <w:rsid w:val="00E31462"/>
    <w:rsid w:val="00E315EF"/>
    <w:rsid w:val="00E31730"/>
    <w:rsid w:val="00E31BE7"/>
    <w:rsid w:val="00E31DFD"/>
    <w:rsid w:val="00E31E79"/>
    <w:rsid w:val="00E32074"/>
    <w:rsid w:val="00E3208B"/>
    <w:rsid w:val="00E32142"/>
    <w:rsid w:val="00E32234"/>
    <w:rsid w:val="00E32555"/>
    <w:rsid w:val="00E32A77"/>
    <w:rsid w:val="00E32A7B"/>
    <w:rsid w:val="00E332F9"/>
    <w:rsid w:val="00E33677"/>
    <w:rsid w:val="00E336DB"/>
    <w:rsid w:val="00E33946"/>
    <w:rsid w:val="00E33A59"/>
    <w:rsid w:val="00E33B34"/>
    <w:rsid w:val="00E33BAE"/>
    <w:rsid w:val="00E33CA4"/>
    <w:rsid w:val="00E33DBC"/>
    <w:rsid w:val="00E33EF3"/>
    <w:rsid w:val="00E34041"/>
    <w:rsid w:val="00E34050"/>
    <w:rsid w:val="00E3451E"/>
    <w:rsid w:val="00E3498D"/>
    <w:rsid w:val="00E34AC8"/>
    <w:rsid w:val="00E35764"/>
    <w:rsid w:val="00E35950"/>
    <w:rsid w:val="00E35A64"/>
    <w:rsid w:val="00E35B05"/>
    <w:rsid w:val="00E35BA0"/>
    <w:rsid w:val="00E35BC0"/>
    <w:rsid w:val="00E35CA1"/>
    <w:rsid w:val="00E35E67"/>
    <w:rsid w:val="00E3604B"/>
    <w:rsid w:val="00E36192"/>
    <w:rsid w:val="00E366A2"/>
    <w:rsid w:val="00E36F54"/>
    <w:rsid w:val="00E36F98"/>
    <w:rsid w:val="00E372DA"/>
    <w:rsid w:val="00E37546"/>
    <w:rsid w:val="00E37833"/>
    <w:rsid w:val="00E379AF"/>
    <w:rsid w:val="00E37C7D"/>
    <w:rsid w:val="00E37CA6"/>
    <w:rsid w:val="00E37DC1"/>
    <w:rsid w:val="00E37FD3"/>
    <w:rsid w:val="00E401B0"/>
    <w:rsid w:val="00E4042E"/>
    <w:rsid w:val="00E40657"/>
    <w:rsid w:val="00E40818"/>
    <w:rsid w:val="00E40A5A"/>
    <w:rsid w:val="00E40B8A"/>
    <w:rsid w:val="00E40C5F"/>
    <w:rsid w:val="00E40CCB"/>
    <w:rsid w:val="00E41246"/>
    <w:rsid w:val="00E41286"/>
    <w:rsid w:val="00E416F1"/>
    <w:rsid w:val="00E417AF"/>
    <w:rsid w:val="00E41899"/>
    <w:rsid w:val="00E419E7"/>
    <w:rsid w:val="00E41B88"/>
    <w:rsid w:val="00E41E48"/>
    <w:rsid w:val="00E41F61"/>
    <w:rsid w:val="00E41FB0"/>
    <w:rsid w:val="00E425EA"/>
    <w:rsid w:val="00E428C5"/>
    <w:rsid w:val="00E42912"/>
    <w:rsid w:val="00E42AE9"/>
    <w:rsid w:val="00E42BBF"/>
    <w:rsid w:val="00E42BD9"/>
    <w:rsid w:val="00E42DB9"/>
    <w:rsid w:val="00E42DDF"/>
    <w:rsid w:val="00E42DEC"/>
    <w:rsid w:val="00E4359E"/>
    <w:rsid w:val="00E43C60"/>
    <w:rsid w:val="00E43DC5"/>
    <w:rsid w:val="00E43F3F"/>
    <w:rsid w:val="00E43F42"/>
    <w:rsid w:val="00E43FE6"/>
    <w:rsid w:val="00E441D4"/>
    <w:rsid w:val="00E44437"/>
    <w:rsid w:val="00E445C7"/>
    <w:rsid w:val="00E44643"/>
    <w:rsid w:val="00E44766"/>
    <w:rsid w:val="00E448A2"/>
    <w:rsid w:val="00E44947"/>
    <w:rsid w:val="00E44C8A"/>
    <w:rsid w:val="00E44F4F"/>
    <w:rsid w:val="00E4592C"/>
    <w:rsid w:val="00E45932"/>
    <w:rsid w:val="00E45A4D"/>
    <w:rsid w:val="00E45D65"/>
    <w:rsid w:val="00E46469"/>
    <w:rsid w:val="00E46471"/>
    <w:rsid w:val="00E464D7"/>
    <w:rsid w:val="00E4661B"/>
    <w:rsid w:val="00E468CA"/>
    <w:rsid w:val="00E4753F"/>
    <w:rsid w:val="00E47B5A"/>
    <w:rsid w:val="00E47CF4"/>
    <w:rsid w:val="00E47FC7"/>
    <w:rsid w:val="00E50060"/>
    <w:rsid w:val="00E50192"/>
    <w:rsid w:val="00E501E8"/>
    <w:rsid w:val="00E5028B"/>
    <w:rsid w:val="00E5035A"/>
    <w:rsid w:val="00E503F0"/>
    <w:rsid w:val="00E50695"/>
    <w:rsid w:val="00E50753"/>
    <w:rsid w:val="00E5078D"/>
    <w:rsid w:val="00E50840"/>
    <w:rsid w:val="00E50901"/>
    <w:rsid w:val="00E50A0A"/>
    <w:rsid w:val="00E50E73"/>
    <w:rsid w:val="00E5115F"/>
    <w:rsid w:val="00E511E5"/>
    <w:rsid w:val="00E51473"/>
    <w:rsid w:val="00E5169C"/>
    <w:rsid w:val="00E51726"/>
    <w:rsid w:val="00E5179E"/>
    <w:rsid w:val="00E519B3"/>
    <w:rsid w:val="00E51AD9"/>
    <w:rsid w:val="00E520EA"/>
    <w:rsid w:val="00E5228B"/>
    <w:rsid w:val="00E5247C"/>
    <w:rsid w:val="00E527B0"/>
    <w:rsid w:val="00E52A8E"/>
    <w:rsid w:val="00E52AFB"/>
    <w:rsid w:val="00E52B4B"/>
    <w:rsid w:val="00E52E08"/>
    <w:rsid w:val="00E53107"/>
    <w:rsid w:val="00E531B8"/>
    <w:rsid w:val="00E5323B"/>
    <w:rsid w:val="00E53363"/>
    <w:rsid w:val="00E534DE"/>
    <w:rsid w:val="00E537EC"/>
    <w:rsid w:val="00E53851"/>
    <w:rsid w:val="00E53888"/>
    <w:rsid w:val="00E538BD"/>
    <w:rsid w:val="00E53D60"/>
    <w:rsid w:val="00E5415E"/>
    <w:rsid w:val="00E543B5"/>
    <w:rsid w:val="00E5448A"/>
    <w:rsid w:val="00E54645"/>
    <w:rsid w:val="00E54661"/>
    <w:rsid w:val="00E54808"/>
    <w:rsid w:val="00E5492C"/>
    <w:rsid w:val="00E549F2"/>
    <w:rsid w:val="00E54D6B"/>
    <w:rsid w:val="00E5510C"/>
    <w:rsid w:val="00E5548F"/>
    <w:rsid w:val="00E55522"/>
    <w:rsid w:val="00E55893"/>
    <w:rsid w:val="00E559DE"/>
    <w:rsid w:val="00E55A35"/>
    <w:rsid w:val="00E55E42"/>
    <w:rsid w:val="00E562FC"/>
    <w:rsid w:val="00E56324"/>
    <w:rsid w:val="00E566BC"/>
    <w:rsid w:val="00E56849"/>
    <w:rsid w:val="00E56B25"/>
    <w:rsid w:val="00E56B2F"/>
    <w:rsid w:val="00E56B6C"/>
    <w:rsid w:val="00E56D2D"/>
    <w:rsid w:val="00E57153"/>
    <w:rsid w:val="00E574F0"/>
    <w:rsid w:val="00E576E6"/>
    <w:rsid w:val="00E57726"/>
    <w:rsid w:val="00E57C11"/>
    <w:rsid w:val="00E57C3D"/>
    <w:rsid w:val="00E57F44"/>
    <w:rsid w:val="00E6030B"/>
    <w:rsid w:val="00E60310"/>
    <w:rsid w:val="00E60681"/>
    <w:rsid w:val="00E608B8"/>
    <w:rsid w:val="00E60CC2"/>
    <w:rsid w:val="00E60E18"/>
    <w:rsid w:val="00E61346"/>
    <w:rsid w:val="00E61493"/>
    <w:rsid w:val="00E6154E"/>
    <w:rsid w:val="00E61590"/>
    <w:rsid w:val="00E6184E"/>
    <w:rsid w:val="00E61AB0"/>
    <w:rsid w:val="00E61AC4"/>
    <w:rsid w:val="00E61E5C"/>
    <w:rsid w:val="00E61FD6"/>
    <w:rsid w:val="00E62013"/>
    <w:rsid w:val="00E62359"/>
    <w:rsid w:val="00E625D7"/>
    <w:rsid w:val="00E62765"/>
    <w:rsid w:val="00E629C2"/>
    <w:rsid w:val="00E62C7F"/>
    <w:rsid w:val="00E62D0C"/>
    <w:rsid w:val="00E62D15"/>
    <w:rsid w:val="00E62EFB"/>
    <w:rsid w:val="00E62F88"/>
    <w:rsid w:val="00E6323D"/>
    <w:rsid w:val="00E63305"/>
    <w:rsid w:val="00E634A4"/>
    <w:rsid w:val="00E634CA"/>
    <w:rsid w:val="00E63F0D"/>
    <w:rsid w:val="00E644C9"/>
    <w:rsid w:val="00E645A4"/>
    <w:rsid w:val="00E6468B"/>
    <w:rsid w:val="00E646AE"/>
    <w:rsid w:val="00E649FD"/>
    <w:rsid w:val="00E64A59"/>
    <w:rsid w:val="00E64A72"/>
    <w:rsid w:val="00E64C5D"/>
    <w:rsid w:val="00E64F35"/>
    <w:rsid w:val="00E654BF"/>
    <w:rsid w:val="00E655E0"/>
    <w:rsid w:val="00E656DE"/>
    <w:rsid w:val="00E65B98"/>
    <w:rsid w:val="00E65BC0"/>
    <w:rsid w:val="00E65C4E"/>
    <w:rsid w:val="00E65F32"/>
    <w:rsid w:val="00E6615D"/>
    <w:rsid w:val="00E6692B"/>
    <w:rsid w:val="00E66AE2"/>
    <w:rsid w:val="00E66BBB"/>
    <w:rsid w:val="00E66E25"/>
    <w:rsid w:val="00E67104"/>
    <w:rsid w:val="00E6721E"/>
    <w:rsid w:val="00E67832"/>
    <w:rsid w:val="00E67865"/>
    <w:rsid w:val="00E67891"/>
    <w:rsid w:val="00E6799B"/>
    <w:rsid w:val="00E679CF"/>
    <w:rsid w:val="00E67A71"/>
    <w:rsid w:val="00E67A73"/>
    <w:rsid w:val="00E67C99"/>
    <w:rsid w:val="00E67CD1"/>
    <w:rsid w:val="00E67DDC"/>
    <w:rsid w:val="00E67E7D"/>
    <w:rsid w:val="00E70083"/>
    <w:rsid w:val="00E70192"/>
    <w:rsid w:val="00E7021A"/>
    <w:rsid w:val="00E70233"/>
    <w:rsid w:val="00E7027A"/>
    <w:rsid w:val="00E702CB"/>
    <w:rsid w:val="00E702F8"/>
    <w:rsid w:val="00E70755"/>
    <w:rsid w:val="00E708E5"/>
    <w:rsid w:val="00E70CB5"/>
    <w:rsid w:val="00E70DC0"/>
    <w:rsid w:val="00E7114E"/>
    <w:rsid w:val="00E7119C"/>
    <w:rsid w:val="00E716E7"/>
    <w:rsid w:val="00E716F1"/>
    <w:rsid w:val="00E71973"/>
    <w:rsid w:val="00E71F3D"/>
    <w:rsid w:val="00E71F5A"/>
    <w:rsid w:val="00E7217A"/>
    <w:rsid w:val="00E721DE"/>
    <w:rsid w:val="00E723AC"/>
    <w:rsid w:val="00E72473"/>
    <w:rsid w:val="00E7280B"/>
    <w:rsid w:val="00E72C43"/>
    <w:rsid w:val="00E73605"/>
    <w:rsid w:val="00E736E8"/>
    <w:rsid w:val="00E73979"/>
    <w:rsid w:val="00E73B5E"/>
    <w:rsid w:val="00E73BEC"/>
    <w:rsid w:val="00E73C66"/>
    <w:rsid w:val="00E74366"/>
    <w:rsid w:val="00E7470E"/>
    <w:rsid w:val="00E74728"/>
    <w:rsid w:val="00E747DA"/>
    <w:rsid w:val="00E748A1"/>
    <w:rsid w:val="00E74B6B"/>
    <w:rsid w:val="00E74EAA"/>
    <w:rsid w:val="00E753EC"/>
    <w:rsid w:val="00E755E5"/>
    <w:rsid w:val="00E758C1"/>
    <w:rsid w:val="00E75A58"/>
    <w:rsid w:val="00E75AA1"/>
    <w:rsid w:val="00E75B83"/>
    <w:rsid w:val="00E75E7F"/>
    <w:rsid w:val="00E76120"/>
    <w:rsid w:val="00E76185"/>
    <w:rsid w:val="00E764D3"/>
    <w:rsid w:val="00E76574"/>
    <w:rsid w:val="00E76783"/>
    <w:rsid w:val="00E76B6C"/>
    <w:rsid w:val="00E76D6C"/>
    <w:rsid w:val="00E77740"/>
    <w:rsid w:val="00E777E8"/>
    <w:rsid w:val="00E778F4"/>
    <w:rsid w:val="00E77EA4"/>
    <w:rsid w:val="00E77FB7"/>
    <w:rsid w:val="00E8003F"/>
    <w:rsid w:val="00E80270"/>
    <w:rsid w:val="00E8038F"/>
    <w:rsid w:val="00E80437"/>
    <w:rsid w:val="00E804D6"/>
    <w:rsid w:val="00E804F0"/>
    <w:rsid w:val="00E80750"/>
    <w:rsid w:val="00E808B5"/>
    <w:rsid w:val="00E80ACF"/>
    <w:rsid w:val="00E80B93"/>
    <w:rsid w:val="00E80C85"/>
    <w:rsid w:val="00E8107D"/>
    <w:rsid w:val="00E81086"/>
    <w:rsid w:val="00E818B6"/>
    <w:rsid w:val="00E81F99"/>
    <w:rsid w:val="00E8248A"/>
    <w:rsid w:val="00E8271A"/>
    <w:rsid w:val="00E829A5"/>
    <w:rsid w:val="00E82A88"/>
    <w:rsid w:val="00E82B8B"/>
    <w:rsid w:val="00E82DF2"/>
    <w:rsid w:val="00E83025"/>
    <w:rsid w:val="00E83031"/>
    <w:rsid w:val="00E8309E"/>
    <w:rsid w:val="00E83275"/>
    <w:rsid w:val="00E8336E"/>
    <w:rsid w:val="00E83634"/>
    <w:rsid w:val="00E83771"/>
    <w:rsid w:val="00E839C8"/>
    <w:rsid w:val="00E83B92"/>
    <w:rsid w:val="00E83C25"/>
    <w:rsid w:val="00E8448D"/>
    <w:rsid w:val="00E84588"/>
    <w:rsid w:val="00E847F4"/>
    <w:rsid w:val="00E848DD"/>
    <w:rsid w:val="00E84B7D"/>
    <w:rsid w:val="00E84FDE"/>
    <w:rsid w:val="00E8534C"/>
    <w:rsid w:val="00E85365"/>
    <w:rsid w:val="00E85621"/>
    <w:rsid w:val="00E85706"/>
    <w:rsid w:val="00E859C1"/>
    <w:rsid w:val="00E85AEE"/>
    <w:rsid w:val="00E85E82"/>
    <w:rsid w:val="00E86028"/>
    <w:rsid w:val="00E86437"/>
    <w:rsid w:val="00E86513"/>
    <w:rsid w:val="00E86A01"/>
    <w:rsid w:val="00E86A8E"/>
    <w:rsid w:val="00E86CF4"/>
    <w:rsid w:val="00E86D59"/>
    <w:rsid w:val="00E86E50"/>
    <w:rsid w:val="00E86E8F"/>
    <w:rsid w:val="00E86F5A"/>
    <w:rsid w:val="00E87148"/>
    <w:rsid w:val="00E87331"/>
    <w:rsid w:val="00E875B6"/>
    <w:rsid w:val="00E87615"/>
    <w:rsid w:val="00E87C25"/>
    <w:rsid w:val="00E87D58"/>
    <w:rsid w:val="00E9004D"/>
    <w:rsid w:val="00E90CF8"/>
    <w:rsid w:val="00E90E19"/>
    <w:rsid w:val="00E91268"/>
    <w:rsid w:val="00E912BD"/>
    <w:rsid w:val="00E912D2"/>
    <w:rsid w:val="00E9170D"/>
    <w:rsid w:val="00E91789"/>
    <w:rsid w:val="00E919E5"/>
    <w:rsid w:val="00E91C8D"/>
    <w:rsid w:val="00E91D70"/>
    <w:rsid w:val="00E91E09"/>
    <w:rsid w:val="00E91E3D"/>
    <w:rsid w:val="00E91E9E"/>
    <w:rsid w:val="00E91FDE"/>
    <w:rsid w:val="00E92318"/>
    <w:rsid w:val="00E92566"/>
    <w:rsid w:val="00E9257A"/>
    <w:rsid w:val="00E9271E"/>
    <w:rsid w:val="00E92EC8"/>
    <w:rsid w:val="00E92FF3"/>
    <w:rsid w:val="00E9307E"/>
    <w:rsid w:val="00E930A1"/>
    <w:rsid w:val="00E9313E"/>
    <w:rsid w:val="00E933FB"/>
    <w:rsid w:val="00E93593"/>
    <w:rsid w:val="00E93B19"/>
    <w:rsid w:val="00E93BEF"/>
    <w:rsid w:val="00E93D34"/>
    <w:rsid w:val="00E940B6"/>
    <w:rsid w:val="00E940F8"/>
    <w:rsid w:val="00E944A2"/>
    <w:rsid w:val="00E94835"/>
    <w:rsid w:val="00E94994"/>
    <w:rsid w:val="00E94A08"/>
    <w:rsid w:val="00E94A6E"/>
    <w:rsid w:val="00E94CF4"/>
    <w:rsid w:val="00E94E63"/>
    <w:rsid w:val="00E94FBE"/>
    <w:rsid w:val="00E95573"/>
    <w:rsid w:val="00E9558F"/>
    <w:rsid w:val="00E9568A"/>
    <w:rsid w:val="00E95970"/>
    <w:rsid w:val="00E95CA8"/>
    <w:rsid w:val="00E95FE2"/>
    <w:rsid w:val="00E96113"/>
    <w:rsid w:val="00E964A1"/>
    <w:rsid w:val="00E9668F"/>
    <w:rsid w:val="00E969B8"/>
    <w:rsid w:val="00E96A46"/>
    <w:rsid w:val="00E96A72"/>
    <w:rsid w:val="00E96BC6"/>
    <w:rsid w:val="00E96CD1"/>
    <w:rsid w:val="00E9706F"/>
    <w:rsid w:val="00E97306"/>
    <w:rsid w:val="00E9733F"/>
    <w:rsid w:val="00E97724"/>
    <w:rsid w:val="00E9782F"/>
    <w:rsid w:val="00E97831"/>
    <w:rsid w:val="00EA0023"/>
    <w:rsid w:val="00EA026F"/>
    <w:rsid w:val="00EA0298"/>
    <w:rsid w:val="00EA0337"/>
    <w:rsid w:val="00EA03FB"/>
    <w:rsid w:val="00EA0516"/>
    <w:rsid w:val="00EA0577"/>
    <w:rsid w:val="00EA0656"/>
    <w:rsid w:val="00EA09D0"/>
    <w:rsid w:val="00EA0A13"/>
    <w:rsid w:val="00EA0A7B"/>
    <w:rsid w:val="00EA0C33"/>
    <w:rsid w:val="00EA108C"/>
    <w:rsid w:val="00EA13A3"/>
    <w:rsid w:val="00EA1535"/>
    <w:rsid w:val="00EA153C"/>
    <w:rsid w:val="00EA1A5A"/>
    <w:rsid w:val="00EA1B56"/>
    <w:rsid w:val="00EA1DF7"/>
    <w:rsid w:val="00EA1F13"/>
    <w:rsid w:val="00EA1F6E"/>
    <w:rsid w:val="00EA204F"/>
    <w:rsid w:val="00EA2109"/>
    <w:rsid w:val="00EA2E65"/>
    <w:rsid w:val="00EA2F29"/>
    <w:rsid w:val="00EA2F33"/>
    <w:rsid w:val="00EA308B"/>
    <w:rsid w:val="00EA328F"/>
    <w:rsid w:val="00EA3380"/>
    <w:rsid w:val="00EA3E5F"/>
    <w:rsid w:val="00EA4132"/>
    <w:rsid w:val="00EA45AD"/>
    <w:rsid w:val="00EA4665"/>
    <w:rsid w:val="00EA4F46"/>
    <w:rsid w:val="00EA527B"/>
    <w:rsid w:val="00EA5315"/>
    <w:rsid w:val="00EA55E3"/>
    <w:rsid w:val="00EA55FC"/>
    <w:rsid w:val="00EA5867"/>
    <w:rsid w:val="00EA5A89"/>
    <w:rsid w:val="00EA6836"/>
    <w:rsid w:val="00EA6BF2"/>
    <w:rsid w:val="00EA6D86"/>
    <w:rsid w:val="00EA7390"/>
    <w:rsid w:val="00EA7417"/>
    <w:rsid w:val="00EA7639"/>
    <w:rsid w:val="00EA7877"/>
    <w:rsid w:val="00EA7B31"/>
    <w:rsid w:val="00EA7BC7"/>
    <w:rsid w:val="00EA7E14"/>
    <w:rsid w:val="00EB07B9"/>
    <w:rsid w:val="00EB0AE7"/>
    <w:rsid w:val="00EB108A"/>
    <w:rsid w:val="00EB11C5"/>
    <w:rsid w:val="00EB1486"/>
    <w:rsid w:val="00EB163C"/>
    <w:rsid w:val="00EB18A0"/>
    <w:rsid w:val="00EB18D6"/>
    <w:rsid w:val="00EB1932"/>
    <w:rsid w:val="00EB1FD1"/>
    <w:rsid w:val="00EB2243"/>
    <w:rsid w:val="00EB22AD"/>
    <w:rsid w:val="00EB2823"/>
    <w:rsid w:val="00EB29E5"/>
    <w:rsid w:val="00EB2A6C"/>
    <w:rsid w:val="00EB2D0C"/>
    <w:rsid w:val="00EB3573"/>
    <w:rsid w:val="00EB3748"/>
    <w:rsid w:val="00EB3896"/>
    <w:rsid w:val="00EB38ED"/>
    <w:rsid w:val="00EB3A56"/>
    <w:rsid w:val="00EB3B5C"/>
    <w:rsid w:val="00EB4144"/>
    <w:rsid w:val="00EB4797"/>
    <w:rsid w:val="00EB4D74"/>
    <w:rsid w:val="00EB4F81"/>
    <w:rsid w:val="00EB50CE"/>
    <w:rsid w:val="00EB550C"/>
    <w:rsid w:val="00EB5790"/>
    <w:rsid w:val="00EB5917"/>
    <w:rsid w:val="00EB59A7"/>
    <w:rsid w:val="00EB5E1A"/>
    <w:rsid w:val="00EB5F1C"/>
    <w:rsid w:val="00EB61E7"/>
    <w:rsid w:val="00EB6610"/>
    <w:rsid w:val="00EB668C"/>
    <w:rsid w:val="00EB6691"/>
    <w:rsid w:val="00EB67BF"/>
    <w:rsid w:val="00EB6944"/>
    <w:rsid w:val="00EB6D23"/>
    <w:rsid w:val="00EB6D40"/>
    <w:rsid w:val="00EB6DE6"/>
    <w:rsid w:val="00EB6EAF"/>
    <w:rsid w:val="00EB72A7"/>
    <w:rsid w:val="00EB72BA"/>
    <w:rsid w:val="00EB752F"/>
    <w:rsid w:val="00EB7974"/>
    <w:rsid w:val="00EB7DFE"/>
    <w:rsid w:val="00EC0306"/>
    <w:rsid w:val="00EC045D"/>
    <w:rsid w:val="00EC0A30"/>
    <w:rsid w:val="00EC0BBF"/>
    <w:rsid w:val="00EC0CDE"/>
    <w:rsid w:val="00EC0D82"/>
    <w:rsid w:val="00EC0E3C"/>
    <w:rsid w:val="00EC0ED6"/>
    <w:rsid w:val="00EC0FEE"/>
    <w:rsid w:val="00EC10B1"/>
    <w:rsid w:val="00EC1709"/>
    <w:rsid w:val="00EC1754"/>
    <w:rsid w:val="00EC1A9F"/>
    <w:rsid w:val="00EC1C04"/>
    <w:rsid w:val="00EC1CFE"/>
    <w:rsid w:val="00EC20C2"/>
    <w:rsid w:val="00EC2112"/>
    <w:rsid w:val="00EC2344"/>
    <w:rsid w:val="00EC23B1"/>
    <w:rsid w:val="00EC256F"/>
    <w:rsid w:val="00EC274D"/>
    <w:rsid w:val="00EC2C76"/>
    <w:rsid w:val="00EC2EB9"/>
    <w:rsid w:val="00EC3167"/>
    <w:rsid w:val="00EC3210"/>
    <w:rsid w:val="00EC326B"/>
    <w:rsid w:val="00EC3430"/>
    <w:rsid w:val="00EC3BD7"/>
    <w:rsid w:val="00EC3D3A"/>
    <w:rsid w:val="00EC4216"/>
    <w:rsid w:val="00EC4307"/>
    <w:rsid w:val="00EC453E"/>
    <w:rsid w:val="00EC4599"/>
    <w:rsid w:val="00EC46B7"/>
    <w:rsid w:val="00EC471B"/>
    <w:rsid w:val="00EC47F1"/>
    <w:rsid w:val="00EC4FEF"/>
    <w:rsid w:val="00EC524E"/>
    <w:rsid w:val="00EC52AE"/>
    <w:rsid w:val="00EC53C1"/>
    <w:rsid w:val="00EC55B6"/>
    <w:rsid w:val="00EC5768"/>
    <w:rsid w:val="00EC5845"/>
    <w:rsid w:val="00EC58C6"/>
    <w:rsid w:val="00EC598F"/>
    <w:rsid w:val="00EC5A0A"/>
    <w:rsid w:val="00EC5A88"/>
    <w:rsid w:val="00EC5AE2"/>
    <w:rsid w:val="00EC5BEF"/>
    <w:rsid w:val="00EC5C9C"/>
    <w:rsid w:val="00EC5E22"/>
    <w:rsid w:val="00EC5F87"/>
    <w:rsid w:val="00EC6020"/>
    <w:rsid w:val="00EC6413"/>
    <w:rsid w:val="00EC6765"/>
    <w:rsid w:val="00EC6950"/>
    <w:rsid w:val="00EC6CB3"/>
    <w:rsid w:val="00EC6F9E"/>
    <w:rsid w:val="00EC7339"/>
    <w:rsid w:val="00EC74FD"/>
    <w:rsid w:val="00EC77DB"/>
    <w:rsid w:val="00EC7A65"/>
    <w:rsid w:val="00EC7C34"/>
    <w:rsid w:val="00EC7E9D"/>
    <w:rsid w:val="00EC7FB4"/>
    <w:rsid w:val="00ED0097"/>
    <w:rsid w:val="00ED0425"/>
    <w:rsid w:val="00ED0470"/>
    <w:rsid w:val="00ED048A"/>
    <w:rsid w:val="00ED0811"/>
    <w:rsid w:val="00ED0B69"/>
    <w:rsid w:val="00ED0DF6"/>
    <w:rsid w:val="00ED10A4"/>
    <w:rsid w:val="00ED1134"/>
    <w:rsid w:val="00ED12FC"/>
    <w:rsid w:val="00ED164C"/>
    <w:rsid w:val="00ED209C"/>
    <w:rsid w:val="00ED24B9"/>
    <w:rsid w:val="00ED2587"/>
    <w:rsid w:val="00ED2754"/>
    <w:rsid w:val="00ED2A2D"/>
    <w:rsid w:val="00ED2DBB"/>
    <w:rsid w:val="00ED2FB5"/>
    <w:rsid w:val="00ED31C5"/>
    <w:rsid w:val="00ED3788"/>
    <w:rsid w:val="00ED395A"/>
    <w:rsid w:val="00ED39A0"/>
    <w:rsid w:val="00ED3D4D"/>
    <w:rsid w:val="00ED3D81"/>
    <w:rsid w:val="00ED3F38"/>
    <w:rsid w:val="00ED432F"/>
    <w:rsid w:val="00ED440B"/>
    <w:rsid w:val="00ED4816"/>
    <w:rsid w:val="00ED4951"/>
    <w:rsid w:val="00ED49D9"/>
    <w:rsid w:val="00ED4CBA"/>
    <w:rsid w:val="00ED52F8"/>
    <w:rsid w:val="00ED5414"/>
    <w:rsid w:val="00ED55F6"/>
    <w:rsid w:val="00ED5688"/>
    <w:rsid w:val="00ED582C"/>
    <w:rsid w:val="00ED5C5F"/>
    <w:rsid w:val="00ED6368"/>
    <w:rsid w:val="00ED64A5"/>
    <w:rsid w:val="00ED65B1"/>
    <w:rsid w:val="00ED6725"/>
    <w:rsid w:val="00ED6764"/>
    <w:rsid w:val="00ED699F"/>
    <w:rsid w:val="00ED6B8F"/>
    <w:rsid w:val="00ED6C8D"/>
    <w:rsid w:val="00ED6CE4"/>
    <w:rsid w:val="00ED6FB5"/>
    <w:rsid w:val="00ED70A6"/>
    <w:rsid w:val="00ED766A"/>
    <w:rsid w:val="00ED7971"/>
    <w:rsid w:val="00ED7A9F"/>
    <w:rsid w:val="00ED7B97"/>
    <w:rsid w:val="00ED7D03"/>
    <w:rsid w:val="00ED7E4D"/>
    <w:rsid w:val="00ED7E71"/>
    <w:rsid w:val="00EE02FA"/>
    <w:rsid w:val="00EE0798"/>
    <w:rsid w:val="00EE08ED"/>
    <w:rsid w:val="00EE09CE"/>
    <w:rsid w:val="00EE0B12"/>
    <w:rsid w:val="00EE0B38"/>
    <w:rsid w:val="00EE18BC"/>
    <w:rsid w:val="00EE19D9"/>
    <w:rsid w:val="00EE1AAB"/>
    <w:rsid w:val="00EE1ED9"/>
    <w:rsid w:val="00EE21DF"/>
    <w:rsid w:val="00EE21F2"/>
    <w:rsid w:val="00EE2456"/>
    <w:rsid w:val="00EE2982"/>
    <w:rsid w:val="00EE29FB"/>
    <w:rsid w:val="00EE2AC7"/>
    <w:rsid w:val="00EE2B02"/>
    <w:rsid w:val="00EE2BA3"/>
    <w:rsid w:val="00EE31A4"/>
    <w:rsid w:val="00EE3246"/>
    <w:rsid w:val="00EE329C"/>
    <w:rsid w:val="00EE32D0"/>
    <w:rsid w:val="00EE3406"/>
    <w:rsid w:val="00EE395E"/>
    <w:rsid w:val="00EE3AF6"/>
    <w:rsid w:val="00EE3BD8"/>
    <w:rsid w:val="00EE3CA3"/>
    <w:rsid w:val="00EE3F0D"/>
    <w:rsid w:val="00EE3F77"/>
    <w:rsid w:val="00EE40A6"/>
    <w:rsid w:val="00EE41BF"/>
    <w:rsid w:val="00EE43AC"/>
    <w:rsid w:val="00EE443F"/>
    <w:rsid w:val="00EE4461"/>
    <w:rsid w:val="00EE4823"/>
    <w:rsid w:val="00EE49FA"/>
    <w:rsid w:val="00EE4B8B"/>
    <w:rsid w:val="00EE4BA5"/>
    <w:rsid w:val="00EE4F1B"/>
    <w:rsid w:val="00EE5158"/>
    <w:rsid w:val="00EE5198"/>
    <w:rsid w:val="00EE51B6"/>
    <w:rsid w:val="00EE5448"/>
    <w:rsid w:val="00EE5498"/>
    <w:rsid w:val="00EE5609"/>
    <w:rsid w:val="00EE58BA"/>
    <w:rsid w:val="00EE5918"/>
    <w:rsid w:val="00EE59B2"/>
    <w:rsid w:val="00EE5E82"/>
    <w:rsid w:val="00EE614A"/>
    <w:rsid w:val="00EE656C"/>
    <w:rsid w:val="00EE6942"/>
    <w:rsid w:val="00EE69A4"/>
    <w:rsid w:val="00EE6CCF"/>
    <w:rsid w:val="00EE6CE9"/>
    <w:rsid w:val="00EE6D85"/>
    <w:rsid w:val="00EE7021"/>
    <w:rsid w:val="00EE719C"/>
    <w:rsid w:val="00EE738C"/>
    <w:rsid w:val="00EE740B"/>
    <w:rsid w:val="00EE75FD"/>
    <w:rsid w:val="00EE76B2"/>
    <w:rsid w:val="00EE7CCE"/>
    <w:rsid w:val="00EE7D83"/>
    <w:rsid w:val="00EE7E37"/>
    <w:rsid w:val="00EE7EF0"/>
    <w:rsid w:val="00EF0012"/>
    <w:rsid w:val="00EF036E"/>
    <w:rsid w:val="00EF0594"/>
    <w:rsid w:val="00EF05AE"/>
    <w:rsid w:val="00EF0757"/>
    <w:rsid w:val="00EF0A2B"/>
    <w:rsid w:val="00EF0ADD"/>
    <w:rsid w:val="00EF0F1B"/>
    <w:rsid w:val="00EF1529"/>
    <w:rsid w:val="00EF16AB"/>
    <w:rsid w:val="00EF16C3"/>
    <w:rsid w:val="00EF1AAB"/>
    <w:rsid w:val="00EF1B92"/>
    <w:rsid w:val="00EF1F06"/>
    <w:rsid w:val="00EF2191"/>
    <w:rsid w:val="00EF2240"/>
    <w:rsid w:val="00EF23CE"/>
    <w:rsid w:val="00EF24D7"/>
    <w:rsid w:val="00EF250E"/>
    <w:rsid w:val="00EF26B3"/>
    <w:rsid w:val="00EF29B6"/>
    <w:rsid w:val="00EF2B9C"/>
    <w:rsid w:val="00EF2CB6"/>
    <w:rsid w:val="00EF304B"/>
    <w:rsid w:val="00EF30F4"/>
    <w:rsid w:val="00EF31B7"/>
    <w:rsid w:val="00EF33B9"/>
    <w:rsid w:val="00EF3433"/>
    <w:rsid w:val="00EF36D8"/>
    <w:rsid w:val="00EF37F3"/>
    <w:rsid w:val="00EF39E3"/>
    <w:rsid w:val="00EF4279"/>
    <w:rsid w:val="00EF42E8"/>
    <w:rsid w:val="00EF42F1"/>
    <w:rsid w:val="00EF4311"/>
    <w:rsid w:val="00EF439D"/>
    <w:rsid w:val="00EF4855"/>
    <w:rsid w:val="00EF48EC"/>
    <w:rsid w:val="00EF4CD9"/>
    <w:rsid w:val="00EF5178"/>
    <w:rsid w:val="00EF58AC"/>
    <w:rsid w:val="00EF5D14"/>
    <w:rsid w:val="00EF5E39"/>
    <w:rsid w:val="00EF6139"/>
    <w:rsid w:val="00EF6366"/>
    <w:rsid w:val="00EF6461"/>
    <w:rsid w:val="00EF6530"/>
    <w:rsid w:val="00EF6802"/>
    <w:rsid w:val="00EF6B34"/>
    <w:rsid w:val="00EF6BD1"/>
    <w:rsid w:val="00EF6D66"/>
    <w:rsid w:val="00EF71F1"/>
    <w:rsid w:val="00EF7285"/>
    <w:rsid w:val="00EF7429"/>
    <w:rsid w:val="00EF76BD"/>
    <w:rsid w:val="00EF7832"/>
    <w:rsid w:val="00EF786A"/>
    <w:rsid w:val="00EF78DF"/>
    <w:rsid w:val="00EF7CE1"/>
    <w:rsid w:val="00F00003"/>
    <w:rsid w:val="00F0050C"/>
    <w:rsid w:val="00F0074B"/>
    <w:rsid w:val="00F0078F"/>
    <w:rsid w:val="00F00C2C"/>
    <w:rsid w:val="00F00FDE"/>
    <w:rsid w:val="00F010FE"/>
    <w:rsid w:val="00F01150"/>
    <w:rsid w:val="00F0122F"/>
    <w:rsid w:val="00F01497"/>
    <w:rsid w:val="00F01913"/>
    <w:rsid w:val="00F01E38"/>
    <w:rsid w:val="00F01ECD"/>
    <w:rsid w:val="00F021A3"/>
    <w:rsid w:val="00F02638"/>
    <w:rsid w:val="00F028D2"/>
    <w:rsid w:val="00F02C58"/>
    <w:rsid w:val="00F02C63"/>
    <w:rsid w:val="00F02CBD"/>
    <w:rsid w:val="00F02DF1"/>
    <w:rsid w:val="00F02F51"/>
    <w:rsid w:val="00F02F76"/>
    <w:rsid w:val="00F032C8"/>
    <w:rsid w:val="00F03384"/>
    <w:rsid w:val="00F03403"/>
    <w:rsid w:val="00F0346E"/>
    <w:rsid w:val="00F034EB"/>
    <w:rsid w:val="00F037E8"/>
    <w:rsid w:val="00F03C0D"/>
    <w:rsid w:val="00F03E3B"/>
    <w:rsid w:val="00F03E46"/>
    <w:rsid w:val="00F042C5"/>
    <w:rsid w:val="00F04733"/>
    <w:rsid w:val="00F0484B"/>
    <w:rsid w:val="00F0493E"/>
    <w:rsid w:val="00F04A68"/>
    <w:rsid w:val="00F053DD"/>
    <w:rsid w:val="00F0558C"/>
    <w:rsid w:val="00F05866"/>
    <w:rsid w:val="00F05C29"/>
    <w:rsid w:val="00F05D31"/>
    <w:rsid w:val="00F05E49"/>
    <w:rsid w:val="00F05E7E"/>
    <w:rsid w:val="00F06023"/>
    <w:rsid w:val="00F062AB"/>
    <w:rsid w:val="00F0633D"/>
    <w:rsid w:val="00F064E0"/>
    <w:rsid w:val="00F06844"/>
    <w:rsid w:val="00F06D75"/>
    <w:rsid w:val="00F06D90"/>
    <w:rsid w:val="00F06E09"/>
    <w:rsid w:val="00F06F7C"/>
    <w:rsid w:val="00F073FB"/>
    <w:rsid w:val="00F07AD7"/>
    <w:rsid w:val="00F07B94"/>
    <w:rsid w:val="00F1012C"/>
    <w:rsid w:val="00F1063A"/>
    <w:rsid w:val="00F106E8"/>
    <w:rsid w:val="00F1083C"/>
    <w:rsid w:val="00F10C64"/>
    <w:rsid w:val="00F1113E"/>
    <w:rsid w:val="00F116BB"/>
    <w:rsid w:val="00F11C37"/>
    <w:rsid w:val="00F11E02"/>
    <w:rsid w:val="00F11F4B"/>
    <w:rsid w:val="00F120FB"/>
    <w:rsid w:val="00F121D9"/>
    <w:rsid w:val="00F122EF"/>
    <w:rsid w:val="00F1296B"/>
    <w:rsid w:val="00F12AD7"/>
    <w:rsid w:val="00F12D34"/>
    <w:rsid w:val="00F13315"/>
    <w:rsid w:val="00F1344F"/>
    <w:rsid w:val="00F13532"/>
    <w:rsid w:val="00F138E6"/>
    <w:rsid w:val="00F13C50"/>
    <w:rsid w:val="00F13C9F"/>
    <w:rsid w:val="00F13F54"/>
    <w:rsid w:val="00F142E6"/>
    <w:rsid w:val="00F14445"/>
    <w:rsid w:val="00F14628"/>
    <w:rsid w:val="00F14715"/>
    <w:rsid w:val="00F148D0"/>
    <w:rsid w:val="00F1496F"/>
    <w:rsid w:val="00F14B0D"/>
    <w:rsid w:val="00F1500F"/>
    <w:rsid w:val="00F1527B"/>
    <w:rsid w:val="00F153C6"/>
    <w:rsid w:val="00F1556A"/>
    <w:rsid w:val="00F155D3"/>
    <w:rsid w:val="00F156C1"/>
    <w:rsid w:val="00F156F7"/>
    <w:rsid w:val="00F159B5"/>
    <w:rsid w:val="00F15A81"/>
    <w:rsid w:val="00F15BF7"/>
    <w:rsid w:val="00F15C4E"/>
    <w:rsid w:val="00F15C96"/>
    <w:rsid w:val="00F15F63"/>
    <w:rsid w:val="00F1604F"/>
    <w:rsid w:val="00F16110"/>
    <w:rsid w:val="00F1650E"/>
    <w:rsid w:val="00F16666"/>
    <w:rsid w:val="00F167A6"/>
    <w:rsid w:val="00F169F7"/>
    <w:rsid w:val="00F16AFE"/>
    <w:rsid w:val="00F16EF5"/>
    <w:rsid w:val="00F16F91"/>
    <w:rsid w:val="00F170E1"/>
    <w:rsid w:val="00F175C8"/>
    <w:rsid w:val="00F17883"/>
    <w:rsid w:val="00F17986"/>
    <w:rsid w:val="00F20041"/>
    <w:rsid w:val="00F202EF"/>
    <w:rsid w:val="00F204A5"/>
    <w:rsid w:val="00F20598"/>
    <w:rsid w:val="00F205A7"/>
    <w:rsid w:val="00F205D5"/>
    <w:rsid w:val="00F20952"/>
    <w:rsid w:val="00F20C88"/>
    <w:rsid w:val="00F20D84"/>
    <w:rsid w:val="00F20DCA"/>
    <w:rsid w:val="00F21223"/>
    <w:rsid w:val="00F21267"/>
    <w:rsid w:val="00F21316"/>
    <w:rsid w:val="00F21419"/>
    <w:rsid w:val="00F2155E"/>
    <w:rsid w:val="00F21570"/>
    <w:rsid w:val="00F2160A"/>
    <w:rsid w:val="00F2173A"/>
    <w:rsid w:val="00F21961"/>
    <w:rsid w:val="00F21981"/>
    <w:rsid w:val="00F21B90"/>
    <w:rsid w:val="00F21F13"/>
    <w:rsid w:val="00F22011"/>
    <w:rsid w:val="00F220DD"/>
    <w:rsid w:val="00F222FB"/>
    <w:rsid w:val="00F223A1"/>
    <w:rsid w:val="00F22400"/>
    <w:rsid w:val="00F224AE"/>
    <w:rsid w:val="00F22829"/>
    <w:rsid w:val="00F2285D"/>
    <w:rsid w:val="00F22877"/>
    <w:rsid w:val="00F22C75"/>
    <w:rsid w:val="00F22EF4"/>
    <w:rsid w:val="00F22F99"/>
    <w:rsid w:val="00F232A6"/>
    <w:rsid w:val="00F234C9"/>
    <w:rsid w:val="00F2359D"/>
    <w:rsid w:val="00F2381F"/>
    <w:rsid w:val="00F23986"/>
    <w:rsid w:val="00F239A1"/>
    <w:rsid w:val="00F23B18"/>
    <w:rsid w:val="00F23D83"/>
    <w:rsid w:val="00F247B2"/>
    <w:rsid w:val="00F249F9"/>
    <w:rsid w:val="00F24E86"/>
    <w:rsid w:val="00F256C7"/>
    <w:rsid w:val="00F25709"/>
    <w:rsid w:val="00F2588A"/>
    <w:rsid w:val="00F25B4E"/>
    <w:rsid w:val="00F25DCA"/>
    <w:rsid w:val="00F25E9B"/>
    <w:rsid w:val="00F26147"/>
    <w:rsid w:val="00F26316"/>
    <w:rsid w:val="00F26327"/>
    <w:rsid w:val="00F26575"/>
    <w:rsid w:val="00F266FD"/>
    <w:rsid w:val="00F26AFD"/>
    <w:rsid w:val="00F26DC5"/>
    <w:rsid w:val="00F2733B"/>
    <w:rsid w:val="00F2738C"/>
    <w:rsid w:val="00F2799F"/>
    <w:rsid w:val="00F279FB"/>
    <w:rsid w:val="00F27B9D"/>
    <w:rsid w:val="00F27BBE"/>
    <w:rsid w:val="00F27C73"/>
    <w:rsid w:val="00F27C91"/>
    <w:rsid w:val="00F27D37"/>
    <w:rsid w:val="00F27FE4"/>
    <w:rsid w:val="00F3016E"/>
    <w:rsid w:val="00F301AE"/>
    <w:rsid w:val="00F3027A"/>
    <w:rsid w:val="00F302DD"/>
    <w:rsid w:val="00F30496"/>
    <w:rsid w:val="00F304BD"/>
    <w:rsid w:val="00F304EA"/>
    <w:rsid w:val="00F3056C"/>
    <w:rsid w:val="00F30DA6"/>
    <w:rsid w:val="00F30DCE"/>
    <w:rsid w:val="00F31017"/>
    <w:rsid w:val="00F31129"/>
    <w:rsid w:val="00F315C3"/>
    <w:rsid w:val="00F317E3"/>
    <w:rsid w:val="00F31B3A"/>
    <w:rsid w:val="00F31BDB"/>
    <w:rsid w:val="00F31ED9"/>
    <w:rsid w:val="00F325DA"/>
    <w:rsid w:val="00F32641"/>
    <w:rsid w:val="00F32A98"/>
    <w:rsid w:val="00F32AB0"/>
    <w:rsid w:val="00F32FC6"/>
    <w:rsid w:val="00F33379"/>
    <w:rsid w:val="00F3398D"/>
    <w:rsid w:val="00F33A89"/>
    <w:rsid w:val="00F33D1C"/>
    <w:rsid w:val="00F3425F"/>
    <w:rsid w:val="00F34267"/>
    <w:rsid w:val="00F342EB"/>
    <w:rsid w:val="00F34393"/>
    <w:rsid w:val="00F344BE"/>
    <w:rsid w:val="00F3471C"/>
    <w:rsid w:val="00F3495C"/>
    <w:rsid w:val="00F34C71"/>
    <w:rsid w:val="00F34E66"/>
    <w:rsid w:val="00F35216"/>
    <w:rsid w:val="00F35275"/>
    <w:rsid w:val="00F3532A"/>
    <w:rsid w:val="00F353FA"/>
    <w:rsid w:val="00F353FF"/>
    <w:rsid w:val="00F35B00"/>
    <w:rsid w:val="00F36160"/>
    <w:rsid w:val="00F3640E"/>
    <w:rsid w:val="00F36645"/>
    <w:rsid w:val="00F36835"/>
    <w:rsid w:val="00F36CEB"/>
    <w:rsid w:val="00F36D9D"/>
    <w:rsid w:val="00F36F68"/>
    <w:rsid w:val="00F37060"/>
    <w:rsid w:val="00F372EE"/>
    <w:rsid w:val="00F378D5"/>
    <w:rsid w:val="00F37A23"/>
    <w:rsid w:val="00F37ACC"/>
    <w:rsid w:val="00F40023"/>
    <w:rsid w:val="00F402EE"/>
    <w:rsid w:val="00F403F6"/>
    <w:rsid w:val="00F40999"/>
    <w:rsid w:val="00F40CD5"/>
    <w:rsid w:val="00F40DFA"/>
    <w:rsid w:val="00F41135"/>
    <w:rsid w:val="00F41371"/>
    <w:rsid w:val="00F4167F"/>
    <w:rsid w:val="00F41904"/>
    <w:rsid w:val="00F41DC3"/>
    <w:rsid w:val="00F41E88"/>
    <w:rsid w:val="00F41F97"/>
    <w:rsid w:val="00F421BF"/>
    <w:rsid w:val="00F42224"/>
    <w:rsid w:val="00F4236A"/>
    <w:rsid w:val="00F42466"/>
    <w:rsid w:val="00F42948"/>
    <w:rsid w:val="00F4364F"/>
    <w:rsid w:val="00F4375E"/>
    <w:rsid w:val="00F441E4"/>
    <w:rsid w:val="00F442B2"/>
    <w:rsid w:val="00F44928"/>
    <w:rsid w:val="00F44A85"/>
    <w:rsid w:val="00F44A89"/>
    <w:rsid w:val="00F44EEC"/>
    <w:rsid w:val="00F451BA"/>
    <w:rsid w:val="00F452E1"/>
    <w:rsid w:val="00F4570D"/>
    <w:rsid w:val="00F4579A"/>
    <w:rsid w:val="00F4591A"/>
    <w:rsid w:val="00F45DAA"/>
    <w:rsid w:val="00F46015"/>
    <w:rsid w:val="00F4644B"/>
    <w:rsid w:val="00F46693"/>
    <w:rsid w:val="00F469FE"/>
    <w:rsid w:val="00F46AFD"/>
    <w:rsid w:val="00F46AFE"/>
    <w:rsid w:val="00F46D66"/>
    <w:rsid w:val="00F47079"/>
    <w:rsid w:val="00F471C1"/>
    <w:rsid w:val="00F47AB8"/>
    <w:rsid w:val="00F47E62"/>
    <w:rsid w:val="00F47E94"/>
    <w:rsid w:val="00F500C9"/>
    <w:rsid w:val="00F5015F"/>
    <w:rsid w:val="00F505AE"/>
    <w:rsid w:val="00F5079B"/>
    <w:rsid w:val="00F50825"/>
    <w:rsid w:val="00F50C7E"/>
    <w:rsid w:val="00F50DE5"/>
    <w:rsid w:val="00F513FC"/>
    <w:rsid w:val="00F516E4"/>
    <w:rsid w:val="00F51A19"/>
    <w:rsid w:val="00F51A80"/>
    <w:rsid w:val="00F52116"/>
    <w:rsid w:val="00F52194"/>
    <w:rsid w:val="00F52376"/>
    <w:rsid w:val="00F5251F"/>
    <w:rsid w:val="00F52667"/>
    <w:rsid w:val="00F526BE"/>
    <w:rsid w:val="00F529D5"/>
    <w:rsid w:val="00F52F87"/>
    <w:rsid w:val="00F5309C"/>
    <w:rsid w:val="00F532AD"/>
    <w:rsid w:val="00F53318"/>
    <w:rsid w:val="00F534D9"/>
    <w:rsid w:val="00F5387C"/>
    <w:rsid w:val="00F53A5C"/>
    <w:rsid w:val="00F53A9C"/>
    <w:rsid w:val="00F53AAD"/>
    <w:rsid w:val="00F54176"/>
    <w:rsid w:val="00F541F4"/>
    <w:rsid w:val="00F5421F"/>
    <w:rsid w:val="00F54266"/>
    <w:rsid w:val="00F5453A"/>
    <w:rsid w:val="00F545BB"/>
    <w:rsid w:val="00F54705"/>
    <w:rsid w:val="00F54CAB"/>
    <w:rsid w:val="00F54D98"/>
    <w:rsid w:val="00F54DC4"/>
    <w:rsid w:val="00F54F42"/>
    <w:rsid w:val="00F5531A"/>
    <w:rsid w:val="00F556D1"/>
    <w:rsid w:val="00F556F2"/>
    <w:rsid w:val="00F55732"/>
    <w:rsid w:val="00F55862"/>
    <w:rsid w:val="00F55B8D"/>
    <w:rsid w:val="00F55BFE"/>
    <w:rsid w:val="00F55C72"/>
    <w:rsid w:val="00F55DD0"/>
    <w:rsid w:val="00F56324"/>
    <w:rsid w:val="00F56358"/>
    <w:rsid w:val="00F56598"/>
    <w:rsid w:val="00F567F3"/>
    <w:rsid w:val="00F56AF1"/>
    <w:rsid w:val="00F56CFB"/>
    <w:rsid w:val="00F56F3D"/>
    <w:rsid w:val="00F56FC3"/>
    <w:rsid w:val="00F570A5"/>
    <w:rsid w:val="00F573AB"/>
    <w:rsid w:val="00F5772C"/>
    <w:rsid w:val="00F57871"/>
    <w:rsid w:val="00F578D9"/>
    <w:rsid w:val="00F57943"/>
    <w:rsid w:val="00F60215"/>
    <w:rsid w:val="00F6028F"/>
    <w:rsid w:val="00F60326"/>
    <w:rsid w:val="00F606AF"/>
    <w:rsid w:val="00F608E1"/>
    <w:rsid w:val="00F6099C"/>
    <w:rsid w:val="00F60C24"/>
    <w:rsid w:val="00F60E07"/>
    <w:rsid w:val="00F61139"/>
    <w:rsid w:val="00F61251"/>
    <w:rsid w:val="00F61261"/>
    <w:rsid w:val="00F61582"/>
    <w:rsid w:val="00F6196A"/>
    <w:rsid w:val="00F61971"/>
    <w:rsid w:val="00F61A51"/>
    <w:rsid w:val="00F61B01"/>
    <w:rsid w:val="00F61F7C"/>
    <w:rsid w:val="00F6216C"/>
    <w:rsid w:val="00F62300"/>
    <w:rsid w:val="00F626AC"/>
    <w:rsid w:val="00F628AB"/>
    <w:rsid w:val="00F62F7B"/>
    <w:rsid w:val="00F62FED"/>
    <w:rsid w:val="00F63147"/>
    <w:rsid w:val="00F63170"/>
    <w:rsid w:val="00F631F8"/>
    <w:rsid w:val="00F63743"/>
    <w:rsid w:val="00F638A3"/>
    <w:rsid w:val="00F63C23"/>
    <w:rsid w:val="00F63CB5"/>
    <w:rsid w:val="00F63F43"/>
    <w:rsid w:val="00F64A93"/>
    <w:rsid w:val="00F64ADE"/>
    <w:rsid w:val="00F64B30"/>
    <w:rsid w:val="00F64C58"/>
    <w:rsid w:val="00F64D26"/>
    <w:rsid w:val="00F65580"/>
    <w:rsid w:val="00F65A3E"/>
    <w:rsid w:val="00F65B59"/>
    <w:rsid w:val="00F65C0D"/>
    <w:rsid w:val="00F65E84"/>
    <w:rsid w:val="00F65E9F"/>
    <w:rsid w:val="00F65EA3"/>
    <w:rsid w:val="00F66039"/>
    <w:rsid w:val="00F66154"/>
    <w:rsid w:val="00F66882"/>
    <w:rsid w:val="00F668A0"/>
    <w:rsid w:val="00F66940"/>
    <w:rsid w:val="00F66DA5"/>
    <w:rsid w:val="00F673CD"/>
    <w:rsid w:val="00F67587"/>
    <w:rsid w:val="00F676C7"/>
    <w:rsid w:val="00F6785F"/>
    <w:rsid w:val="00F678E4"/>
    <w:rsid w:val="00F67CDA"/>
    <w:rsid w:val="00F67DF4"/>
    <w:rsid w:val="00F707AD"/>
    <w:rsid w:val="00F70953"/>
    <w:rsid w:val="00F70A62"/>
    <w:rsid w:val="00F70B1E"/>
    <w:rsid w:val="00F71184"/>
    <w:rsid w:val="00F7145A"/>
    <w:rsid w:val="00F715DF"/>
    <w:rsid w:val="00F7167E"/>
    <w:rsid w:val="00F71883"/>
    <w:rsid w:val="00F71934"/>
    <w:rsid w:val="00F71B5B"/>
    <w:rsid w:val="00F71E26"/>
    <w:rsid w:val="00F71EA0"/>
    <w:rsid w:val="00F72242"/>
    <w:rsid w:val="00F72252"/>
    <w:rsid w:val="00F72664"/>
    <w:rsid w:val="00F727C3"/>
    <w:rsid w:val="00F728B8"/>
    <w:rsid w:val="00F72924"/>
    <w:rsid w:val="00F729AE"/>
    <w:rsid w:val="00F72A3B"/>
    <w:rsid w:val="00F72A41"/>
    <w:rsid w:val="00F7330B"/>
    <w:rsid w:val="00F73838"/>
    <w:rsid w:val="00F73845"/>
    <w:rsid w:val="00F73907"/>
    <w:rsid w:val="00F73A1D"/>
    <w:rsid w:val="00F73A2B"/>
    <w:rsid w:val="00F73C85"/>
    <w:rsid w:val="00F73D90"/>
    <w:rsid w:val="00F74099"/>
    <w:rsid w:val="00F7426C"/>
    <w:rsid w:val="00F743FF"/>
    <w:rsid w:val="00F746D6"/>
    <w:rsid w:val="00F747A3"/>
    <w:rsid w:val="00F7492F"/>
    <w:rsid w:val="00F74AC8"/>
    <w:rsid w:val="00F74F07"/>
    <w:rsid w:val="00F74F33"/>
    <w:rsid w:val="00F7504D"/>
    <w:rsid w:val="00F75362"/>
    <w:rsid w:val="00F75520"/>
    <w:rsid w:val="00F7559E"/>
    <w:rsid w:val="00F75BA5"/>
    <w:rsid w:val="00F75FEB"/>
    <w:rsid w:val="00F7621D"/>
    <w:rsid w:val="00F764FD"/>
    <w:rsid w:val="00F76C2E"/>
    <w:rsid w:val="00F76C74"/>
    <w:rsid w:val="00F76C96"/>
    <w:rsid w:val="00F76CE2"/>
    <w:rsid w:val="00F76F2D"/>
    <w:rsid w:val="00F77035"/>
    <w:rsid w:val="00F775AD"/>
    <w:rsid w:val="00F77655"/>
    <w:rsid w:val="00F7774A"/>
    <w:rsid w:val="00F77A6A"/>
    <w:rsid w:val="00F77B32"/>
    <w:rsid w:val="00F77CF9"/>
    <w:rsid w:val="00F8018C"/>
    <w:rsid w:val="00F80272"/>
    <w:rsid w:val="00F802A7"/>
    <w:rsid w:val="00F8047C"/>
    <w:rsid w:val="00F804D8"/>
    <w:rsid w:val="00F806B3"/>
    <w:rsid w:val="00F80820"/>
    <w:rsid w:val="00F80997"/>
    <w:rsid w:val="00F80DEC"/>
    <w:rsid w:val="00F80F3D"/>
    <w:rsid w:val="00F8102C"/>
    <w:rsid w:val="00F813BD"/>
    <w:rsid w:val="00F81428"/>
    <w:rsid w:val="00F816BF"/>
    <w:rsid w:val="00F81B61"/>
    <w:rsid w:val="00F81D1A"/>
    <w:rsid w:val="00F81F0E"/>
    <w:rsid w:val="00F81F3D"/>
    <w:rsid w:val="00F82118"/>
    <w:rsid w:val="00F8212C"/>
    <w:rsid w:val="00F82301"/>
    <w:rsid w:val="00F828B5"/>
    <w:rsid w:val="00F82C16"/>
    <w:rsid w:val="00F82F7B"/>
    <w:rsid w:val="00F83003"/>
    <w:rsid w:val="00F8309A"/>
    <w:rsid w:val="00F83185"/>
    <w:rsid w:val="00F8339A"/>
    <w:rsid w:val="00F836B6"/>
    <w:rsid w:val="00F83B29"/>
    <w:rsid w:val="00F83B86"/>
    <w:rsid w:val="00F84069"/>
    <w:rsid w:val="00F843FF"/>
    <w:rsid w:val="00F84478"/>
    <w:rsid w:val="00F8479E"/>
    <w:rsid w:val="00F847BF"/>
    <w:rsid w:val="00F84C4D"/>
    <w:rsid w:val="00F84CAD"/>
    <w:rsid w:val="00F84E05"/>
    <w:rsid w:val="00F850BF"/>
    <w:rsid w:val="00F85253"/>
    <w:rsid w:val="00F853E3"/>
    <w:rsid w:val="00F85425"/>
    <w:rsid w:val="00F85635"/>
    <w:rsid w:val="00F85804"/>
    <w:rsid w:val="00F858E5"/>
    <w:rsid w:val="00F85901"/>
    <w:rsid w:val="00F85A8D"/>
    <w:rsid w:val="00F85AB7"/>
    <w:rsid w:val="00F85DC5"/>
    <w:rsid w:val="00F85F61"/>
    <w:rsid w:val="00F85F86"/>
    <w:rsid w:val="00F86074"/>
    <w:rsid w:val="00F8631F"/>
    <w:rsid w:val="00F863BF"/>
    <w:rsid w:val="00F863FA"/>
    <w:rsid w:val="00F8650B"/>
    <w:rsid w:val="00F86621"/>
    <w:rsid w:val="00F86938"/>
    <w:rsid w:val="00F86CD2"/>
    <w:rsid w:val="00F86DC3"/>
    <w:rsid w:val="00F86FA3"/>
    <w:rsid w:val="00F874E9"/>
    <w:rsid w:val="00F87570"/>
    <w:rsid w:val="00F8778E"/>
    <w:rsid w:val="00F87C91"/>
    <w:rsid w:val="00F87CF1"/>
    <w:rsid w:val="00F87DF3"/>
    <w:rsid w:val="00F87E0F"/>
    <w:rsid w:val="00F87E21"/>
    <w:rsid w:val="00F87E84"/>
    <w:rsid w:val="00F87F6C"/>
    <w:rsid w:val="00F900BD"/>
    <w:rsid w:val="00F9015C"/>
    <w:rsid w:val="00F901A9"/>
    <w:rsid w:val="00F90261"/>
    <w:rsid w:val="00F9039E"/>
    <w:rsid w:val="00F904D6"/>
    <w:rsid w:val="00F904E8"/>
    <w:rsid w:val="00F904F2"/>
    <w:rsid w:val="00F905F0"/>
    <w:rsid w:val="00F906AC"/>
    <w:rsid w:val="00F906C1"/>
    <w:rsid w:val="00F906CA"/>
    <w:rsid w:val="00F90970"/>
    <w:rsid w:val="00F91DEF"/>
    <w:rsid w:val="00F91E43"/>
    <w:rsid w:val="00F9200A"/>
    <w:rsid w:val="00F92043"/>
    <w:rsid w:val="00F92182"/>
    <w:rsid w:val="00F921A6"/>
    <w:rsid w:val="00F92426"/>
    <w:rsid w:val="00F92A04"/>
    <w:rsid w:val="00F92A1B"/>
    <w:rsid w:val="00F92A68"/>
    <w:rsid w:val="00F92C27"/>
    <w:rsid w:val="00F92D6D"/>
    <w:rsid w:val="00F92D6F"/>
    <w:rsid w:val="00F92DB3"/>
    <w:rsid w:val="00F9307E"/>
    <w:rsid w:val="00F9319B"/>
    <w:rsid w:val="00F93519"/>
    <w:rsid w:val="00F935FA"/>
    <w:rsid w:val="00F9371A"/>
    <w:rsid w:val="00F93AB0"/>
    <w:rsid w:val="00F93D69"/>
    <w:rsid w:val="00F93FA1"/>
    <w:rsid w:val="00F94193"/>
    <w:rsid w:val="00F943A8"/>
    <w:rsid w:val="00F94402"/>
    <w:rsid w:val="00F9449D"/>
    <w:rsid w:val="00F94502"/>
    <w:rsid w:val="00F945FC"/>
    <w:rsid w:val="00F947CC"/>
    <w:rsid w:val="00F9498C"/>
    <w:rsid w:val="00F94C60"/>
    <w:rsid w:val="00F94F15"/>
    <w:rsid w:val="00F95105"/>
    <w:rsid w:val="00F95128"/>
    <w:rsid w:val="00F95196"/>
    <w:rsid w:val="00F9523D"/>
    <w:rsid w:val="00F95403"/>
    <w:rsid w:val="00F954AF"/>
    <w:rsid w:val="00F95905"/>
    <w:rsid w:val="00F95B46"/>
    <w:rsid w:val="00F95D7D"/>
    <w:rsid w:val="00F95EC3"/>
    <w:rsid w:val="00F95FB5"/>
    <w:rsid w:val="00F96017"/>
    <w:rsid w:val="00F96476"/>
    <w:rsid w:val="00F96718"/>
    <w:rsid w:val="00F96911"/>
    <w:rsid w:val="00F96C4C"/>
    <w:rsid w:val="00F96DF7"/>
    <w:rsid w:val="00F97004"/>
    <w:rsid w:val="00F974A7"/>
    <w:rsid w:val="00F9769D"/>
    <w:rsid w:val="00F978B2"/>
    <w:rsid w:val="00F97A45"/>
    <w:rsid w:val="00F97A67"/>
    <w:rsid w:val="00F97EC1"/>
    <w:rsid w:val="00F97F14"/>
    <w:rsid w:val="00F97FB5"/>
    <w:rsid w:val="00FA076C"/>
    <w:rsid w:val="00FA09CF"/>
    <w:rsid w:val="00FA0B0D"/>
    <w:rsid w:val="00FA0C93"/>
    <w:rsid w:val="00FA0E40"/>
    <w:rsid w:val="00FA0EFD"/>
    <w:rsid w:val="00FA10B2"/>
    <w:rsid w:val="00FA1882"/>
    <w:rsid w:val="00FA1A8F"/>
    <w:rsid w:val="00FA2332"/>
    <w:rsid w:val="00FA2515"/>
    <w:rsid w:val="00FA2525"/>
    <w:rsid w:val="00FA26E7"/>
    <w:rsid w:val="00FA2A84"/>
    <w:rsid w:val="00FA2DC4"/>
    <w:rsid w:val="00FA2E11"/>
    <w:rsid w:val="00FA33BD"/>
    <w:rsid w:val="00FA345C"/>
    <w:rsid w:val="00FA35E5"/>
    <w:rsid w:val="00FA36CF"/>
    <w:rsid w:val="00FA370F"/>
    <w:rsid w:val="00FA37F2"/>
    <w:rsid w:val="00FA3D48"/>
    <w:rsid w:val="00FA407F"/>
    <w:rsid w:val="00FA4D08"/>
    <w:rsid w:val="00FA4E93"/>
    <w:rsid w:val="00FA550F"/>
    <w:rsid w:val="00FA5551"/>
    <w:rsid w:val="00FA55D3"/>
    <w:rsid w:val="00FA569D"/>
    <w:rsid w:val="00FA58D7"/>
    <w:rsid w:val="00FA5901"/>
    <w:rsid w:val="00FA5A56"/>
    <w:rsid w:val="00FA5DC8"/>
    <w:rsid w:val="00FA6256"/>
    <w:rsid w:val="00FA6269"/>
    <w:rsid w:val="00FA6332"/>
    <w:rsid w:val="00FA6553"/>
    <w:rsid w:val="00FA6692"/>
    <w:rsid w:val="00FA6AD0"/>
    <w:rsid w:val="00FA6CEF"/>
    <w:rsid w:val="00FA6D22"/>
    <w:rsid w:val="00FA6DCF"/>
    <w:rsid w:val="00FA71C3"/>
    <w:rsid w:val="00FA735B"/>
    <w:rsid w:val="00FA7411"/>
    <w:rsid w:val="00FA7541"/>
    <w:rsid w:val="00FA77D1"/>
    <w:rsid w:val="00FA786F"/>
    <w:rsid w:val="00FA78AA"/>
    <w:rsid w:val="00FA7A65"/>
    <w:rsid w:val="00FB0279"/>
    <w:rsid w:val="00FB05EA"/>
    <w:rsid w:val="00FB0647"/>
    <w:rsid w:val="00FB075F"/>
    <w:rsid w:val="00FB082E"/>
    <w:rsid w:val="00FB0A34"/>
    <w:rsid w:val="00FB0A49"/>
    <w:rsid w:val="00FB0D8F"/>
    <w:rsid w:val="00FB0DEF"/>
    <w:rsid w:val="00FB1243"/>
    <w:rsid w:val="00FB1349"/>
    <w:rsid w:val="00FB1510"/>
    <w:rsid w:val="00FB159A"/>
    <w:rsid w:val="00FB1680"/>
    <w:rsid w:val="00FB16B6"/>
    <w:rsid w:val="00FB193F"/>
    <w:rsid w:val="00FB19E7"/>
    <w:rsid w:val="00FB1D38"/>
    <w:rsid w:val="00FB2370"/>
    <w:rsid w:val="00FB24F9"/>
    <w:rsid w:val="00FB263F"/>
    <w:rsid w:val="00FB2692"/>
    <w:rsid w:val="00FB285E"/>
    <w:rsid w:val="00FB28B2"/>
    <w:rsid w:val="00FB29D7"/>
    <w:rsid w:val="00FB2B21"/>
    <w:rsid w:val="00FB2B47"/>
    <w:rsid w:val="00FB3228"/>
    <w:rsid w:val="00FB329B"/>
    <w:rsid w:val="00FB3476"/>
    <w:rsid w:val="00FB35CF"/>
    <w:rsid w:val="00FB36DF"/>
    <w:rsid w:val="00FB3EA1"/>
    <w:rsid w:val="00FB3EDD"/>
    <w:rsid w:val="00FB4063"/>
    <w:rsid w:val="00FB4125"/>
    <w:rsid w:val="00FB436C"/>
    <w:rsid w:val="00FB438B"/>
    <w:rsid w:val="00FB444A"/>
    <w:rsid w:val="00FB448F"/>
    <w:rsid w:val="00FB4513"/>
    <w:rsid w:val="00FB4538"/>
    <w:rsid w:val="00FB45BD"/>
    <w:rsid w:val="00FB47B2"/>
    <w:rsid w:val="00FB4801"/>
    <w:rsid w:val="00FB4D4B"/>
    <w:rsid w:val="00FB4FC4"/>
    <w:rsid w:val="00FB503B"/>
    <w:rsid w:val="00FB50A5"/>
    <w:rsid w:val="00FB59E8"/>
    <w:rsid w:val="00FB5F45"/>
    <w:rsid w:val="00FB666C"/>
    <w:rsid w:val="00FB6845"/>
    <w:rsid w:val="00FB68B0"/>
    <w:rsid w:val="00FB6909"/>
    <w:rsid w:val="00FB6A12"/>
    <w:rsid w:val="00FB6A22"/>
    <w:rsid w:val="00FB6C8A"/>
    <w:rsid w:val="00FB6FCA"/>
    <w:rsid w:val="00FB7172"/>
    <w:rsid w:val="00FB73CD"/>
    <w:rsid w:val="00FB7553"/>
    <w:rsid w:val="00FB7606"/>
    <w:rsid w:val="00FB76C4"/>
    <w:rsid w:val="00FB7732"/>
    <w:rsid w:val="00FB77B7"/>
    <w:rsid w:val="00FB786F"/>
    <w:rsid w:val="00FB7904"/>
    <w:rsid w:val="00FB7918"/>
    <w:rsid w:val="00FB7EA4"/>
    <w:rsid w:val="00FB7EDE"/>
    <w:rsid w:val="00FB7FFC"/>
    <w:rsid w:val="00FC01EC"/>
    <w:rsid w:val="00FC0515"/>
    <w:rsid w:val="00FC0C7F"/>
    <w:rsid w:val="00FC0E9F"/>
    <w:rsid w:val="00FC16FC"/>
    <w:rsid w:val="00FC19E8"/>
    <w:rsid w:val="00FC1A7A"/>
    <w:rsid w:val="00FC1A8C"/>
    <w:rsid w:val="00FC1B94"/>
    <w:rsid w:val="00FC205C"/>
    <w:rsid w:val="00FC21E4"/>
    <w:rsid w:val="00FC23DB"/>
    <w:rsid w:val="00FC2906"/>
    <w:rsid w:val="00FC2ABB"/>
    <w:rsid w:val="00FC2ADE"/>
    <w:rsid w:val="00FC2E0F"/>
    <w:rsid w:val="00FC3179"/>
    <w:rsid w:val="00FC31B4"/>
    <w:rsid w:val="00FC3261"/>
    <w:rsid w:val="00FC3652"/>
    <w:rsid w:val="00FC36E7"/>
    <w:rsid w:val="00FC3764"/>
    <w:rsid w:val="00FC3A20"/>
    <w:rsid w:val="00FC3C52"/>
    <w:rsid w:val="00FC4144"/>
    <w:rsid w:val="00FC4AA3"/>
    <w:rsid w:val="00FC52B1"/>
    <w:rsid w:val="00FC5322"/>
    <w:rsid w:val="00FC546A"/>
    <w:rsid w:val="00FC5709"/>
    <w:rsid w:val="00FC5AC8"/>
    <w:rsid w:val="00FC5BF8"/>
    <w:rsid w:val="00FC5C55"/>
    <w:rsid w:val="00FC5DAC"/>
    <w:rsid w:val="00FC5E84"/>
    <w:rsid w:val="00FC6019"/>
    <w:rsid w:val="00FC67BB"/>
    <w:rsid w:val="00FC67C1"/>
    <w:rsid w:val="00FC6C46"/>
    <w:rsid w:val="00FC6C8A"/>
    <w:rsid w:val="00FC6EB6"/>
    <w:rsid w:val="00FC7088"/>
    <w:rsid w:val="00FC7602"/>
    <w:rsid w:val="00FC760B"/>
    <w:rsid w:val="00FC77A5"/>
    <w:rsid w:val="00FC7895"/>
    <w:rsid w:val="00FC78BF"/>
    <w:rsid w:val="00FC7A83"/>
    <w:rsid w:val="00FC7B4E"/>
    <w:rsid w:val="00FC7CDC"/>
    <w:rsid w:val="00FC7D05"/>
    <w:rsid w:val="00FC7EF8"/>
    <w:rsid w:val="00FC7F7C"/>
    <w:rsid w:val="00FC7FCD"/>
    <w:rsid w:val="00FD0344"/>
    <w:rsid w:val="00FD0347"/>
    <w:rsid w:val="00FD04D1"/>
    <w:rsid w:val="00FD0506"/>
    <w:rsid w:val="00FD068D"/>
    <w:rsid w:val="00FD0778"/>
    <w:rsid w:val="00FD0892"/>
    <w:rsid w:val="00FD08DE"/>
    <w:rsid w:val="00FD09E4"/>
    <w:rsid w:val="00FD0B0E"/>
    <w:rsid w:val="00FD132F"/>
    <w:rsid w:val="00FD14F2"/>
    <w:rsid w:val="00FD150F"/>
    <w:rsid w:val="00FD17FA"/>
    <w:rsid w:val="00FD1A31"/>
    <w:rsid w:val="00FD1A44"/>
    <w:rsid w:val="00FD1F8A"/>
    <w:rsid w:val="00FD21F8"/>
    <w:rsid w:val="00FD24A3"/>
    <w:rsid w:val="00FD24BF"/>
    <w:rsid w:val="00FD2975"/>
    <w:rsid w:val="00FD315A"/>
    <w:rsid w:val="00FD3197"/>
    <w:rsid w:val="00FD31C5"/>
    <w:rsid w:val="00FD3263"/>
    <w:rsid w:val="00FD3451"/>
    <w:rsid w:val="00FD350F"/>
    <w:rsid w:val="00FD3866"/>
    <w:rsid w:val="00FD3A5D"/>
    <w:rsid w:val="00FD3BFE"/>
    <w:rsid w:val="00FD3CE1"/>
    <w:rsid w:val="00FD3D59"/>
    <w:rsid w:val="00FD4005"/>
    <w:rsid w:val="00FD41D2"/>
    <w:rsid w:val="00FD41D3"/>
    <w:rsid w:val="00FD429B"/>
    <w:rsid w:val="00FD451F"/>
    <w:rsid w:val="00FD4892"/>
    <w:rsid w:val="00FD4BC6"/>
    <w:rsid w:val="00FD4D13"/>
    <w:rsid w:val="00FD4ECA"/>
    <w:rsid w:val="00FD4F10"/>
    <w:rsid w:val="00FD5213"/>
    <w:rsid w:val="00FD527F"/>
    <w:rsid w:val="00FD530B"/>
    <w:rsid w:val="00FD552F"/>
    <w:rsid w:val="00FD5658"/>
    <w:rsid w:val="00FD5746"/>
    <w:rsid w:val="00FD5BFB"/>
    <w:rsid w:val="00FD5DE3"/>
    <w:rsid w:val="00FD60F9"/>
    <w:rsid w:val="00FD671C"/>
    <w:rsid w:val="00FD6875"/>
    <w:rsid w:val="00FD6B82"/>
    <w:rsid w:val="00FD6D56"/>
    <w:rsid w:val="00FD6F63"/>
    <w:rsid w:val="00FD732D"/>
    <w:rsid w:val="00FD75DA"/>
    <w:rsid w:val="00FD7941"/>
    <w:rsid w:val="00FD7AB9"/>
    <w:rsid w:val="00FD7EAD"/>
    <w:rsid w:val="00FD7F06"/>
    <w:rsid w:val="00FD7FD9"/>
    <w:rsid w:val="00FE016C"/>
    <w:rsid w:val="00FE0B57"/>
    <w:rsid w:val="00FE0EB1"/>
    <w:rsid w:val="00FE0F50"/>
    <w:rsid w:val="00FE1B8B"/>
    <w:rsid w:val="00FE1C3C"/>
    <w:rsid w:val="00FE1DF3"/>
    <w:rsid w:val="00FE1EEE"/>
    <w:rsid w:val="00FE1F0B"/>
    <w:rsid w:val="00FE1F3B"/>
    <w:rsid w:val="00FE2179"/>
    <w:rsid w:val="00FE235C"/>
    <w:rsid w:val="00FE2671"/>
    <w:rsid w:val="00FE26ED"/>
    <w:rsid w:val="00FE2791"/>
    <w:rsid w:val="00FE28DA"/>
    <w:rsid w:val="00FE2BF2"/>
    <w:rsid w:val="00FE2C6E"/>
    <w:rsid w:val="00FE2DDD"/>
    <w:rsid w:val="00FE2E3D"/>
    <w:rsid w:val="00FE2F16"/>
    <w:rsid w:val="00FE312E"/>
    <w:rsid w:val="00FE314B"/>
    <w:rsid w:val="00FE3348"/>
    <w:rsid w:val="00FE3475"/>
    <w:rsid w:val="00FE3479"/>
    <w:rsid w:val="00FE3951"/>
    <w:rsid w:val="00FE3DF7"/>
    <w:rsid w:val="00FE3EBD"/>
    <w:rsid w:val="00FE3ED8"/>
    <w:rsid w:val="00FE3F29"/>
    <w:rsid w:val="00FE47C9"/>
    <w:rsid w:val="00FE4B8F"/>
    <w:rsid w:val="00FE4BBA"/>
    <w:rsid w:val="00FE4DC9"/>
    <w:rsid w:val="00FE4DE3"/>
    <w:rsid w:val="00FE4E10"/>
    <w:rsid w:val="00FE4F0C"/>
    <w:rsid w:val="00FE4F4E"/>
    <w:rsid w:val="00FE4F69"/>
    <w:rsid w:val="00FE4F93"/>
    <w:rsid w:val="00FE4F9E"/>
    <w:rsid w:val="00FE4FD4"/>
    <w:rsid w:val="00FE509E"/>
    <w:rsid w:val="00FE52F1"/>
    <w:rsid w:val="00FE532D"/>
    <w:rsid w:val="00FE54A4"/>
    <w:rsid w:val="00FE559F"/>
    <w:rsid w:val="00FE572E"/>
    <w:rsid w:val="00FE5A8F"/>
    <w:rsid w:val="00FE5DAD"/>
    <w:rsid w:val="00FE5E09"/>
    <w:rsid w:val="00FE614E"/>
    <w:rsid w:val="00FE6155"/>
    <w:rsid w:val="00FE6379"/>
    <w:rsid w:val="00FE639E"/>
    <w:rsid w:val="00FE679E"/>
    <w:rsid w:val="00FE68FD"/>
    <w:rsid w:val="00FE6A75"/>
    <w:rsid w:val="00FE7100"/>
    <w:rsid w:val="00FE71FB"/>
    <w:rsid w:val="00FE7342"/>
    <w:rsid w:val="00FE786C"/>
    <w:rsid w:val="00FE7BE5"/>
    <w:rsid w:val="00FF0449"/>
    <w:rsid w:val="00FF0656"/>
    <w:rsid w:val="00FF07AE"/>
    <w:rsid w:val="00FF07F8"/>
    <w:rsid w:val="00FF0BA7"/>
    <w:rsid w:val="00FF1305"/>
    <w:rsid w:val="00FF1401"/>
    <w:rsid w:val="00FF149A"/>
    <w:rsid w:val="00FF1776"/>
    <w:rsid w:val="00FF18B1"/>
    <w:rsid w:val="00FF1CDE"/>
    <w:rsid w:val="00FF1D73"/>
    <w:rsid w:val="00FF1F4A"/>
    <w:rsid w:val="00FF221C"/>
    <w:rsid w:val="00FF23E9"/>
    <w:rsid w:val="00FF2505"/>
    <w:rsid w:val="00FF2D0B"/>
    <w:rsid w:val="00FF3484"/>
    <w:rsid w:val="00FF3550"/>
    <w:rsid w:val="00FF38B4"/>
    <w:rsid w:val="00FF394A"/>
    <w:rsid w:val="00FF3BDD"/>
    <w:rsid w:val="00FF4417"/>
    <w:rsid w:val="00FF4CBD"/>
    <w:rsid w:val="00FF4F37"/>
    <w:rsid w:val="00FF58E7"/>
    <w:rsid w:val="00FF58ED"/>
    <w:rsid w:val="00FF6125"/>
    <w:rsid w:val="00FF63E0"/>
    <w:rsid w:val="00FF67EB"/>
    <w:rsid w:val="00FF68CD"/>
    <w:rsid w:val="00FF6D2F"/>
    <w:rsid w:val="00FF6E04"/>
    <w:rsid w:val="00FF7067"/>
    <w:rsid w:val="00FF7258"/>
    <w:rsid w:val="00FF73EF"/>
    <w:rsid w:val="00FF74B0"/>
    <w:rsid w:val="00FF757C"/>
    <w:rsid w:val="00FF7701"/>
    <w:rsid w:val="00FF78DB"/>
    <w:rsid w:val="00FF7D74"/>
    <w:rsid w:val="00FF7D88"/>
    <w:rsid w:val="00FF7DDE"/>
    <w:rsid w:val="00FF7E03"/>
    <w:rsid w:val="00FF7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3647F"/>
  <w15:docId w15:val="{8176439F-98B7-994D-B385-73BD8737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1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838"/>
    <w:pPr>
      <w:tabs>
        <w:tab w:val="left" w:pos="1440"/>
        <w:tab w:val="center" w:pos="4320"/>
        <w:tab w:val="right" w:pos="9072"/>
      </w:tabs>
      <w:snapToGrid w:val="0"/>
    </w:pPr>
    <w:rPr>
      <w:rFonts w:ascii="Times New Roman" w:hAnsi="Times New Roman"/>
      <w:sz w:val="28"/>
      <w:lang w:val="en-GB"/>
    </w:rPr>
  </w:style>
  <w:style w:type="paragraph" w:styleId="Heading1">
    <w:name w:val="heading 1"/>
    <w:basedOn w:val="Normal"/>
    <w:next w:val="Normal"/>
    <w:link w:val="Heading1Char"/>
    <w:uiPriority w:val="99"/>
    <w:qFormat/>
    <w:rsid w:val="001B784D"/>
    <w:pPr>
      <w:keepNext/>
      <w:tabs>
        <w:tab w:val="clear" w:pos="1440"/>
        <w:tab w:val="clear" w:pos="4320"/>
        <w:tab w:val="clear" w:pos="9072"/>
      </w:tabs>
      <w:snapToGrid/>
      <w:spacing w:line="360" w:lineRule="auto"/>
      <w:jc w:val="center"/>
      <w:outlineLvl w:val="0"/>
    </w:pPr>
    <w:rPr>
      <w:b/>
      <w:kern w:val="2"/>
      <w:lang w:val="en-US"/>
    </w:rPr>
  </w:style>
  <w:style w:type="paragraph" w:styleId="Heading2">
    <w:name w:val="heading 2"/>
    <w:basedOn w:val="Normal"/>
    <w:next w:val="Normal"/>
    <w:link w:val="Heading2Char"/>
    <w:uiPriority w:val="99"/>
    <w:qFormat/>
    <w:rsid w:val="00536703"/>
    <w:pPr>
      <w:keepNext/>
      <w:snapToGrid/>
      <w:outlineLvl w:val="1"/>
    </w:pPr>
    <w:rPr>
      <w:b/>
      <w:bCs/>
      <w:sz w:val="20"/>
      <w:szCs w:val="24"/>
      <w:lang w:eastAsia="x-none"/>
    </w:rPr>
  </w:style>
  <w:style w:type="paragraph" w:styleId="Heading3">
    <w:name w:val="heading 3"/>
    <w:basedOn w:val="Normal"/>
    <w:next w:val="Normal"/>
    <w:link w:val="Heading3Char"/>
    <w:uiPriority w:val="99"/>
    <w:qFormat/>
    <w:rsid w:val="00536703"/>
    <w:pPr>
      <w:keepNext/>
      <w:snapToGrid/>
      <w:jc w:val="center"/>
      <w:outlineLvl w:val="2"/>
    </w:pPr>
    <w:rPr>
      <w:b/>
      <w:bCs/>
      <w:sz w:val="20"/>
      <w:szCs w:val="24"/>
      <w:lang w:eastAsia="x-none"/>
    </w:rPr>
  </w:style>
  <w:style w:type="paragraph" w:styleId="Heading4">
    <w:name w:val="heading 4"/>
    <w:basedOn w:val="Normal"/>
    <w:next w:val="Normal"/>
    <w:link w:val="Heading4Char"/>
    <w:uiPriority w:val="10"/>
    <w:qFormat/>
    <w:rsid w:val="001B784D"/>
    <w:pPr>
      <w:keepNext/>
      <w:tabs>
        <w:tab w:val="clear" w:pos="1440"/>
        <w:tab w:val="clear" w:pos="4320"/>
        <w:tab w:val="clear" w:pos="9072"/>
      </w:tabs>
      <w:snapToGrid/>
      <w:jc w:val="both"/>
      <w:outlineLvl w:val="3"/>
    </w:pPr>
    <w:rPr>
      <w:b/>
      <w:kern w:val="2"/>
      <w:sz w:val="21"/>
      <w:lang w:val="en-US"/>
    </w:rPr>
  </w:style>
  <w:style w:type="paragraph" w:styleId="Heading5">
    <w:name w:val="heading 5"/>
    <w:basedOn w:val="Normal"/>
    <w:next w:val="Normal"/>
    <w:link w:val="Heading5Char"/>
    <w:qFormat/>
    <w:rsid w:val="001B784D"/>
    <w:pPr>
      <w:keepNext/>
      <w:tabs>
        <w:tab w:val="clear" w:pos="1440"/>
        <w:tab w:val="clear" w:pos="4320"/>
        <w:tab w:val="clear" w:pos="9072"/>
      </w:tabs>
      <w:snapToGrid/>
      <w:jc w:val="right"/>
      <w:outlineLvl w:val="4"/>
    </w:pPr>
    <w:rPr>
      <w:szCs w:val="24"/>
      <w:lang w:val="en-US"/>
    </w:rPr>
  </w:style>
  <w:style w:type="paragraph" w:styleId="Heading6">
    <w:name w:val="heading 6"/>
    <w:basedOn w:val="Normal"/>
    <w:next w:val="Normal"/>
    <w:link w:val="Heading6Char"/>
    <w:uiPriority w:val="9"/>
    <w:semiHidden/>
    <w:unhideWhenUsed/>
    <w:qFormat/>
    <w:rsid w:val="0032616B"/>
    <w:pPr>
      <w:spacing w:before="240" w:after="60"/>
      <w:outlineLvl w:val="5"/>
    </w:pPr>
    <w:rPr>
      <w:rFonts w:ascii="Calibri" w:eastAsia="等线" w:hAnsi="Calibri"/>
      <w:b/>
      <w:bCs/>
      <w:sz w:val="22"/>
      <w:szCs w:val="22"/>
    </w:rPr>
  </w:style>
  <w:style w:type="paragraph" w:styleId="Heading9">
    <w:name w:val="heading 9"/>
    <w:basedOn w:val="Normal"/>
    <w:next w:val="Normal"/>
    <w:link w:val="Heading9Char"/>
    <w:uiPriority w:val="9"/>
    <w:semiHidden/>
    <w:unhideWhenUsed/>
    <w:qFormat/>
    <w:rsid w:val="00921BB1"/>
    <w:pPr>
      <w:keepNext/>
      <w:tabs>
        <w:tab w:val="clear" w:pos="1440"/>
        <w:tab w:val="clear" w:pos="4320"/>
        <w:tab w:val="clear" w:pos="9072"/>
      </w:tabs>
      <w:snapToGrid/>
      <w:spacing w:line="720" w:lineRule="auto"/>
      <w:ind w:leftChars="400" w:left="400"/>
      <w:contextualSpacing/>
      <w:jc w:val="both"/>
      <w:outlineLvl w:val="8"/>
    </w:pPr>
    <w:rPr>
      <w:rFonts w:asciiTheme="majorHAnsi" w:eastAsiaTheme="majorEastAsia" w:hAnsiTheme="majorHAnsi" w:cstheme="majorBidi"/>
      <w:sz w:val="36"/>
      <w:szCs w:val="3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536703"/>
    <w:rPr>
      <w:rFonts w:ascii="Times New Roman" w:eastAsia="宋体" w:hAnsi="Times New Roman" w:cs="Times New Roman"/>
      <w:b/>
      <w:bCs/>
      <w:sz w:val="20"/>
      <w:szCs w:val="24"/>
      <w:lang w:val="en-GB"/>
    </w:rPr>
  </w:style>
  <w:style w:type="character" w:customStyle="1" w:styleId="Heading3Char">
    <w:name w:val="Heading 3 Char"/>
    <w:link w:val="Heading3"/>
    <w:uiPriority w:val="99"/>
    <w:rsid w:val="00536703"/>
    <w:rPr>
      <w:rFonts w:ascii="Times New Roman" w:eastAsia="宋体" w:hAnsi="Times New Roman" w:cs="Times New Roman"/>
      <w:b/>
      <w:bCs/>
      <w:sz w:val="20"/>
      <w:szCs w:val="24"/>
      <w:lang w:val="en-GB"/>
    </w:rPr>
  </w:style>
  <w:style w:type="paragraph" w:styleId="Header">
    <w:name w:val="header"/>
    <w:basedOn w:val="Normal"/>
    <w:link w:val="HeaderChar"/>
    <w:uiPriority w:val="99"/>
    <w:rsid w:val="00536703"/>
    <w:pPr>
      <w:tabs>
        <w:tab w:val="center" w:pos="4153"/>
        <w:tab w:val="right" w:pos="8306"/>
      </w:tabs>
      <w:jc w:val="center"/>
    </w:pPr>
    <w:rPr>
      <w:sz w:val="18"/>
      <w:lang w:eastAsia="x-none"/>
    </w:rPr>
  </w:style>
  <w:style w:type="character" w:customStyle="1" w:styleId="HeaderChar">
    <w:name w:val="Header Char"/>
    <w:link w:val="Header"/>
    <w:uiPriority w:val="99"/>
    <w:rsid w:val="00536703"/>
    <w:rPr>
      <w:rFonts w:ascii="Times New Roman" w:eastAsia="宋体" w:hAnsi="Times New Roman" w:cs="Times New Roman"/>
      <w:sz w:val="18"/>
      <w:szCs w:val="20"/>
      <w:lang w:val="en-GB"/>
    </w:rPr>
  </w:style>
  <w:style w:type="paragraph" w:styleId="Footer">
    <w:name w:val="footer"/>
    <w:basedOn w:val="Normal"/>
    <w:link w:val="FooterChar"/>
    <w:uiPriority w:val="99"/>
    <w:rsid w:val="00536703"/>
    <w:pPr>
      <w:tabs>
        <w:tab w:val="center" w:pos="4153"/>
        <w:tab w:val="right" w:pos="8306"/>
      </w:tabs>
    </w:pPr>
    <w:rPr>
      <w:sz w:val="20"/>
      <w:lang w:eastAsia="x-none"/>
    </w:rPr>
  </w:style>
  <w:style w:type="character" w:customStyle="1" w:styleId="FooterChar">
    <w:name w:val="Footer Char"/>
    <w:link w:val="Footer"/>
    <w:uiPriority w:val="99"/>
    <w:rsid w:val="00536703"/>
    <w:rPr>
      <w:rFonts w:ascii="Times New Roman" w:eastAsia="宋体" w:hAnsi="Times New Roman" w:cs="Times New Roman"/>
      <w:sz w:val="20"/>
      <w:szCs w:val="20"/>
      <w:lang w:val="en-GB"/>
    </w:rPr>
  </w:style>
  <w:style w:type="character" w:styleId="PageNumber">
    <w:name w:val="page number"/>
    <w:basedOn w:val="DefaultParagraphFont"/>
    <w:uiPriority w:val="99"/>
    <w:semiHidden/>
    <w:rsid w:val="00536703"/>
  </w:style>
  <w:style w:type="paragraph" w:customStyle="1" w:styleId="Final1">
    <w:name w:val="Final(1)"/>
    <w:basedOn w:val="Normal"/>
    <w:rsid w:val="00536703"/>
    <w:pPr>
      <w:spacing w:line="360" w:lineRule="auto"/>
    </w:pPr>
  </w:style>
  <w:style w:type="paragraph" w:customStyle="1" w:styleId="hspace">
    <w:name w:val="hspace"/>
    <w:basedOn w:val="Normal"/>
    <w:rsid w:val="00536703"/>
    <w:pPr>
      <w:spacing w:line="200" w:lineRule="exact"/>
    </w:pPr>
  </w:style>
  <w:style w:type="paragraph" w:styleId="FootnoteText">
    <w:name w:val="footnote text"/>
    <w:basedOn w:val="Normal"/>
    <w:link w:val="FootnoteTextChar"/>
    <w:uiPriority w:val="99"/>
    <w:unhideWhenUsed/>
    <w:qFormat/>
    <w:rsid w:val="00E50A0A"/>
    <w:pPr>
      <w:keepLines/>
      <w:tabs>
        <w:tab w:val="clear" w:pos="1440"/>
        <w:tab w:val="clear" w:pos="4320"/>
        <w:tab w:val="clear" w:pos="9072"/>
        <w:tab w:val="left" w:pos="360"/>
      </w:tabs>
      <w:snapToGrid/>
      <w:ind w:left="360" w:hanging="360"/>
      <w:jc w:val="both"/>
    </w:pPr>
    <w:rPr>
      <w:sz w:val="20"/>
      <w:lang w:val="x-none" w:eastAsia="x-none"/>
    </w:rPr>
  </w:style>
  <w:style w:type="character" w:customStyle="1" w:styleId="FootnoteTextChar">
    <w:name w:val="Footnote Text Char"/>
    <w:link w:val="FootnoteText"/>
    <w:uiPriority w:val="99"/>
    <w:rsid w:val="00E50A0A"/>
    <w:rPr>
      <w:rFonts w:ascii="Times New Roman" w:hAnsi="Times New Roman"/>
      <w:lang w:val="x-none" w:eastAsia="x-none"/>
    </w:rPr>
  </w:style>
  <w:style w:type="character" w:styleId="FootnoteReference">
    <w:name w:val="footnote reference"/>
    <w:uiPriority w:val="99"/>
    <w:unhideWhenUsed/>
    <w:rsid w:val="00536703"/>
    <w:rPr>
      <w:vertAlign w:val="superscript"/>
    </w:rPr>
  </w:style>
  <w:style w:type="paragraph" w:customStyle="1" w:styleId="H-11">
    <w:name w:val="H-1(1)"/>
    <w:basedOn w:val="Normal"/>
    <w:rsid w:val="00F53AAD"/>
    <w:pPr>
      <w:keepNext/>
      <w:tabs>
        <w:tab w:val="clear" w:pos="4320"/>
        <w:tab w:val="clear" w:pos="9072"/>
        <w:tab w:val="center" w:pos="3946"/>
        <w:tab w:val="center" w:pos="4234"/>
        <w:tab w:val="right" w:pos="8453"/>
      </w:tabs>
      <w:spacing w:before="200"/>
      <w:jc w:val="both"/>
    </w:pPr>
    <w:rPr>
      <w:i/>
      <w:kern w:val="2"/>
    </w:rPr>
  </w:style>
  <w:style w:type="paragraph" w:styleId="NormalWeb">
    <w:name w:val="Normal (Web)"/>
    <w:basedOn w:val="Normal"/>
    <w:uiPriority w:val="99"/>
    <w:unhideWhenUsed/>
    <w:rsid w:val="00AB0F47"/>
    <w:pPr>
      <w:tabs>
        <w:tab w:val="clear" w:pos="1440"/>
        <w:tab w:val="clear" w:pos="4320"/>
        <w:tab w:val="clear" w:pos="9072"/>
      </w:tabs>
      <w:snapToGrid/>
      <w:spacing w:before="100" w:beforeAutospacing="1" w:after="100" w:afterAutospacing="1"/>
    </w:pPr>
    <w:rPr>
      <w:rFonts w:eastAsia="Times New Roman"/>
      <w:color w:val="000000"/>
      <w:sz w:val="24"/>
      <w:szCs w:val="24"/>
      <w:lang w:val="en-US"/>
    </w:rPr>
  </w:style>
  <w:style w:type="paragraph" w:customStyle="1" w:styleId="Final">
    <w:name w:val="Final"/>
    <w:basedOn w:val="Normal"/>
    <w:qFormat/>
    <w:rsid w:val="002D2BE5"/>
    <w:pPr>
      <w:tabs>
        <w:tab w:val="clear" w:pos="4320"/>
        <w:tab w:val="clear" w:pos="9072"/>
        <w:tab w:val="center" w:pos="4234"/>
        <w:tab w:val="right" w:pos="8453"/>
      </w:tabs>
      <w:spacing w:before="360" w:after="80" w:line="360" w:lineRule="auto"/>
      <w:jc w:val="both"/>
    </w:pPr>
  </w:style>
  <w:style w:type="paragraph" w:customStyle="1" w:styleId="H-1">
    <w:name w:val="H-1"/>
    <w:basedOn w:val="Normal"/>
    <w:rsid w:val="00192A2A"/>
    <w:pPr>
      <w:keepNext/>
      <w:tabs>
        <w:tab w:val="clear" w:pos="1440"/>
        <w:tab w:val="clear" w:pos="4320"/>
        <w:tab w:val="clear" w:pos="9072"/>
        <w:tab w:val="left" w:pos="1080"/>
        <w:tab w:val="center" w:pos="3946"/>
        <w:tab w:val="center" w:pos="4234"/>
        <w:tab w:val="right" w:pos="8453"/>
      </w:tabs>
      <w:spacing w:before="480" w:after="80"/>
      <w:jc w:val="both"/>
      <w:outlineLvl w:val="0"/>
    </w:pPr>
    <w:rPr>
      <w:i/>
      <w:kern w:val="2"/>
    </w:rPr>
  </w:style>
  <w:style w:type="paragraph" w:customStyle="1" w:styleId="Quotation">
    <w:name w:val="Quotation"/>
    <w:basedOn w:val="Normal"/>
    <w:qFormat/>
    <w:rsid w:val="00EF6B34"/>
    <w:pPr>
      <w:tabs>
        <w:tab w:val="clear" w:pos="4320"/>
        <w:tab w:val="clear" w:pos="9072"/>
        <w:tab w:val="left" w:pos="2016"/>
        <w:tab w:val="left" w:pos="2448"/>
        <w:tab w:val="center" w:pos="3946"/>
        <w:tab w:val="right" w:pos="8453"/>
      </w:tabs>
      <w:spacing w:before="120" w:after="120"/>
      <w:ind w:left="1541" w:right="720" w:hanging="101"/>
      <w:jc w:val="both"/>
    </w:pPr>
    <w:rPr>
      <w:kern w:val="2"/>
      <w:sz w:val="24"/>
    </w:rPr>
  </w:style>
  <w:style w:type="paragraph" w:customStyle="1" w:styleId="Hanging">
    <w:name w:val="Hanging"/>
    <w:basedOn w:val="Normal"/>
    <w:link w:val="HangingChar"/>
    <w:rsid w:val="00EF42F1"/>
    <w:pPr>
      <w:tabs>
        <w:tab w:val="clear" w:pos="4320"/>
        <w:tab w:val="clear" w:pos="9072"/>
        <w:tab w:val="center" w:pos="3946"/>
        <w:tab w:val="center" w:pos="4234"/>
        <w:tab w:val="right" w:pos="8453"/>
      </w:tabs>
      <w:spacing w:before="80" w:after="240" w:line="440" w:lineRule="exact"/>
      <w:ind w:left="1440" w:hanging="720"/>
      <w:jc w:val="both"/>
    </w:pPr>
    <w:rPr>
      <w:kern w:val="2"/>
      <w:lang w:val="x-none" w:eastAsia="x-none"/>
    </w:rPr>
  </w:style>
  <w:style w:type="character" w:customStyle="1" w:styleId="HangingChar">
    <w:name w:val="Hanging Char"/>
    <w:link w:val="Hanging"/>
    <w:rsid w:val="001C4BDB"/>
    <w:rPr>
      <w:rFonts w:ascii="Times New Roman" w:hAnsi="Times New Roman"/>
      <w:kern w:val="2"/>
      <w:sz w:val="28"/>
    </w:rPr>
  </w:style>
  <w:style w:type="paragraph" w:styleId="BalloonText">
    <w:name w:val="Balloon Text"/>
    <w:basedOn w:val="Normal"/>
    <w:link w:val="BalloonTextChar"/>
    <w:uiPriority w:val="99"/>
    <w:semiHidden/>
    <w:unhideWhenUsed/>
    <w:rsid w:val="00B660BE"/>
    <w:rPr>
      <w:rFonts w:ascii="Segoe UI" w:hAnsi="Segoe UI" w:cs="Segoe UI"/>
      <w:sz w:val="18"/>
      <w:szCs w:val="18"/>
    </w:rPr>
  </w:style>
  <w:style w:type="character" w:customStyle="1" w:styleId="BalloonTextChar">
    <w:name w:val="Balloon Text Char"/>
    <w:link w:val="BalloonText"/>
    <w:uiPriority w:val="99"/>
    <w:semiHidden/>
    <w:rsid w:val="00B660BE"/>
    <w:rPr>
      <w:rFonts w:ascii="Segoe UI" w:hAnsi="Segoe UI" w:cs="Segoe UI"/>
      <w:sz w:val="18"/>
      <w:szCs w:val="18"/>
    </w:rPr>
  </w:style>
  <w:style w:type="paragraph" w:styleId="ListParagraph">
    <w:name w:val="List Paragraph"/>
    <w:aliases w:val="ListBul1"/>
    <w:basedOn w:val="Normal"/>
    <w:uiPriority w:val="34"/>
    <w:qFormat/>
    <w:rsid w:val="00B82B89"/>
    <w:pPr>
      <w:ind w:left="720"/>
    </w:pPr>
  </w:style>
  <w:style w:type="character" w:customStyle="1" w:styleId="Heading6Char">
    <w:name w:val="Heading 6 Char"/>
    <w:link w:val="Heading6"/>
    <w:uiPriority w:val="9"/>
    <w:semiHidden/>
    <w:rsid w:val="0032616B"/>
    <w:rPr>
      <w:rFonts w:ascii="Calibri" w:eastAsia="等线" w:hAnsi="Calibri" w:cs="Times New Roman"/>
      <w:b/>
      <w:bCs/>
      <w:sz w:val="22"/>
      <w:szCs w:val="22"/>
    </w:rPr>
  </w:style>
  <w:style w:type="paragraph" w:customStyle="1" w:styleId="normal1">
    <w:name w:val="normal1"/>
    <w:basedOn w:val="Normal"/>
    <w:rsid w:val="0032616B"/>
    <w:pPr>
      <w:tabs>
        <w:tab w:val="clear" w:pos="1440"/>
        <w:tab w:val="clear" w:pos="4320"/>
        <w:tab w:val="clear" w:pos="9072"/>
        <w:tab w:val="left" w:pos="1411"/>
      </w:tabs>
      <w:kinsoku w:val="0"/>
      <w:overflowPunct w:val="0"/>
      <w:autoSpaceDE w:val="0"/>
      <w:autoSpaceDN w:val="0"/>
      <w:adjustRightInd w:val="0"/>
      <w:jc w:val="center"/>
    </w:pPr>
    <w:rPr>
      <w:rFonts w:eastAsia="MingLiU"/>
      <w:snapToGrid w:val="0"/>
    </w:rPr>
  </w:style>
  <w:style w:type="paragraph" w:customStyle="1" w:styleId="normal2">
    <w:name w:val="normal2"/>
    <w:rsid w:val="0032616B"/>
    <w:pPr>
      <w:kinsoku w:val="0"/>
      <w:overflowPunct w:val="0"/>
      <w:autoSpaceDE w:val="0"/>
      <w:autoSpaceDN w:val="0"/>
      <w:adjustRightInd w:val="0"/>
      <w:snapToGrid w:val="0"/>
      <w:jc w:val="center"/>
    </w:pPr>
    <w:rPr>
      <w:rFonts w:ascii="Times New Roman" w:hAnsi="Times New Roman"/>
      <w:caps/>
      <w:kern w:val="28"/>
      <w:sz w:val="28"/>
      <w:szCs w:val="28"/>
      <w:lang w:val="en-GB" w:eastAsia="en-US"/>
    </w:rPr>
  </w:style>
  <w:style w:type="paragraph" w:customStyle="1" w:styleId="normal3">
    <w:name w:val="normal3"/>
    <w:rsid w:val="0032616B"/>
    <w:pPr>
      <w:tabs>
        <w:tab w:val="center" w:pos="4500"/>
        <w:tab w:val="right" w:pos="9000"/>
      </w:tabs>
      <w:kinsoku w:val="0"/>
      <w:overflowPunct w:val="0"/>
      <w:autoSpaceDE w:val="0"/>
      <w:autoSpaceDN w:val="0"/>
      <w:adjustRightInd w:val="0"/>
      <w:spacing w:after="60"/>
      <w:jc w:val="center"/>
    </w:pPr>
    <w:rPr>
      <w:rFonts w:ascii="Times New Roman" w:eastAsia="MingLiU" w:hAnsi="Times New Roman"/>
      <w:b/>
      <w:caps/>
      <w:sz w:val="28"/>
      <w:lang w:val="en-GB" w:eastAsia="en-US"/>
    </w:rPr>
  </w:style>
  <w:style w:type="paragraph" w:customStyle="1" w:styleId="ar-draft">
    <w:name w:val="ar-draft"/>
    <w:basedOn w:val="Normal"/>
    <w:rsid w:val="0032616B"/>
    <w:pPr>
      <w:numPr>
        <w:numId w:val="1"/>
      </w:numPr>
      <w:tabs>
        <w:tab w:val="clear" w:pos="4320"/>
        <w:tab w:val="clear" w:pos="9072"/>
        <w:tab w:val="num" w:pos="360"/>
      </w:tabs>
      <w:spacing w:before="360" w:line="360" w:lineRule="auto"/>
      <w:ind w:left="0" w:firstLine="0"/>
      <w:jc w:val="both"/>
    </w:pPr>
    <w:rPr>
      <w:rFonts w:eastAsia="MingLiU"/>
    </w:rPr>
  </w:style>
  <w:style w:type="paragraph" w:customStyle="1" w:styleId="ar-heading1">
    <w:name w:val="ar-heading1"/>
    <w:basedOn w:val="Normal"/>
    <w:rsid w:val="0032616B"/>
    <w:pPr>
      <w:keepNext/>
      <w:spacing w:before="360" w:line="360" w:lineRule="auto"/>
    </w:pPr>
    <w:rPr>
      <w:rFonts w:eastAsia="MingLiU"/>
      <w:i/>
    </w:rPr>
  </w:style>
  <w:style w:type="paragraph" w:customStyle="1" w:styleId="sh">
    <w:name w:val="sh"/>
    <w:basedOn w:val="Normal"/>
    <w:rsid w:val="0032616B"/>
    <w:pPr>
      <w:tabs>
        <w:tab w:val="left" w:pos="720"/>
      </w:tabs>
      <w:snapToGrid/>
    </w:pPr>
    <w:rPr>
      <w:lang w:val="en-US"/>
    </w:rPr>
  </w:style>
  <w:style w:type="paragraph" w:styleId="Revision">
    <w:name w:val="Revision"/>
    <w:hidden/>
    <w:uiPriority w:val="99"/>
    <w:semiHidden/>
    <w:rsid w:val="00131F39"/>
    <w:rPr>
      <w:rFonts w:ascii="Times New Roman" w:hAnsi="Times New Roman"/>
      <w:sz w:val="28"/>
      <w:lang w:val="en-GB"/>
    </w:rPr>
  </w:style>
  <w:style w:type="paragraph" w:customStyle="1" w:styleId="Bob1">
    <w:name w:val="Bob1"/>
    <w:autoRedefine/>
    <w:qFormat/>
    <w:rsid w:val="00EF6802"/>
    <w:pPr>
      <w:numPr>
        <w:numId w:val="11"/>
      </w:numPr>
      <w:kinsoku w:val="0"/>
      <w:autoSpaceDE w:val="0"/>
      <w:autoSpaceDN w:val="0"/>
      <w:snapToGrid w:val="0"/>
      <w:spacing w:after="120" w:line="360" w:lineRule="auto"/>
      <w:ind w:left="1418" w:hanging="698"/>
      <w:jc w:val="both"/>
    </w:pPr>
    <w:rPr>
      <w:rFonts w:ascii="Times New Roman" w:eastAsia="MingLiU" w:hAnsi="Times New Roman"/>
      <w:sz w:val="28"/>
      <w:szCs w:val="28"/>
      <w:lang w:val="en-GB" w:eastAsia="zh-HK"/>
    </w:rPr>
  </w:style>
  <w:style w:type="paragraph" w:styleId="NormalIndent">
    <w:name w:val="Normal Indent"/>
    <w:basedOn w:val="Normal"/>
    <w:semiHidden/>
    <w:rsid w:val="00131F39"/>
    <w:pPr>
      <w:tabs>
        <w:tab w:val="clear" w:pos="1440"/>
        <w:tab w:val="clear" w:pos="4320"/>
        <w:tab w:val="clear" w:pos="9072"/>
        <w:tab w:val="right" w:pos="9000"/>
      </w:tabs>
      <w:overflowPunct w:val="0"/>
      <w:autoSpaceDE w:val="0"/>
      <w:autoSpaceDN w:val="0"/>
      <w:adjustRightInd w:val="0"/>
      <w:spacing w:after="240"/>
      <w:ind w:left="720"/>
      <w:jc w:val="both"/>
    </w:pPr>
    <w:rPr>
      <w:rFonts w:eastAsia="MingLiU"/>
      <w:color w:val="000000"/>
      <w:szCs w:val="24"/>
    </w:rPr>
  </w:style>
  <w:style w:type="paragraph" w:customStyle="1" w:styleId="j">
    <w:name w:val="j"/>
    <w:basedOn w:val="Final"/>
    <w:rsid w:val="00F15BF7"/>
  </w:style>
  <w:style w:type="paragraph" w:customStyle="1" w:styleId="points">
    <w:name w:val="points"/>
    <w:basedOn w:val="Normal"/>
    <w:qFormat/>
    <w:rsid w:val="00836220"/>
    <w:pPr>
      <w:tabs>
        <w:tab w:val="clear" w:pos="1440"/>
        <w:tab w:val="clear" w:pos="4320"/>
        <w:tab w:val="clear" w:pos="9072"/>
        <w:tab w:val="left" w:pos="1400"/>
        <w:tab w:val="left" w:pos="1960"/>
      </w:tabs>
      <w:spacing w:before="240" w:line="360" w:lineRule="auto"/>
      <w:ind w:left="1440" w:hanging="720"/>
      <w:jc w:val="both"/>
    </w:pPr>
  </w:style>
  <w:style w:type="paragraph" w:customStyle="1" w:styleId="SignatureSpace">
    <w:name w:val="Signature Space"/>
    <w:basedOn w:val="Normal"/>
    <w:next w:val="Undersigned"/>
    <w:rsid w:val="00FF63E0"/>
    <w:pPr>
      <w:keepNext/>
      <w:tabs>
        <w:tab w:val="clear" w:pos="9072"/>
        <w:tab w:val="center" w:pos="5928"/>
        <w:tab w:val="right" w:pos="8453"/>
      </w:tabs>
      <w:spacing w:beforeLines="700"/>
    </w:pPr>
    <w:rPr>
      <w:kern w:val="2"/>
    </w:rPr>
  </w:style>
  <w:style w:type="paragraph" w:customStyle="1" w:styleId="Undersigned">
    <w:name w:val="Undersigned"/>
    <w:basedOn w:val="Normal"/>
    <w:rsid w:val="00FF63E0"/>
    <w:pPr>
      <w:keepNext/>
      <w:framePr w:w="4320" w:wrap="notBeside" w:vAnchor="text" w:hAnchor="text" w:xAlign="right" w:y="1" w:anchorLock="1"/>
      <w:tabs>
        <w:tab w:val="clear" w:pos="1440"/>
        <w:tab w:val="clear" w:pos="4320"/>
        <w:tab w:val="clear" w:pos="9072"/>
        <w:tab w:val="center" w:pos="5940"/>
        <w:tab w:val="right" w:pos="8453"/>
        <w:tab w:val="right" w:pos="8550"/>
      </w:tabs>
      <w:jc w:val="center"/>
    </w:pPr>
    <w:rPr>
      <w:kern w:val="2"/>
    </w:rPr>
  </w:style>
  <w:style w:type="paragraph" w:customStyle="1" w:styleId="Final10">
    <w:name w:val="Final 1"/>
    <w:basedOn w:val="Final"/>
    <w:qFormat/>
    <w:rsid w:val="00FF63E0"/>
    <w:pPr>
      <w:tabs>
        <w:tab w:val="clear" w:pos="4234"/>
        <w:tab w:val="center" w:pos="4320"/>
      </w:tabs>
      <w:spacing w:before="0" w:after="0"/>
    </w:pPr>
  </w:style>
  <w:style w:type="table" w:styleId="TableGrid">
    <w:name w:val="Table Grid"/>
    <w:basedOn w:val="TableNormal"/>
    <w:uiPriority w:val="59"/>
    <w:rsid w:val="00BA5DF3"/>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End">
    <w:name w:val="Hanging End"/>
    <w:basedOn w:val="Hanging"/>
    <w:next w:val="Final"/>
    <w:rsid w:val="00BA5DF3"/>
    <w:pPr>
      <w:tabs>
        <w:tab w:val="clear" w:pos="3946"/>
        <w:tab w:val="clear" w:pos="4234"/>
        <w:tab w:val="num" w:pos="1440"/>
        <w:tab w:val="left" w:pos="2160"/>
        <w:tab w:val="center" w:pos="4320"/>
      </w:tabs>
      <w:snapToGrid/>
      <w:spacing w:before="120" w:after="520"/>
      <w:ind w:hanging="360"/>
    </w:pPr>
    <w:rPr>
      <w:lang w:val="en-GB" w:eastAsia="zh-CN"/>
    </w:rPr>
  </w:style>
  <w:style w:type="paragraph" w:customStyle="1" w:styleId="Quote1">
    <w:name w:val="Quote1"/>
    <w:rsid w:val="003633E2"/>
    <w:pPr>
      <w:tabs>
        <w:tab w:val="left" w:pos="1985"/>
      </w:tabs>
      <w:adjustRightInd w:val="0"/>
      <w:snapToGrid w:val="0"/>
      <w:spacing w:before="120" w:after="120"/>
      <w:ind w:left="1418" w:right="737"/>
      <w:jc w:val="both"/>
    </w:pPr>
    <w:rPr>
      <w:rFonts w:ascii="Times New Roman" w:hAnsi="Times New Roman"/>
      <w:sz w:val="24"/>
      <w:lang w:val="en-GB"/>
    </w:rPr>
  </w:style>
  <w:style w:type="character" w:customStyle="1" w:styleId="Heading1Char">
    <w:name w:val="Heading 1 Char"/>
    <w:basedOn w:val="DefaultParagraphFont"/>
    <w:link w:val="Heading1"/>
    <w:uiPriority w:val="99"/>
    <w:rsid w:val="001B784D"/>
    <w:rPr>
      <w:rFonts w:ascii="Times New Roman" w:hAnsi="Times New Roman"/>
      <w:b/>
      <w:kern w:val="2"/>
      <w:sz w:val="28"/>
    </w:rPr>
  </w:style>
  <w:style w:type="character" w:customStyle="1" w:styleId="Heading4Char">
    <w:name w:val="Heading 4 Char"/>
    <w:basedOn w:val="DefaultParagraphFont"/>
    <w:link w:val="Heading4"/>
    <w:uiPriority w:val="10"/>
    <w:rsid w:val="001B784D"/>
    <w:rPr>
      <w:rFonts w:ascii="Times New Roman" w:hAnsi="Times New Roman"/>
      <w:b/>
      <w:kern w:val="2"/>
      <w:sz w:val="21"/>
    </w:rPr>
  </w:style>
  <w:style w:type="character" w:customStyle="1" w:styleId="Heading5Char">
    <w:name w:val="Heading 5 Char"/>
    <w:basedOn w:val="DefaultParagraphFont"/>
    <w:link w:val="Heading5"/>
    <w:rsid w:val="001B784D"/>
    <w:rPr>
      <w:rFonts w:ascii="Times New Roman" w:hAnsi="Times New Roman"/>
      <w:sz w:val="28"/>
      <w:szCs w:val="24"/>
    </w:rPr>
  </w:style>
  <w:style w:type="paragraph" w:customStyle="1" w:styleId="para">
    <w:name w:val="para"/>
    <w:rsid w:val="001B784D"/>
    <w:pPr>
      <w:tabs>
        <w:tab w:val="num" w:pos="720"/>
        <w:tab w:val="left" w:pos="1440"/>
      </w:tabs>
      <w:snapToGrid w:val="0"/>
      <w:spacing w:before="480" w:line="360" w:lineRule="auto"/>
      <w:ind w:left="720" w:hanging="720"/>
      <w:jc w:val="both"/>
    </w:pPr>
    <w:rPr>
      <w:rFonts w:ascii="Times New Roman" w:hAnsi="Times New Roman"/>
      <w:sz w:val="28"/>
      <w:lang w:val="en-GB"/>
    </w:rPr>
  </w:style>
  <w:style w:type="paragraph" w:customStyle="1" w:styleId="PARA-CONT">
    <w:name w:val="PARA-CON'T"/>
    <w:basedOn w:val="para"/>
    <w:next w:val="para"/>
    <w:rsid w:val="001B784D"/>
    <w:pPr>
      <w:tabs>
        <w:tab w:val="clear" w:pos="720"/>
      </w:tabs>
      <w:spacing w:before="360"/>
      <w:ind w:left="0" w:firstLine="0"/>
    </w:pPr>
  </w:style>
  <w:style w:type="paragraph" w:customStyle="1" w:styleId="para-heading">
    <w:name w:val="para-heading"/>
    <w:basedOn w:val="para"/>
    <w:next w:val="para"/>
    <w:rsid w:val="001B784D"/>
    <w:pPr>
      <w:spacing w:before="0"/>
    </w:pPr>
    <w:rPr>
      <w:lang w:val="en-US"/>
    </w:rPr>
  </w:style>
  <w:style w:type="paragraph" w:customStyle="1" w:styleId="subheading">
    <w:name w:val="subheading"/>
    <w:next w:val="para-heading"/>
    <w:rsid w:val="001B784D"/>
    <w:pPr>
      <w:keepNext/>
      <w:snapToGrid w:val="0"/>
      <w:spacing w:before="600" w:after="360"/>
      <w:jc w:val="both"/>
    </w:pPr>
    <w:rPr>
      <w:rFonts w:ascii="Times New Roman" w:eastAsia="MingLiU" w:hAnsi="Times New Roman"/>
      <w:i/>
      <w:sz w:val="28"/>
      <w:lang w:val="en-GB"/>
    </w:rPr>
  </w:style>
  <w:style w:type="paragraph" w:customStyle="1" w:styleId="Quote2">
    <w:name w:val="Quote2"/>
    <w:rsid w:val="001B784D"/>
    <w:pPr>
      <w:tabs>
        <w:tab w:val="left" w:pos="2016"/>
      </w:tabs>
      <w:adjustRightInd w:val="0"/>
      <w:snapToGrid w:val="0"/>
      <w:spacing w:before="240"/>
      <w:ind w:left="1440" w:right="720"/>
      <w:jc w:val="both"/>
    </w:pPr>
    <w:rPr>
      <w:rFonts w:ascii="Times New Roman" w:hAnsi="Times New Roman"/>
      <w:sz w:val="24"/>
      <w:lang w:val="en-GB"/>
    </w:rPr>
  </w:style>
  <w:style w:type="paragraph" w:customStyle="1" w:styleId="mainheadings">
    <w:name w:val="mainheadings"/>
    <w:next w:val="Normal"/>
    <w:rsid w:val="001B784D"/>
    <w:pPr>
      <w:keepNext/>
      <w:spacing w:before="600" w:after="120"/>
    </w:pPr>
    <w:rPr>
      <w:rFonts w:ascii="Times New Roman" w:eastAsia="MingLiU" w:hAnsi="Times New Roman"/>
      <w:i/>
      <w:caps/>
      <w:noProof/>
      <w:sz w:val="28"/>
      <w:lang w:eastAsia="en-US"/>
    </w:rPr>
  </w:style>
  <w:style w:type="character" w:styleId="FollowedHyperlink">
    <w:name w:val="FollowedHyperlink"/>
    <w:semiHidden/>
    <w:rsid w:val="001B784D"/>
    <w:rPr>
      <w:color w:val="800080"/>
      <w:u w:val="single"/>
    </w:rPr>
  </w:style>
  <w:style w:type="paragraph" w:styleId="BodyTextIndent">
    <w:name w:val="Body Text Indent"/>
    <w:basedOn w:val="Normal"/>
    <w:link w:val="BodyTextIndentChar"/>
    <w:semiHidden/>
    <w:rsid w:val="001B784D"/>
    <w:pPr>
      <w:tabs>
        <w:tab w:val="clear" w:pos="1440"/>
        <w:tab w:val="clear" w:pos="4320"/>
        <w:tab w:val="clear" w:pos="9072"/>
      </w:tabs>
      <w:snapToGrid/>
      <w:ind w:left="420" w:hanging="420"/>
      <w:jc w:val="both"/>
    </w:pPr>
    <w:rPr>
      <w:kern w:val="2"/>
      <w:lang w:val="en-US"/>
    </w:rPr>
  </w:style>
  <w:style w:type="character" w:customStyle="1" w:styleId="BodyTextIndentChar">
    <w:name w:val="Body Text Indent Char"/>
    <w:basedOn w:val="DefaultParagraphFont"/>
    <w:link w:val="BodyTextIndent"/>
    <w:semiHidden/>
    <w:rsid w:val="001B784D"/>
    <w:rPr>
      <w:rFonts w:ascii="Times New Roman" w:hAnsi="Times New Roman"/>
      <w:kern w:val="2"/>
      <w:sz w:val="28"/>
    </w:rPr>
  </w:style>
  <w:style w:type="paragraph" w:customStyle="1" w:styleId="Style">
    <w:name w:val="Style"/>
    <w:rsid w:val="00400F53"/>
    <w:pPr>
      <w:widowControl w:val="0"/>
      <w:autoSpaceDE w:val="0"/>
      <w:autoSpaceDN w:val="0"/>
      <w:adjustRightInd w:val="0"/>
    </w:pPr>
    <w:rPr>
      <w:rFonts w:ascii="Times New Roman" w:hAnsi="Times New Roman"/>
      <w:sz w:val="24"/>
      <w:szCs w:val="24"/>
    </w:rPr>
  </w:style>
  <w:style w:type="character" w:customStyle="1" w:styleId="Heading9Char">
    <w:name w:val="Heading 9 Char"/>
    <w:basedOn w:val="DefaultParagraphFont"/>
    <w:link w:val="Heading9"/>
    <w:uiPriority w:val="9"/>
    <w:semiHidden/>
    <w:rsid w:val="00921BB1"/>
    <w:rPr>
      <w:rFonts w:asciiTheme="majorHAnsi" w:eastAsiaTheme="majorEastAsia" w:hAnsiTheme="majorHAnsi" w:cstheme="majorBidi"/>
      <w:sz w:val="36"/>
      <w:szCs w:val="36"/>
      <w:lang w:val="en-GB" w:eastAsia="zh-TW"/>
    </w:rPr>
  </w:style>
  <w:style w:type="character" w:styleId="Hyperlink">
    <w:name w:val="Hyperlink"/>
    <w:basedOn w:val="DefaultParagraphFont"/>
    <w:uiPriority w:val="99"/>
    <w:rsid w:val="00921BB1"/>
    <w:rPr>
      <w:color w:val="0000FF"/>
      <w:u w:val="single"/>
    </w:rPr>
  </w:style>
  <w:style w:type="paragraph" w:styleId="NoSpacing">
    <w:name w:val="No Spacing"/>
    <w:uiPriority w:val="99"/>
    <w:qFormat/>
    <w:rsid w:val="00921BB1"/>
    <w:pPr>
      <w:contextualSpacing/>
      <w:jc w:val="both"/>
    </w:pPr>
    <w:rPr>
      <w:rFonts w:ascii="Book Antiqua" w:eastAsia="PMingLiU" w:hAnsi="Book Antiqua"/>
      <w:sz w:val="26"/>
      <w:szCs w:val="22"/>
      <w:lang w:val="en-GB" w:eastAsia="zh-TW"/>
    </w:rPr>
  </w:style>
  <w:style w:type="paragraph" w:styleId="Quote">
    <w:name w:val="Quote"/>
    <w:basedOn w:val="Normal"/>
    <w:next w:val="Normal"/>
    <w:link w:val="QuoteChar"/>
    <w:uiPriority w:val="6"/>
    <w:qFormat/>
    <w:rsid w:val="00921BB1"/>
    <w:pPr>
      <w:tabs>
        <w:tab w:val="clear" w:pos="1440"/>
        <w:tab w:val="clear" w:pos="4320"/>
        <w:tab w:val="clear" w:pos="9072"/>
      </w:tabs>
      <w:snapToGrid/>
      <w:spacing w:line="276" w:lineRule="auto"/>
      <w:ind w:left="1440" w:right="720"/>
      <w:contextualSpacing/>
      <w:jc w:val="both"/>
    </w:pPr>
    <w:rPr>
      <w:rFonts w:eastAsia="PMingLiU"/>
      <w:i/>
      <w:iCs/>
      <w:sz w:val="24"/>
      <w:szCs w:val="22"/>
      <w:lang w:eastAsia="zh-TW"/>
    </w:rPr>
  </w:style>
  <w:style w:type="character" w:customStyle="1" w:styleId="QuoteChar">
    <w:name w:val="Quote Char"/>
    <w:basedOn w:val="DefaultParagraphFont"/>
    <w:link w:val="Quote"/>
    <w:uiPriority w:val="6"/>
    <w:rsid w:val="00921BB1"/>
    <w:rPr>
      <w:rFonts w:ascii="Times New Roman" w:eastAsia="PMingLiU" w:hAnsi="Times New Roman"/>
      <w:i/>
      <w:iCs/>
      <w:sz w:val="24"/>
      <w:szCs w:val="22"/>
      <w:lang w:val="en-GB" w:eastAsia="zh-TW"/>
    </w:rPr>
  </w:style>
  <w:style w:type="paragraph" w:customStyle="1" w:styleId="Text">
    <w:name w:val="Text"/>
    <w:basedOn w:val="Normal"/>
    <w:next w:val="Normal"/>
    <w:link w:val="TextChar"/>
    <w:uiPriority w:val="99"/>
    <w:qFormat/>
    <w:rsid w:val="00921BB1"/>
    <w:pPr>
      <w:tabs>
        <w:tab w:val="clear" w:pos="1440"/>
        <w:tab w:val="clear" w:pos="4320"/>
        <w:tab w:val="clear" w:pos="9072"/>
      </w:tabs>
      <w:snapToGrid/>
      <w:spacing w:line="276" w:lineRule="auto"/>
      <w:ind w:left="720"/>
      <w:contextualSpacing/>
      <w:jc w:val="both"/>
    </w:pPr>
    <w:rPr>
      <w:rFonts w:eastAsia="PMingLiU" w:cs="Arial"/>
      <w:sz w:val="24"/>
      <w:szCs w:val="26"/>
      <w:lang w:eastAsia="zh-TW"/>
    </w:rPr>
  </w:style>
  <w:style w:type="paragraph" w:customStyle="1" w:styleId="Text1">
    <w:name w:val="Text 1"/>
    <w:basedOn w:val="Normal"/>
    <w:link w:val="Text1Char"/>
    <w:qFormat/>
    <w:rsid w:val="00921BB1"/>
    <w:pPr>
      <w:tabs>
        <w:tab w:val="clear" w:pos="1440"/>
        <w:tab w:val="clear" w:pos="4320"/>
        <w:tab w:val="clear" w:pos="9072"/>
        <w:tab w:val="num" w:pos="567"/>
        <w:tab w:val="num" w:pos="720"/>
      </w:tabs>
      <w:snapToGrid/>
      <w:spacing w:line="276" w:lineRule="auto"/>
      <w:ind w:left="567" w:hanging="567"/>
      <w:contextualSpacing/>
      <w:jc w:val="both"/>
    </w:pPr>
    <w:rPr>
      <w:rFonts w:eastAsia="PMingLiU"/>
      <w:sz w:val="24"/>
      <w:szCs w:val="22"/>
      <w:lang w:eastAsia="zh-TW"/>
    </w:rPr>
  </w:style>
  <w:style w:type="character" w:customStyle="1" w:styleId="TextChar">
    <w:name w:val="Text Char"/>
    <w:basedOn w:val="DefaultParagraphFont"/>
    <w:link w:val="Text"/>
    <w:uiPriority w:val="99"/>
    <w:rsid w:val="00921BB1"/>
    <w:rPr>
      <w:rFonts w:ascii="Times New Roman" w:eastAsia="PMingLiU" w:hAnsi="Times New Roman" w:cs="Arial"/>
      <w:sz w:val="24"/>
      <w:szCs w:val="26"/>
      <w:lang w:val="en-GB" w:eastAsia="zh-TW"/>
    </w:rPr>
  </w:style>
  <w:style w:type="paragraph" w:customStyle="1" w:styleId="Text3">
    <w:name w:val="Text 3"/>
    <w:basedOn w:val="Text2"/>
    <w:link w:val="Text3Char"/>
    <w:uiPriority w:val="2"/>
    <w:qFormat/>
    <w:rsid w:val="00921BB1"/>
    <w:pPr>
      <w:numPr>
        <w:ilvl w:val="2"/>
      </w:numPr>
      <w:tabs>
        <w:tab w:val="num" w:pos="567"/>
        <w:tab w:val="num" w:pos="1418"/>
      </w:tabs>
      <w:ind w:left="1418" w:hanging="567"/>
    </w:pPr>
  </w:style>
  <w:style w:type="character" w:customStyle="1" w:styleId="Text1Char">
    <w:name w:val="Text 1 Char"/>
    <w:basedOn w:val="DefaultParagraphFont"/>
    <w:link w:val="Text1"/>
    <w:rsid w:val="00921BB1"/>
    <w:rPr>
      <w:rFonts w:ascii="Times New Roman" w:eastAsia="PMingLiU" w:hAnsi="Times New Roman"/>
      <w:sz w:val="24"/>
      <w:szCs w:val="22"/>
      <w:lang w:val="en-GB" w:eastAsia="zh-TW"/>
    </w:rPr>
  </w:style>
  <w:style w:type="paragraph" w:customStyle="1" w:styleId="Hearing">
    <w:name w:val="Hearing"/>
    <w:basedOn w:val="Normal"/>
    <w:next w:val="Normal"/>
    <w:link w:val="HearingChar"/>
    <w:uiPriority w:val="8"/>
    <w:qFormat/>
    <w:rsid w:val="00921BB1"/>
    <w:pPr>
      <w:tabs>
        <w:tab w:val="clear" w:pos="1440"/>
        <w:tab w:val="clear" w:pos="4320"/>
        <w:tab w:val="clear" w:pos="9072"/>
      </w:tabs>
      <w:snapToGrid/>
      <w:spacing w:line="276" w:lineRule="auto"/>
      <w:contextualSpacing/>
      <w:jc w:val="center"/>
    </w:pPr>
    <w:rPr>
      <w:rFonts w:eastAsia="PMingLiU" w:cs="Arial"/>
      <w:i/>
      <w:sz w:val="20"/>
      <w:szCs w:val="24"/>
      <w:lang w:eastAsia="zh-TW"/>
    </w:rPr>
  </w:style>
  <w:style w:type="character" w:customStyle="1" w:styleId="Text3Char">
    <w:name w:val="Text 3 Char"/>
    <w:basedOn w:val="Text2Char"/>
    <w:link w:val="Text3"/>
    <w:uiPriority w:val="2"/>
    <w:rsid w:val="00921BB1"/>
    <w:rPr>
      <w:rFonts w:ascii="Times New Roman" w:eastAsia="PMingLiU" w:hAnsi="Times New Roman"/>
      <w:sz w:val="24"/>
      <w:szCs w:val="22"/>
      <w:lang w:val="en-GB" w:eastAsia="zh-TW"/>
    </w:rPr>
  </w:style>
  <w:style w:type="paragraph" w:customStyle="1" w:styleId="Text2">
    <w:name w:val="Text 2"/>
    <w:basedOn w:val="Text1"/>
    <w:link w:val="Text2Char"/>
    <w:uiPriority w:val="1"/>
    <w:qFormat/>
    <w:rsid w:val="00921BB1"/>
    <w:pPr>
      <w:numPr>
        <w:ilvl w:val="1"/>
      </w:numPr>
      <w:tabs>
        <w:tab w:val="num" w:pos="567"/>
        <w:tab w:val="num" w:pos="1134"/>
      </w:tabs>
      <w:ind w:left="1134" w:hanging="567"/>
    </w:pPr>
  </w:style>
  <w:style w:type="paragraph" w:customStyle="1" w:styleId="Court">
    <w:name w:val="Court"/>
    <w:basedOn w:val="Normal"/>
    <w:next w:val="Normal"/>
    <w:link w:val="CourtChar"/>
    <w:uiPriority w:val="99"/>
    <w:qFormat/>
    <w:rsid w:val="00921BB1"/>
    <w:pPr>
      <w:tabs>
        <w:tab w:val="clear" w:pos="1440"/>
        <w:tab w:val="clear" w:pos="4320"/>
        <w:tab w:val="clear" w:pos="9072"/>
      </w:tabs>
      <w:snapToGrid/>
      <w:contextualSpacing/>
      <w:jc w:val="center"/>
    </w:pPr>
    <w:rPr>
      <w:rFonts w:eastAsia="PMingLiU" w:cs="Arial"/>
      <w:sz w:val="24"/>
      <w:szCs w:val="22"/>
      <w:lang w:eastAsia="zh-TW"/>
    </w:rPr>
  </w:style>
  <w:style w:type="character" w:customStyle="1" w:styleId="HearingChar">
    <w:name w:val="Hearing Char"/>
    <w:basedOn w:val="DefaultParagraphFont"/>
    <w:link w:val="Hearing"/>
    <w:uiPriority w:val="8"/>
    <w:rsid w:val="00921BB1"/>
    <w:rPr>
      <w:rFonts w:ascii="Times New Roman" w:eastAsia="PMingLiU" w:hAnsi="Times New Roman" w:cs="Arial"/>
      <w:i/>
      <w:szCs w:val="24"/>
      <w:lang w:val="en-GB" w:eastAsia="zh-TW"/>
    </w:rPr>
  </w:style>
  <w:style w:type="character" w:customStyle="1" w:styleId="Text2Char">
    <w:name w:val="Text 2 Char"/>
    <w:basedOn w:val="Text1Char"/>
    <w:link w:val="Text2"/>
    <w:uiPriority w:val="1"/>
    <w:rsid w:val="00921BB1"/>
    <w:rPr>
      <w:rFonts w:ascii="Times New Roman" w:eastAsia="PMingLiU" w:hAnsi="Times New Roman"/>
      <w:sz w:val="24"/>
      <w:szCs w:val="22"/>
      <w:lang w:val="en-GB" w:eastAsia="zh-TW"/>
    </w:rPr>
  </w:style>
  <w:style w:type="character" w:customStyle="1" w:styleId="CourtChar">
    <w:name w:val="Court Char"/>
    <w:basedOn w:val="DefaultParagraphFont"/>
    <w:link w:val="Court"/>
    <w:uiPriority w:val="99"/>
    <w:rsid w:val="00921BB1"/>
    <w:rPr>
      <w:rFonts w:ascii="Times New Roman" w:eastAsia="PMingLiU" w:hAnsi="Times New Roman" w:cs="Arial"/>
      <w:sz w:val="24"/>
      <w:szCs w:val="22"/>
      <w:lang w:val="en-GB" w:eastAsia="zh-TW"/>
    </w:rPr>
  </w:style>
  <w:style w:type="paragraph" w:styleId="BodyText">
    <w:name w:val="Body Text"/>
    <w:basedOn w:val="Normal"/>
    <w:link w:val="BodyTextChar"/>
    <w:uiPriority w:val="99"/>
    <w:semiHidden/>
    <w:unhideWhenUsed/>
    <w:rsid w:val="00921BB1"/>
    <w:pPr>
      <w:tabs>
        <w:tab w:val="clear" w:pos="1440"/>
        <w:tab w:val="clear" w:pos="4320"/>
        <w:tab w:val="clear" w:pos="9072"/>
      </w:tabs>
      <w:snapToGrid/>
      <w:spacing w:after="120"/>
    </w:pPr>
    <w:rPr>
      <w:sz w:val="24"/>
      <w:szCs w:val="24"/>
      <w:lang w:val="en-US"/>
    </w:rPr>
  </w:style>
  <w:style w:type="character" w:customStyle="1" w:styleId="BodyTextChar">
    <w:name w:val="Body Text Char"/>
    <w:basedOn w:val="DefaultParagraphFont"/>
    <w:link w:val="BodyText"/>
    <w:uiPriority w:val="99"/>
    <w:semiHidden/>
    <w:rsid w:val="00921BB1"/>
    <w:rPr>
      <w:rFonts w:ascii="Times New Roman" w:hAnsi="Times New Roman"/>
      <w:sz w:val="24"/>
      <w:szCs w:val="24"/>
    </w:rPr>
  </w:style>
  <w:style w:type="paragraph" w:styleId="DocumentMap">
    <w:name w:val="Document Map"/>
    <w:basedOn w:val="Normal"/>
    <w:link w:val="DocumentMapChar"/>
    <w:uiPriority w:val="99"/>
    <w:semiHidden/>
    <w:unhideWhenUsed/>
    <w:rsid w:val="00921BB1"/>
    <w:pPr>
      <w:tabs>
        <w:tab w:val="clear" w:pos="1440"/>
        <w:tab w:val="clear" w:pos="4320"/>
        <w:tab w:val="clear" w:pos="9072"/>
      </w:tabs>
      <w:snapToGrid/>
      <w:contextualSpacing/>
      <w:jc w:val="both"/>
    </w:pPr>
    <w:rPr>
      <w:rFonts w:eastAsia="PMingLiU"/>
      <w:sz w:val="24"/>
      <w:szCs w:val="24"/>
      <w:lang w:eastAsia="zh-TW"/>
    </w:rPr>
  </w:style>
  <w:style w:type="character" w:customStyle="1" w:styleId="DocumentMapChar">
    <w:name w:val="Document Map Char"/>
    <w:basedOn w:val="DefaultParagraphFont"/>
    <w:link w:val="DocumentMap"/>
    <w:uiPriority w:val="99"/>
    <w:semiHidden/>
    <w:rsid w:val="00921BB1"/>
    <w:rPr>
      <w:rFonts w:ascii="Times New Roman" w:eastAsia="PMingLiU" w:hAnsi="Times New Roman"/>
      <w:sz w:val="24"/>
      <w:szCs w:val="24"/>
      <w:lang w:val="en-GB" w:eastAsia="zh-TW"/>
    </w:rPr>
  </w:style>
  <w:style w:type="paragraph" w:customStyle="1" w:styleId="Default">
    <w:name w:val="Default"/>
    <w:rsid w:val="00921BB1"/>
    <w:pPr>
      <w:autoSpaceDE w:val="0"/>
      <w:autoSpaceDN w:val="0"/>
      <w:adjustRightInd w:val="0"/>
    </w:pPr>
    <w:rPr>
      <w:rFonts w:ascii="Times New Roman" w:hAnsi="Times New Roman"/>
      <w:color w:val="000000"/>
      <w:sz w:val="24"/>
      <w:szCs w:val="24"/>
    </w:rPr>
  </w:style>
  <w:style w:type="paragraph" w:customStyle="1" w:styleId="Style1">
    <w:name w:val="Style1"/>
    <w:basedOn w:val="ListParagraph"/>
    <w:link w:val="Style1Char"/>
    <w:qFormat/>
    <w:rsid w:val="00A1242F"/>
    <w:pPr>
      <w:tabs>
        <w:tab w:val="clear" w:pos="1440"/>
        <w:tab w:val="clear" w:pos="4320"/>
        <w:tab w:val="clear" w:pos="9072"/>
        <w:tab w:val="num" w:pos="720"/>
      </w:tabs>
      <w:snapToGrid/>
      <w:spacing w:line="360" w:lineRule="auto"/>
      <w:ind w:hanging="720"/>
      <w:contextualSpacing/>
      <w:jc w:val="both"/>
    </w:pPr>
    <w:rPr>
      <w:rFonts w:eastAsiaTheme="minorEastAsia"/>
      <w:szCs w:val="28"/>
      <w:lang w:eastAsia="en-US"/>
    </w:rPr>
  </w:style>
  <w:style w:type="character" w:customStyle="1" w:styleId="Style1Char">
    <w:name w:val="Style1 Char"/>
    <w:basedOn w:val="DefaultParagraphFont"/>
    <w:link w:val="Style1"/>
    <w:rsid w:val="00A1242F"/>
    <w:rPr>
      <w:rFonts w:ascii="Times New Roman" w:eastAsiaTheme="minorEastAsia" w:hAnsi="Times New Roman"/>
      <w:sz w:val="28"/>
      <w:szCs w:val="28"/>
      <w:lang w:val="en-GB" w:eastAsia="en-US"/>
    </w:rPr>
  </w:style>
  <w:style w:type="character" w:styleId="CommentReference">
    <w:name w:val="annotation reference"/>
    <w:basedOn w:val="DefaultParagraphFont"/>
    <w:uiPriority w:val="99"/>
    <w:semiHidden/>
    <w:unhideWhenUsed/>
    <w:rsid w:val="00A1242F"/>
    <w:rPr>
      <w:sz w:val="16"/>
      <w:szCs w:val="16"/>
    </w:rPr>
  </w:style>
  <w:style w:type="paragraph" w:styleId="CommentText">
    <w:name w:val="annotation text"/>
    <w:basedOn w:val="Normal"/>
    <w:link w:val="CommentTextChar"/>
    <w:uiPriority w:val="99"/>
    <w:semiHidden/>
    <w:unhideWhenUsed/>
    <w:rsid w:val="00A1242F"/>
    <w:pPr>
      <w:tabs>
        <w:tab w:val="clear" w:pos="1440"/>
        <w:tab w:val="clear" w:pos="4320"/>
        <w:tab w:val="clear" w:pos="9072"/>
      </w:tabs>
      <w:snapToGrid/>
      <w:spacing w:after="200"/>
    </w:pPr>
    <w:rPr>
      <w:rFonts w:asciiTheme="minorHAnsi" w:eastAsiaTheme="minorHAnsi" w:hAnsiTheme="minorHAnsi" w:cstheme="minorBidi"/>
      <w:sz w:val="20"/>
      <w:lang w:val="en-US" w:eastAsia="en-US"/>
    </w:rPr>
  </w:style>
  <w:style w:type="character" w:customStyle="1" w:styleId="CommentTextChar">
    <w:name w:val="Comment Text Char"/>
    <w:basedOn w:val="DefaultParagraphFont"/>
    <w:link w:val="CommentText"/>
    <w:uiPriority w:val="99"/>
    <w:semiHidden/>
    <w:rsid w:val="00A1242F"/>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uiPriority w:val="99"/>
    <w:semiHidden/>
    <w:unhideWhenUsed/>
    <w:rsid w:val="00A1242F"/>
    <w:rPr>
      <w:b/>
      <w:bCs/>
    </w:rPr>
  </w:style>
  <w:style w:type="character" w:customStyle="1" w:styleId="CommentSubjectChar">
    <w:name w:val="Comment Subject Char"/>
    <w:basedOn w:val="CommentTextChar"/>
    <w:link w:val="CommentSubject"/>
    <w:uiPriority w:val="99"/>
    <w:semiHidden/>
    <w:rsid w:val="00A1242F"/>
    <w:rPr>
      <w:rFonts w:asciiTheme="minorHAnsi" w:eastAsiaTheme="minorHAnsi" w:hAnsiTheme="minorHAnsi" w:cstheme="minorBidi"/>
      <w:b/>
      <w:bCs/>
      <w:lang w:eastAsia="en-US"/>
    </w:rPr>
  </w:style>
  <w:style w:type="numbering" w:customStyle="1" w:styleId="RACSC">
    <w:name w:val="RACSC"/>
    <w:rsid w:val="00D95352"/>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884097">
      <w:bodyDiv w:val="1"/>
      <w:marLeft w:val="0"/>
      <w:marRight w:val="0"/>
      <w:marTop w:val="0"/>
      <w:marBottom w:val="0"/>
      <w:divBdr>
        <w:top w:val="none" w:sz="0" w:space="0" w:color="auto"/>
        <w:left w:val="none" w:sz="0" w:space="0" w:color="auto"/>
        <w:bottom w:val="none" w:sz="0" w:space="0" w:color="auto"/>
        <w:right w:val="none" w:sz="0" w:space="0" w:color="auto"/>
      </w:divBdr>
      <w:divsChild>
        <w:div w:id="356479">
          <w:marLeft w:val="480"/>
          <w:marRight w:val="0"/>
          <w:marTop w:val="0"/>
          <w:marBottom w:val="80"/>
          <w:divBdr>
            <w:top w:val="none" w:sz="0" w:space="0" w:color="auto"/>
            <w:left w:val="none" w:sz="0" w:space="0" w:color="auto"/>
            <w:bottom w:val="none" w:sz="0" w:space="0" w:color="auto"/>
            <w:right w:val="none" w:sz="0" w:space="0" w:color="auto"/>
          </w:divBdr>
          <w:divsChild>
            <w:div w:id="569653423">
              <w:marLeft w:val="0"/>
              <w:marRight w:val="0"/>
              <w:marTop w:val="0"/>
              <w:marBottom w:val="80"/>
              <w:divBdr>
                <w:top w:val="none" w:sz="0" w:space="0" w:color="auto"/>
                <w:left w:val="none" w:sz="0" w:space="0" w:color="auto"/>
                <w:bottom w:val="none" w:sz="0" w:space="0" w:color="auto"/>
                <w:right w:val="none" w:sz="0" w:space="0" w:color="auto"/>
              </w:divBdr>
            </w:div>
            <w:div w:id="931161862">
              <w:marLeft w:val="0"/>
              <w:marRight w:val="0"/>
              <w:marTop w:val="0"/>
              <w:marBottom w:val="0"/>
              <w:divBdr>
                <w:top w:val="none" w:sz="0" w:space="0" w:color="auto"/>
                <w:left w:val="none" w:sz="0" w:space="0" w:color="auto"/>
                <w:bottom w:val="none" w:sz="0" w:space="0" w:color="auto"/>
                <w:right w:val="none" w:sz="0" w:space="0" w:color="auto"/>
              </w:divBdr>
            </w:div>
          </w:divsChild>
        </w:div>
        <w:div w:id="273024498">
          <w:marLeft w:val="480"/>
          <w:marRight w:val="0"/>
          <w:marTop w:val="0"/>
          <w:marBottom w:val="0"/>
          <w:divBdr>
            <w:top w:val="none" w:sz="0" w:space="0" w:color="auto"/>
            <w:left w:val="none" w:sz="0" w:space="0" w:color="auto"/>
            <w:bottom w:val="none" w:sz="0" w:space="0" w:color="auto"/>
            <w:right w:val="none" w:sz="0" w:space="0" w:color="auto"/>
          </w:divBdr>
          <w:divsChild>
            <w:div w:id="957294118">
              <w:marLeft w:val="0"/>
              <w:marRight w:val="0"/>
              <w:marTop w:val="0"/>
              <w:marBottom w:val="0"/>
              <w:divBdr>
                <w:top w:val="none" w:sz="0" w:space="0" w:color="auto"/>
                <w:left w:val="none" w:sz="0" w:space="0" w:color="auto"/>
                <w:bottom w:val="none" w:sz="0" w:space="0" w:color="auto"/>
                <w:right w:val="none" w:sz="0" w:space="0" w:color="auto"/>
              </w:divBdr>
            </w:div>
          </w:divsChild>
        </w:div>
        <w:div w:id="745110595">
          <w:marLeft w:val="480"/>
          <w:marRight w:val="0"/>
          <w:marTop w:val="0"/>
          <w:marBottom w:val="80"/>
          <w:divBdr>
            <w:top w:val="none" w:sz="0" w:space="0" w:color="auto"/>
            <w:left w:val="none" w:sz="0" w:space="0" w:color="auto"/>
            <w:bottom w:val="none" w:sz="0" w:space="0" w:color="auto"/>
            <w:right w:val="none" w:sz="0" w:space="0" w:color="auto"/>
          </w:divBdr>
          <w:divsChild>
            <w:div w:id="53162382">
              <w:marLeft w:val="0"/>
              <w:marRight w:val="0"/>
              <w:marTop w:val="0"/>
              <w:marBottom w:val="0"/>
              <w:divBdr>
                <w:top w:val="none" w:sz="0" w:space="0" w:color="auto"/>
                <w:left w:val="none" w:sz="0" w:space="0" w:color="auto"/>
                <w:bottom w:val="none" w:sz="0" w:space="0" w:color="auto"/>
                <w:right w:val="none" w:sz="0" w:space="0" w:color="auto"/>
              </w:divBdr>
            </w:div>
          </w:divsChild>
        </w:div>
        <w:div w:id="933326125">
          <w:marLeft w:val="480"/>
          <w:marRight w:val="0"/>
          <w:marTop w:val="0"/>
          <w:marBottom w:val="80"/>
          <w:divBdr>
            <w:top w:val="none" w:sz="0" w:space="0" w:color="auto"/>
            <w:left w:val="none" w:sz="0" w:space="0" w:color="auto"/>
            <w:bottom w:val="none" w:sz="0" w:space="0" w:color="auto"/>
            <w:right w:val="none" w:sz="0" w:space="0" w:color="auto"/>
          </w:divBdr>
          <w:divsChild>
            <w:div w:id="215359205">
              <w:marLeft w:val="480"/>
              <w:marRight w:val="0"/>
              <w:marTop w:val="0"/>
              <w:marBottom w:val="80"/>
              <w:divBdr>
                <w:top w:val="none" w:sz="0" w:space="0" w:color="auto"/>
                <w:left w:val="none" w:sz="0" w:space="0" w:color="auto"/>
                <w:bottom w:val="none" w:sz="0" w:space="0" w:color="auto"/>
                <w:right w:val="none" w:sz="0" w:space="0" w:color="auto"/>
              </w:divBdr>
              <w:divsChild>
                <w:div w:id="1434591558">
                  <w:marLeft w:val="0"/>
                  <w:marRight w:val="0"/>
                  <w:marTop w:val="0"/>
                  <w:marBottom w:val="0"/>
                  <w:divBdr>
                    <w:top w:val="none" w:sz="0" w:space="0" w:color="auto"/>
                    <w:left w:val="none" w:sz="0" w:space="0" w:color="auto"/>
                    <w:bottom w:val="none" w:sz="0" w:space="0" w:color="auto"/>
                    <w:right w:val="none" w:sz="0" w:space="0" w:color="auto"/>
                  </w:divBdr>
                </w:div>
              </w:divsChild>
            </w:div>
            <w:div w:id="918634715">
              <w:marLeft w:val="0"/>
              <w:marRight w:val="0"/>
              <w:marTop w:val="0"/>
              <w:marBottom w:val="80"/>
              <w:divBdr>
                <w:top w:val="none" w:sz="0" w:space="0" w:color="auto"/>
                <w:left w:val="none" w:sz="0" w:space="0" w:color="auto"/>
                <w:bottom w:val="none" w:sz="0" w:space="0" w:color="auto"/>
                <w:right w:val="none" w:sz="0" w:space="0" w:color="auto"/>
              </w:divBdr>
            </w:div>
            <w:div w:id="1031297856">
              <w:marLeft w:val="480"/>
              <w:marRight w:val="0"/>
              <w:marTop w:val="0"/>
              <w:marBottom w:val="80"/>
              <w:divBdr>
                <w:top w:val="none" w:sz="0" w:space="0" w:color="auto"/>
                <w:left w:val="none" w:sz="0" w:space="0" w:color="auto"/>
                <w:bottom w:val="none" w:sz="0" w:space="0" w:color="auto"/>
                <w:right w:val="none" w:sz="0" w:space="0" w:color="auto"/>
              </w:divBdr>
              <w:divsChild>
                <w:div w:id="815924666">
                  <w:marLeft w:val="0"/>
                  <w:marRight w:val="0"/>
                  <w:marTop w:val="0"/>
                  <w:marBottom w:val="0"/>
                  <w:divBdr>
                    <w:top w:val="none" w:sz="0" w:space="0" w:color="auto"/>
                    <w:left w:val="none" w:sz="0" w:space="0" w:color="auto"/>
                    <w:bottom w:val="none" w:sz="0" w:space="0" w:color="auto"/>
                    <w:right w:val="none" w:sz="0" w:space="0" w:color="auto"/>
                  </w:divBdr>
                </w:div>
              </w:divsChild>
            </w:div>
            <w:div w:id="1135950703">
              <w:marLeft w:val="0"/>
              <w:marRight w:val="0"/>
              <w:marTop w:val="0"/>
              <w:marBottom w:val="80"/>
              <w:divBdr>
                <w:top w:val="none" w:sz="0" w:space="0" w:color="auto"/>
                <w:left w:val="none" w:sz="0" w:space="0" w:color="auto"/>
                <w:bottom w:val="none" w:sz="0" w:space="0" w:color="auto"/>
                <w:right w:val="none" w:sz="0" w:space="0" w:color="auto"/>
              </w:divBdr>
            </w:div>
          </w:divsChild>
        </w:div>
        <w:div w:id="1022589351">
          <w:marLeft w:val="480"/>
          <w:marRight w:val="0"/>
          <w:marTop w:val="0"/>
          <w:marBottom w:val="80"/>
          <w:divBdr>
            <w:top w:val="none" w:sz="0" w:space="0" w:color="auto"/>
            <w:left w:val="none" w:sz="0" w:space="0" w:color="auto"/>
            <w:bottom w:val="none" w:sz="0" w:space="0" w:color="auto"/>
            <w:right w:val="none" w:sz="0" w:space="0" w:color="auto"/>
          </w:divBdr>
          <w:divsChild>
            <w:div w:id="56367837">
              <w:marLeft w:val="480"/>
              <w:marRight w:val="0"/>
              <w:marTop w:val="0"/>
              <w:marBottom w:val="80"/>
              <w:divBdr>
                <w:top w:val="none" w:sz="0" w:space="0" w:color="auto"/>
                <w:left w:val="none" w:sz="0" w:space="0" w:color="auto"/>
                <w:bottom w:val="none" w:sz="0" w:space="0" w:color="auto"/>
                <w:right w:val="none" w:sz="0" w:space="0" w:color="auto"/>
              </w:divBdr>
              <w:divsChild>
                <w:div w:id="1293556481">
                  <w:marLeft w:val="0"/>
                  <w:marRight w:val="0"/>
                  <w:marTop w:val="0"/>
                  <w:marBottom w:val="80"/>
                  <w:divBdr>
                    <w:top w:val="none" w:sz="0" w:space="0" w:color="auto"/>
                    <w:left w:val="none" w:sz="0" w:space="0" w:color="auto"/>
                    <w:bottom w:val="none" w:sz="0" w:space="0" w:color="auto"/>
                    <w:right w:val="none" w:sz="0" w:space="0" w:color="auto"/>
                  </w:divBdr>
                </w:div>
                <w:div w:id="1434352289">
                  <w:marLeft w:val="480"/>
                  <w:marRight w:val="0"/>
                  <w:marTop w:val="0"/>
                  <w:marBottom w:val="80"/>
                  <w:divBdr>
                    <w:top w:val="none" w:sz="0" w:space="0" w:color="auto"/>
                    <w:left w:val="none" w:sz="0" w:space="0" w:color="auto"/>
                    <w:bottom w:val="none" w:sz="0" w:space="0" w:color="auto"/>
                    <w:right w:val="none" w:sz="0" w:space="0" w:color="auto"/>
                  </w:divBdr>
                  <w:divsChild>
                    <w:div w:id="66807207">
                      <w:marLeft w:val="0"/>
                      <w:marRight w:val="0"/>
                      <w:marTop w:val="0"/>
                      <w:marBottom w:val="0"/>
                      <w:divBdr>
                        <w:top w:val="none" w:sz="0" w:space="0" w:color="auto"/>
                        <w:left w:val="none" w:sz="0" w:space="0" w:color="auto"/>
                        <w:bottom w:val="none" w:sz="0" w:space="0" w:color="auto"/>
                        <w:right w:val="none" w:sz="0" w:space="0" w:color="auto"/>
                      </w:divBdr>
                    </w:div>
                  </w:divsChild>
                </w:div>
                <w:div w:id="1635522094">
                  <w:marLeft w:val="480"/>
                  <w:marRight w:val="0"/>
                  <w:marTop w:val="0"/>
                  <w:marBottom w:val="0"/>
                  <w:divBdr>
                    <w:top w:val="none" w:sz="0" w:space="0" w:color="auto"/>
                    <w:left w:val="none" w:sz="0" w:space="0" w:color="auto"/>
                    <w:bottom w:val="none" w:sz="0" w:space="0" w:color="auto"/>
                    <w:right w:val="none" w:sz="0" w:space="0" w:color="auto"/>
                  </w:divBdr>
                  <w:divsChild>
                    <w:div w:id="3785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426">
              <w:marLeft w:val="0"/>
              <w:marRight w:val="0"/>
              <w:marTop w:val="0"/>
              <w:marBottom w:val="80"/>
              <w:divBdr>
                <w:top w:val="none" w:sz="0" w:space="0" w:color="auto"/>
                <w:left w:val="none" w:sz="0" w:space="0" w:color="auto"/>
                <w:bottom w:val="none" w:sz="0" w:space="0" w:color="auto"/>
                <w:right w:val="none" w:sz="0" w:space="0" w:color="auto"/>
              </w:divBdr>
            </w:div>
            <w:div w:id="1035695454">
              <w:marLeft w:val="480"/>
              <w:marRight w:val="0"/>
              <w:marTop w:val="0"/>
              <w:marBottom w:val="80"/>
              <w:divBdr>
                <w:top w:val="none" w:sz="0" w:space="0" w:color="auto"/>
                <w:left w:val="none" w:sz="0" w:space="0" w:color="auto"/>
                <w:bottom w:val="none" w:sz="0" w:space="0" w:color="auto"/>
                <w:right w:val="none" w:sz="0" w:space="0" w:color="auto"/>
              </w:divBdr>
              <w:divsChild>
                <w:div w:id="1445076458">
                  <w:marLeft w:val="0"/>
                  <w:marRight w:val="0"/>
                  <w:marTop w:val="0"/>
                  <w:marBottom w:val="0"/>
                  <w:divBdr>
                    <w:top w:val="none" w:sz="0" w:space="0" w:color="auto"/>
                    <w:left w:val="none" w:sz="0" w:space="0" w:color="auto"/>
                    <w:bottom w:val="none" w:sz="0" w:space="0" w:color="auto"/>
                    <w:right w:val="none" w:sz="0" w:space="0" w:color="auto"/>
                  </w:divBdr>
                </w:div>
              </w:divsChild>
            </w:div>
            <w:div w:id="1474444550">
              <w:marLeft w:val="0"/>
              <w:marRight w:val="0"/>
              <w:marTop w:val="0"/>
              <w:marBottom w:val="80"/>
              <w:divBdr>
                <w:top w:val="none" w:sz="0" w:space="0" w:color="auto"/>
                <w:left w:val="none" w:sz="0" w:space="0" w:color="auto"/>
                <w:bottom w:val="none" w:sz="0" w:space="0" w:color="auto"/>
                <w:right w:val="none" w:sz="0" w:space="0" w:color="auto"/>
              </w:divBdr>
            </w:div>
            <w:div w:id="1891961705">
              <w:marLeft w:val="480"/>
              <w:marRight w:val="0"/>
              <w:marTop w:val="0"/>
              <w:marBottom w:val="80"/>
              <w:divBdr>
                <w:top w:val="none" w:sz="0" w:space="0" w:color="auto"/>
                <w:left w:val="none" w:sz="0" w:space="0" w:color="auto"/>
                <w:bottom w:val="none" w:sz="0" w:space="0" w:color="auto"/>
                <w:right w:val="none" w:sz="0" w:space="0" w:color="auto"/>
              </w:divBdr>
              <w:divsChild>
                <w:div w:id="9061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7807">
          <w:marLeft w:val="480"/>
          <w:marRight w:val="0"/>
          <w:marTop w:val="0"/>
          <w:marBottom w:val="80"/>
          <w:divBdr>
            <w:top w:val="none" w:sz="0" w:space="0" w:color="auto"/>
            <w:left w:val="none" w:sz="0" w:space="0" w:color="auto"/>
            <w:bottom w:val="none" w:sz="0" w:space="0" w:color="auto"/>
            <w:right w:val="none" w:sz="0" w:space="0" w:color="auto"/>
          </w:divBdr>
          <w:divsChild>
            <w:div w:id="1248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19">
      <w:bodyDiv w:val="1"/>
      <w:marLeft w:val="0"/>
      <w:marRight w:val="0"/>
      <w:marTop w:val="0"/>
      <w:marBottom w:val="0"/>
      <w:divBdr>
        <w:top w:val="none" w:sz="0" w:space="0" w:color="auto"/>
        <w:left w:val="none" w:sz="0" w:space="0" w:color="auto"/>
        <w:bottom w:val="none" w:sz="0" w:space="0" w:color="auto"/>
        <w:right w:val="none" w:sz="0" w:space="0" w:color="auto"/>
      </w:divBdr>
      <w:divsChild>
        <w:div w:id="6104447">
          <w:marLeft w:val="480"/>
          <w:marRight w:val="0"/>
          <w:marTop w:val="0"/>
          <w:marBottom w:val="80"/>
          <w:divBdr>
            <w:top w:val="none" w:sz="0" w:space="0" w:color="auto"/>
            <w:left w:val="none" w:sz="0" w:space="0" w:color="auto"/>
            <w:bottom w:val="none" w:sz="0" w:space="0" w:color="auto"/>
            <w:right w:val="none" w:sz="0" w:space="0" w:color="auto"/>
          </w:divBdr>
          <w:divsChild>
            <w:div w:id="512187967">
              <w:marLeft w:val="0"/>
              <w:marRight w:val="0"/>
              <w:marTop w:val="0"/>
              <w:marBottom w:val="80"/>
              <w:divBdr>
                <w:top w:val="none" w:sz="0" w:space="0" w:color="auto"/>
                <w:left w:val="none" w:sz="0" w:space="0" w:color="auto"/>
                <w:bottom w:val="none" w:sz="0" w:space="0" w:color="auto"/>
                <w:right w:val="none" w:sz="0" w:space="0" w:color="auto"/>
              </w:divBdr>
            </w:div>
            <w:div w:id="1237058210">
              <w:marLeft w:val="0"/>
              <w:marRight w:val="0"/>
              <w:marTop w:val="0"/>
              <w:marBottom w:val="0"/>
              <w:divBdr>
                <w:top w:val="none" w:sz="0" w:space="0" w:color="auto"/>
                <w:left w:val="none" w:sz="0" w:space="0" w:color="auto"/>
                <w:bottom w:val="none" w:sz="0" w:space="0" w:color="auto"/>
                <w:right w:val="none" w:sz="0" w:space="0" w:color="auto"/>
              </w:divBdr>
            </w:div>
          </w:divsChild>
        </w:div>
        <w:div w:id="705566898">
          <w:marLeft w:val="480"/>
          <w:marRight w:val="0"/>
          <w:marTop w:val="0"/>
          <w:marBottom w:val="80"/>
          <w:divBdr>
            <w:top w:val="none" w:sz="0" w:space="0" w:color="auto"/>
            <w:left w:val="none" w:sz="0" w:space="0" w:color="auto"/>
            <w:bottom w:val="none" w:sz="0" w:space="0" w:color="auto"/>
            <w:right w:val="none" w:sz="0" w:space="0" w:color="auto"/>
          </w:divBdr>
          <w:divsChild>
            <w:div w:id="779616494">
              <w:marLeft w:val="0"/>
              <w:marRight w:val="0"/>
              <w:marTop w:val="0"/>
              <w:marBottom w:val="80"/>
              <w:divBdr>
                <w:top w:val="none" w:sz="0" w:space="0" w:color="auto"/>
                <w:left w:val="none" w:sz="0" w:space="0" w:color="auto"/>
                <w:bottom w:val="none" w:sz="0" w:space="0" w:color="auto"/>
                <w:right w:val="none" w:sz="0" w:space="0" w:color="auto"/>
              </w:divBdr>
            </w:div>
            <w:div w:id="1581401834">
              <w:marLeft w:val="480"/>
              <w:marRight w:val="0"/>
              <w:marTop w:val="0"/>
              <w:marBottom w:val="80"/>
              <w:divBdr>
                <w:top w:val="none" w:sz="0" w:space="0" w:color="auto"/>
                <w:left w:val="none" w:sz="0" w:space="0" w:color="auto"/>
                <w:bottom w:val="none" w:sz="0" w:space="0" w:color="auto"/>
                <w:right w:val="none" w:sz="0" w:space="0" w:color="auto"/>
              </w:divBdr>
              <w:divsChild>
                <w:div w:id="1544438381">
                  <w:marLeft w:val="0"/>
                  <w:marRight w:val="0"/>
                  <w:marTop w:val="0"/>
                  <w:marBottom w:val="0"/>
                  <w:divBdr>
                    <w:top w:val="none" w:sz="0" w:space="0" w:color="auto"/>
                    <w:left w:val="none" w:sz="0" w:space="0" w:color="auto"/>
                    <w:bottom w:val="none" w:sz="0" w:space="0" w:color="auto"/>
                    <w:right w:val="none" w:sz="0" w:space="0" w:color="auto"/>
                  </w:divBdr>
                </w:div>
              </w:divsChild>
            </w:div>
            <w:div w:id="1614703522">
              <w:marLeft w:val="0"/>
              <w:marRight w:val="0"/>
              <w:marTop w:val="0"/>
              <w:marBottom w:val="80"/>
              <w:divBdr>
                <w:top w:val="none" w:sz="0" w:space="0" w:color="auto"/>
                <w:left w:val="none" w:sz="0" w:space="0" w:color="auto"/>
                <w:bottom w:val="none" w:sz="0" w:space="0" w:color="auto"/>
                <w:right w:val="none" w:sz="0" w:space="0" w:color="auto"/>
              </w:divBdr>
            </w:div>
            <w:div w:id="1810394097">
              <w:marLeft w:val="480"/>
              <w:marRight w:val="0"/>
              <w:marTop w:val="0"/>
              <w:marBottom w:val="80"/>
              <w:divBdr>
                <w:top w:val="none" w:sz="0" w:space="0" w:color="auto"/>
                <w:left w:val="none" w:sz="0" w:space="0" w:color="auto"/>
                <w:bottom w:val="none" w:sz="0" w:space="0" w:color="auto"/>
                <w:right w:val="none" w:sz="0" w:space="0" w:color="auto"/>
              </w:divBdr>
              <w:divsChild>
                <w:div w:id="482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8649">
          <w:marLeft w:val="480"/>
          <w:marRight w:val="0"/>
          <w:marTop w:val="0"/>
          <w:marBottom w:val="80"/>
          <w:divBdr>
            <w:top w:val="none" w:sz="0" w:space="0" w:color="auto"/>
            <w:left w:val="none" w:sz="0" w:space="0" w:color="auto"/>
            <w:bottom w:val="none" w:sz="0" w:space="0" w:color="auto"/>
            <w:right w:val="none" w:sz="0" w:space="0" w:color="auto"/>
          </w:divBdr>
          <w:divsChild>
            <w:div w:id="1630476508">
              <w:marLeft w:val="0"/>
              <w:marRight w:val="0"/>
              <w:marTop w:val="0"/>
              <w:marBottom w:val="0"/>
              <w:divBdr>
                <w:top w:val="none" w:sz="0" w:space="0" w:color="auto"/>
                <w:left w:val="none" w:sz="0" w:space="0" w:color="auto"/>
                <w:bottom w:val="none" w:sz="0" w:space="0" w:color="auto"/>
                <w:right w:val="none" w:sz="0" w:space="0" w:color="auto"/>
              </w:divBdr>
            </w:div>
          </w:divsChild>
        </w:div>
        <w:div w:id="1393430130">
          <w:marLeft w:val="480"/>
          <w:marRight w:val="0"/>
          <w:marTop w:val="0"/>
          <w:marBottom w:val="80"/>
          <w:divBdr>
            <w:top w:val="none" w:sz="0" w:space="0" w:color="auto"/>
            <w:left w:val="none" w:sz="0" w:space="0" w:color="auto"/>
            <w:bottom w:val="none" w:sz="0" w:space="0" w:color="auto"/>
            <w:right w:val="none" w:sz="0" w:space="0" w:color="auto"/>
          </w:divBdr>
          <w:divsChild>
            <w:div w:id="531580108">
              <w:marLeft w:val="0"/>
              <w:marRight w:val="0"/>
              <w:marTop w:val="0"/>
              <w:marBottom w:val="0"/>
              <w:divBdr>
                <w:top w:val="none" w:sz="0" w:space="0" w:color="auto"/>
                <w:left w:val="none" w:sz="0" w:space="0" w:color="auto"/>
                <w:bottom w:val="none" w:sz="0" w:space="0" w:color="auto"/>
                <w:right w:val="none" w:sz="0" w:space="0" w:color="auto"/>
              </w:divBdr>
            </w:div>
          </w:divsChild>
        </w:div>
        <w:div w:id="1508596813">
          <w:marLeft w:val="480"/>
          <w:marRight w:val="0"/>
          <w:marTop w:val="0"/>
          <w:marBottom w:val="0"/>
          <w:divBdr>
            <w:top w:val="none" w:sz="0" w:space="0" w:color="auto"/>
            <w:left w:val="none" w:sz="0" w:space="0" w:color="auto"/>
            <w:bottom w:val="none" w:sz="0" w:space="0" w:color="auto"/>
            <w:right w:val="none" w:sz="0" w:space="0" w:color="auto"/>
          </w:divBdr>
          <w:divsChild>
            <w:div w:id="1181237762">
              <w:marLeft w:val="0"/>
              <w:marRight w:val="0"/>
              <w:marTop w:val="0"/>
              <w:marBottom w:val="0"/>
              <w:divBdr>
                <w:top w:val="none" w:sz="0" w:space="0" w:color="auto"/>
                <w:left w:val="none" w:sz="0" w:space="0" w:color="auto"/>
                <w:bottom w:val="none" w:sz="0" w:space="0" w:color="auto"/>
                <w:right w:val="none" w:sz="0" w:space="0" w:color="auto"/>
              </w:divBdr>
            </w:div>
          </w:divsChild>
        </w:div>
        <w:div w:id="2039814135">
          <w:marLeft w:val="480"/>
          <w:marRight w:val="0"/>
          <w:marTop w:val="0"/>
          <w:marBottom w:val="80"/>
          <w:divBdr>
            <w:top w:val="none" w:sz="0" w:space="0" w:color="auto"/>
            <w:left w:val="none" w:sz="0" w:space="0" w:color="auto"/>
            <w:bottom w:val="none" w:sz="0" w:space="0" w:color="auto"/>
            <w:right w:val="none" w:sz="0" w:space="0" w:color="auto"/>
          </w:divBdr>
          <w:divsChild>
            <w:div w:id="210070942">
              <w:marLeft w:val="0"/>
              <w:marRight w:val="0"/>
              <w:marTop w:val="0"/>
              <w:marBottom w:val="80"/>
              <w:divBdr>
                <w:top w:val="none" w:sz="0" w:space="0" w:color="auto"/>
                <w:left w:val="none" w:sz="0" w:space="0" w:color="auto"/>
                <w:bottom w:val="none" w:sz="0" w:space="0" w:color="auto"/>
                <w:right w:val="none" w:sz="0" w:space="0" w:color="auto"/>
              </w:divBdr>
            </w:div>
            <w:div w:id="257175414">
              <w:marLeft w:val="480"/>
              <w:marRight w:val="0"/>
              <w:marTop w:val="0"/>
              <w:marBottom w:val="80"/>
              <w:divBdr>
                <w:top w:val="none" w:sz="0" w:space="0" w:color="auto"/>
                <w:left w:val="none" w:sz="0" w:space="0" w:color="auto"/>
                <w:bottom w:val="none" w:sz="0" w:space="0" w:color="auto"/>
                <w:right w:val="none" w:sz="0" w:space="0" w:color="auto"/>
              </w:divBdr>
              <w:divsChild>
                <w:div w:id="951521191">
                  <w:marLeft w:val="0"/>
                  <w:marRight w:val="0"/>
                  <w:marTop w:val="0"/>
                  <w:marBottom w:val="0"/>
                  <w:divBdr>
                    <w:top w:val="none" w:sz="0" w:space="0" w:color="auto"/>
                    <w:left w:val="none" w:sz="0" w:space="0" w:color="auto"/>
                    <w:bottom w:val="none" w:sz="0" w:space="0" w:color="auto"/>
                    <w:right w:val="none" w:sz="0" w:space="0" w:color="auto"/>
                  </w:divBdr>
                </w:div>
              </w:divsChild>
            </w:div>
            <w:div w:id="1056441155">
              <w:marLeft w:val="480"/>
              <w:marRight w:val="0"/>
              <w:marTop w:val="0"/>
              <w:marBottom w:val="80"/>
              <w:divBdr>
                <w:top w:val="none" w:sz="0" w:space="0" w:color="auto"/>
                <w:left w:val="none" w:sz="0" w:space="0" w:color="auto"/>
                <w:bottom w:val="none" w:sz="0" w:space="0" w:color="auto"/>
                <w:right w:val="none" w:sz="0" w:space="0" w:color="auto"/>
              </w:divBdr>
              <w:divsChild>
                <w:div w:id="871259981">
                  <w:marLeft w:val="0"/>
                  <w:marRight w:val="0"/>
                  <w:marTop w:val="0"/>
                  <w:marBottom w:val="0"/>
                  <w:divBdr>
                    <w:top w:val="none" w:sz="0" w:space="0" w:color="auto"/>
                    <w:left w:val="none" w:sz="0" w:space="0" w:color="auto"/>
                    <w:bottom w:val="none" w:sz="0" w:space="0" w:color="auto"/>
                    <w:right w:val="none" w:sz="0" w:space="0" w:color="auto"/>
                  </w:divBdr>
                </w:div>
              </w:divsChild>
            </w:div>
            <w:div w:id="1327704214">
              <w:marLeft w:val="480"/>
              <w:marRight w:val="0"/>
              <w:marTop w:val="0"/>
              <w:marBottom w:val="80"/>
              <w:divBdr>
                <w:top w:val="none" w:sz="0" w:space="0" w:color="auto"/>
                <w:left w:val="none" w:sz="0" w:space="0" w:color="auto"/>
                <w:bottom w:val="none" w:sz="0" w:space="0" w:color="auto"/>
                <w:right w:val="none" w:sz="0" w:space="0" w:color="auto"/>
              </w:divBdr>
              <w:divsChild>
                <w:div w:id="269094755">
                  <w:marLeft w:val="480"/>
                  <w:marRight w:val="0"/>
                  <w:marTop w:val="0"/>
                  <w:marBottom w:val="0"/>
                  <w:divBdr>
                    <w:top w:val="none" w:sz="0" w:space="0" w:color="auto"/>
                    <w:left w:val="none" w:sz="0" w:space="0" w:color="auto"/>
                    <w:bottom w:val="none" w:sz="0" w:space="0" w:color="auto"/>
                    <w:right w:val="none" w:sz="0" w:space="0" w:color="auto"/>
                  </w:divBdr>
                  <w:divsChild>
                    <w:div w:id="120803824">
                      <w:marLeft w:val="0"/>
                      <w:marRight w:val="0"/>
                      <w:marTop w:val="0"/>
                      <w:marBottom w:val="0"/>
                      <w:divBdr>
                        <w:top w:val="none" w:sz="0" w:space="0" w:color="auto"/>
                        <w:left w:val="none" w:sz="0" w:space="0" w:color="auto"/>
                        <w:bottom w:val="none" w:sz="0" w:space="0" w:color="auto"/>
                        <w:right w:val="none" w:sz="0" w:space="0" w:color="auto"/>
                      </w:divBdr>
                    </w:div>
                  </w:divsChild>
                </w:div>
                <w:div w:id="1315141029">
                  <w:marLeft w:val="0"/>
                  <w:marRight w:val="0"/>
                  <w:marTop w:val="0"/>
                  <w:marBottom w:val="80"/>
                  <w:divBdr>
                    <w:top w:val="none" w:sz="0" w:space="0" w:color="auto"/>
                    <w:left w:val="none" w:sz="0" w:space="0" w:color="auto"/>
                    <w:bottom w:val="none" w:sz="0" w:space="0" w:color="auto"/>
                    <w:right w:val="none" w:sz="0" w:space="0" w:color="auto"/>
                  </w:divBdr>
                </w:div>
                <w:div w:id="1407070972">
                  <w:marLeft w:val="480"/>
                  <w:marRight w:val="0"/>
                  <w:marTop w:val="0"/>
                  <w:marBottom w:val="80"/>
                  <w:divBdr>
                    <w:top w:val="none" w:sz="0" w:space="0" w:color="auto"/>
                    <w:left w:val="none" w:sz="0" w:space="0" w:color="auto"/>
                    <w:bottom w:val="none" w:sz="0" w:space="0" w:color="auto"/>
                    <w:right w:val="none" w:sz="0" w:space="0" w:color="auto"/>
                  </w:divBdr>
                  <w:divsChild>
                    <w:div w:id="18240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79">
              <w:marLeft w:val="0"/>
              <w:marRight w:val="0"/>
              <w:marTop w:val="0"/>
              <w:marBottom w:val="80"/>
              <w:divBdr>
                <w:top w:val="none" w:sz="0" w:space="0" w:color="auto"/>
                <w:left w:val="none" w:sz="0" w:space="0" w:color="auto"/>
                <w:bottom w:val="none" w:sz="0" w:space="0" w:color="auto"/>
                <w:right w:val="none" w:sz="0" w:space="0" w:color="auto"/>
              </w:divBdr>
            </w:div>
          </w:divsChild>
        </w:div>
      </w:divsChild>
    </w:div>
    <w:div w:id="1026710297">
      <w:bodyDiv w:val="1"/>
      <w:marLeft w:val="0"/>
      <w:marRight w:val="0"/>
      <w:marTop w:val="0"/>
      <w:marBottom w:val="0"/>
      <w:divBdr>
        <w:top w:val="none" w:sz="0" w:space="0" w:color="auto"/>
        <w:left w:val="none" w:sz="0" w:space="0" w:color="auto"/>
        <w:bottom w:val="none" w:sz="0" w:space="0" w:color="auto"/>
        <w:right w:val="none" w:sz="0" w:space="0" w:color="auto"/>
      </w:divBdr>
      <w:divsChild>
        <w:div w:id="399064950">
          <w:marLeft w:val="480"/>
          <w:marRight w:val="0"/>
          <w:marTop w:val="0"/>
          <w:marBottom w:val="80"/>
          <w:divBdr>
            <w:top w:val="none" w:sz="0" w:space="0" w:color="auto"/>
            <w:left w:val="none" w:sz="0" w:space="0" w:color="auto"/>
            <w:bottom w:val="none" w:sz="0" w:space="0" w:color="auto"/>
            <w:right w:val="none" w:sz="0" w:space="0" w:color="auto"/>
          </w:divBdr>
          <w:divsChild>
            <w:div w:id="633368920">
              <w:marLeft w:val="480"/>
              <w:marRight w:val="0"/>
              <w:marTop w:val="0"/>
              <w:marBottom w:val="80"/>
              <w:divBdr>
                <w:top w:val="none" w:sz="0" w:space="0" w:color="auto"/>
                <w:left w:val="none" w:sz="0" w:space="0" w:color="auto"/>
                <w:bottom w:val="none" w:sz="0" w:space="0" w:color="auto"/>
                <w:right w:val="none" w:sz="0" w:space="0" w:color="auto"/>
              </w:divBdr>
              <w:divsChild>
                <w:div w:id="1572348414">
                  <w:marLeft w:val="0"/>
                  <w:marRight w:val="0"/>
                  <w:marTop w:val="0"/>
                  <w:marBottom w:val="0"/>
                  <w:divBdr>
                    <w:top w:val="none" w:sz="0" w:space="0" w:color="auto"/>
                    <w:left w:val="none" w:sz="0" w:space="0" w:color="auto"/>
                    <w:bottom w:val="none" w:sz="0" w:space="0" w:color="auto"/>
                    <w:right w:val="none" w:sz="0" w:space="0" w:color="auto"/>
                  </w:divBdr>
                </w:div>
              </w:divsChild>
            </w:div>
            <w:div w:id="736631126">
              <w:marLeft w:val="0"/>
              <w:marRight w:val="0"/>
              <w:marTop w:val="0"/>
              <w:marBottom w:val="80"/>
              <w:divBdr>
                <w:top w:val="none" w:sz="0" w:space="0" w:color="auto"/>
                <w:left w:val="none" w:sz="0" w:space="0" w:color="auto"/>
                <w:bottom w:val="none" w:sz="0" w:space="0" w:color="auto"/>
                <w:right w:val="none" w:sz="0" w:space="0" w:color="auto"/>
              </w:divBdr>
            </w:div>
            <w:div w:id="1402630753">
              <w:marLeft w:val="480"/>
              <w:marRight w:val="0"/>
              <w:marTop w:val="0"/>
              <w:marBottom w:val="80"/>
              <w:divBdr>
                <w:top w:val="none" w:sz="0" w:space="0" w:color="auto"/>
                <w:left w:val="none" w:sz="0" w:space="0" w:color="auto"/>
                <w:bottom w:val="none" w:sz="0" w:space="0" w:color="auto"/>
                <w:right w:val="none" w:sz="0" w:space="0" w:color="auto"/>
              </w:divBdr>
              <w:divsChild>
                <w:div w:id="1637298999">
                  <w:marLeft w:val="0"/>
                  <w:marRight w:val="0"/>
                  <w:marTop w:val="0"/>
                  <w:marBottom w:val="0"/>
                  <w:divBdr>
                    <w:top w:val="none" w:sz="0" w:space="0" w:color="auto"/>
                    <w:left w:val="none" w:sz="0" w:space="0" w:color="auto"/>
                    <w:bottom w:val="none" w:sz="0" w:space="0" w:color="auto"/>
                    <w:right w:val="none" w:sz="0" w:space="0" w:color="auto"/>
                  </w:divBdr>
                </w:div>
              </w:divsChild>
            </w:div>
            <w:div w:id="1564485931">
              <w:marLeft w:val="0"/>
              <w:marRight w:val="0"/>
              <w:marTop w:val="0"/>
              <w:marBottom w:val="80"/>
              <w:divBdr>
                <w:top w:val="none" w:sz="0" w:space="0" w:color="auto"/>
                <w:left w:val="none" w:sz="0" w:space="0" w:color="auto"/>
                <w:bottom w:val="none" w:sz="0" w:space="0" w:color="auto"/>
                <w:right w:val="none" w:sz="0" w:space="0" w:color="auto"/>
              </w:divBdr>
            </w:div>
            <w:div w:id="1627814922">
              <w:marLeft w:val="480"/>
              <w:marRight w:val="0"/>
              <w:marTop w:val="0"/>
              <w:marBottom w:val="80"/>
              <w:divBdr>
                <w:top w:val="none" w:sz="0" w:space="0" w:color="auto"/>
                <w:left w:val="none" w:sz="0" w:space="0" w:color="auto"/>
                <w:bottom w:val="none" w:sz="0" w:space="0" w:color="auto"/>
                <w:right w:val="none" w:sz="0" w:space="0" w:color="auto"/>
              </w:divBdr>
              <w:divsChild>
                <w:div w:id="6116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9638">
          <w:marLeft w:val="480"/>
          <w:marRight w:val="0"/>
          <w:marTop w:val="0"/>
          <w:marBottom w:val="80"/>
          <w:divBdr>
            <w:top w:val="none" w:sz="0" w:space="0" w:color="auto"/>
            <w:left w:val="none" w:sz="0" w:space="0" w:color="auto"/>
            <w:bottom w:val="none" w:sz="0" w:space="0" w:color="auto"/>
            <w:right w:val="none" w:sz="0" w:space="0" w:color="auto"/>
          </w:divBdr>
          <w:divsChild>
            <w:div w:id="897207842">
              <w:marLeft w:val="0"/>
              <w:marRight w:val="0"/>
              <w:marTop w:val="0"/>
              <w:marBottom w:val="0"/>
              <w:divBdr>
                <w:top w:val="none" w:sz="0" w:space="0" w:color="auto"/>
                <w:left w:val="none" w:sz="0" w:space="0" w:color="auto"/>
                <w:bottom w:val="none" w:sz="0" w:space="0" w:color="auto"/>
                <w:right w:val="none" w:sz="0" w:space="0" w:color="auto"/>
              </w:divBdr>
            </w:div>
          </w:divsChild>
        </w:div>
        <w:div w:id="722681715">
          <w:marLeft w:val="480"/>
          <w:marRight w:val="0"/>
          <w:marTop w:val="0"/>
          <w:marBottom w:val="80"/>
          <w:divBdr>
            <w:top w:val="none" w:sz="0" w:space="0" w:color="auto"/>
            <w:left w:val="none" w:sz="0" w:space="0" w:color="auto"/>
            <w:bottom w:val="none" w:sz="0" w:space="0" w:color="auto"/>
            <w:right w:val="none" w:sz="0" w:space="0" w:color="auto"/>
          </w:divBdr>
          <w:divsChild>
            <w:div w:id="1669481888">
              <w:marLeft w:val="0"/>
              <w:marRight w:val="0"/>
              <w:marTop w:val="0"/>
              <w:marBottom w:val="0"/>
              <w:divBdr>
                <w:top w:val="none" w:sz="0" w:space="0" w:color="auto"/>
                <w:left w:val="none" w:sz="0" w:space="0" w:color="auto"/>
                <w:bottom w:val="none" w:sz="0" w:space="0" w:color="auto"/>
                <w:right w:val="none" w:sz="0" w:space="0" w:color="auto"/>
              </w:divBdr>
            </w:div>
          </w:divsChild>
        </w:div>
        <w:div w:id="798500087">
          <w:marLeft w:val="480"/>
          <w:marRight w:val="0"/>
          <w:marTop w:val="0"/>
          <w:marBottom w:val="80"/>
          <w:divBdr>
            <w:top w:val="none" w:sz="0" w:space="0" w:color="auto"/>
            <w:left w:val="none" w:sz="0" w:space="0" w:color="auto"/>
            <w:bottom w:val="none" w:sz="0" w:space="0" w:color="auto"/>
            <w:right w:val="none" w:sz="0" w:space="0" w:color="auto"/>
          </w:divBdr>
          <w:divsChild>
            <w:div w:id="833959952">
              <w:marLeft w:val="0"/>
              <w:marRight w:val="0"/>
              <w:marTop w:val="0"/>
              <w:marBottom w:val="80"/>
              <w:divBdr>
                <w:top w:val="none" w:sz="0" w:space="0" w:color="auto"/>
                <w:left w:val="none" w:sz="0" w:space="0" w:color="auto"/>
                <w:bottom w:val="none" w:sz="0" w:space="0" w:color="auto"/>
                <w:right w:val="none" w:sz="0" w:space="0" w:color="auto"/>
              </w:divBdr>
            </w:div>
            <w:div w:id="1020929316">
              <w:marLeft w:val="480"/>
              <w:marRight w:val="0"/>
              <w:marTop w:val="0"/>
              <w:marBottom w:val="80"/>
              <w:divBdr>
                <w:top w:val="none" w:sz="0" w:space="0" w:color="auto"/>
                <w:left w:val="none" w:sz="0" w:space="0" w:color="auto"/>
                <w:bottom w:val="none" w:sz="0" w:space="0" w:color="auto"/>
                <w:right w:val="none" w:sz="0" w:space="0" w:color="auto"/>
              </w:divBdr>
              <w:divsChild>
                <w:div w:id="1709141742">
                  <w:marLeft w:val="0"/>
                  <w:marRight w:val="0"/>
                  <w:marTop w:val="0"/>
                  <w:marBottom w:val="0"/>
                  <w:divBdr>
                    <w:top w:val="none" w:sz="0" w:space="0" w:color="auto"/>
                    <w:left w:val="none" w:sz="0" w:space="0" w:color="auto"/>
                    <w:bottom w:val="none" w:sz="0" w:space="0" w:color="auto"/>
                    <w:right w:val="none" w:sz="0" w:space="0" w:color="auto"/>
                  </w:divBdr>
                </w:div>
              </w:divsChild>
            </w:div>
            <w:div w:id="1335259590">
              <w:marLeft w:val="480"/>
              <w:marRight w:val="0"/>
              <w:marTop w:val="0"/>
              <w:marBottom w:val="80"/>
              <w:divBdr>
                <w:top w:val="none" w:sz="0" w:space="0" w:color="auto"/>
                <w:left w:val="none" w:sz="0" w:space="0" w:color="auto"/>
                <w:bottom w:val="none" w:sz="0" w:space="0" w:color="auto"/>
                <w:right w:val="none" w:sz="0" w:space="0" w:color="auto"/>
              </w:divBdr>
              <w:divsChild>
                <w:div w:id="1895777287">
                  <w:marLeft w:val="0"/>
                  <w:marRight w:val="0"/>
                  <w:marTop w:val="0"/>
                  <w:marBottom w:val="0"/>
                  <w:divBdr>
                    <w:top w:val="none" w:sz="0" w:space="0" w:color="auto"/>
                    <w:left w:val="none" w:sz="0" w:space="0" w:color="auto"/>
                    <w:bottom w:val="none" w:sz="0" w:space="0" w:color="auto"/>
                    <w:right w:val="none" w:sz="0" w:space="0" w:color="auto"/>
                  </w:divBdr>
                </w:div>
              </w:divsChild>
            </w:div>
            <w:div w:id="1709722577">
              <w:marLeft w:val="0"/>
              <w:marRight w:val="0"/>
              <w:marTop w:val="0"/>
              <w:marBottom w:val="80"/>
              <w:divBdr>
                <w:top w:val="none" w:sz="0" w:space="0" w:color="auto"/>
                <w:left w:val="none" w:sz="0" w:space="0" w:color="auto"/>
                <w:bottom w:val="none" w:sz="0" w:space="0" w:color="auto"/>
                <w:right w:val="none" w:sz="0" w:space="0" w:color="auto"/>
              </w:divBdr>
            </w:div>
          </w:divsChild>
        </w:div>
        <w:div w:id="968514916">
          <w:marLeft w:val="480"/>
          <w:marRight w:val="0"/>
          <w:marTop w:val="0"/>
          <w:marBottom w:val="80"/>
          <w:divBdr>
            <w:top w:val="none" w:sz="0" w:space="0" w:color="auto"/>
            <w:left w:val="none" w:sz="0" w:space="0" w:color="auto"/>
            <w:bottom w:val="none" w:sz="0" w:space="0" w:color="auto"/>
            <w:right w:val="none" w:sz="0" w:space="0" w:color="auto"/>
          </w:divBdr>
          <w:divsChild>
            <w:div w:id="690498009">
              <w:marLeft w:val="480"/>
              <w:marRight w:val="0"/>
              <w:marTop w:val="0"/>
              <w:marBottom w:val="80"/>
              <w:divBdr>
                <w:top w:val="none" w:sz="0" w:space="0" w:color="auto"/>
                <w:left w:val="none" w:sz="0" w:space="0" w:color="auto"/>
                <w:bottom w:val="none" w:sz="0" w:space="0" w:color="auto"/>
                <w:right w:val="none" w:sz="0" w:space="0" w:color="auto"/>
              </w:divBdr>
              <w:divsChild>
                <w:div w:id="476801279">
                  <w:marLeft w:val="0"/>
                  <w:marRight w:val="0"/>
                  <w:marTop w:val="0"/>
                  <w:marBottom w:val="0"/>
                  <w:divBdr>
                    <w:top w:val="none" w:sz="0" w:space="0" w:color="auto"/>
                    <w:left w:val="none" w:sz="0" w:space="0" w:color="auto"/>
                    <w:bottom w:val="none" w:sz="0" w:space="0" w:color="auto"/>
                    <w:right w:val="none" w:sz="0" w:space="0" w:color="auto"/>
                  </w:divBdr>
                </w:div>
              </w:divsChild>
            </w:div>
            <w:div w:id="990980521">
              <w:marLeft w:val="0"/>
              <w:marRight w:val="0"/>
              <w:marTop w:val="0"/>
              <w:marBottom w:val="80"/>
              <w:divBdr>
                <w:top w:val="none" w:sz="0" w:space="0" w:color="auto"/>
                <w:left w:val="none" w:sz="0" w:space="0" w:color="auto"/>
                <w:bottom w:val="none" w:sz="0" w:space="0" w:color="auto"/>
                <w:right w:val="none" w:sz="0" w:space="0" w:color="auto"/>
              </w:divBdr>
            </w:div>
            <w:div w:id="1009136628">
              <w:marLeft w:val="480"/>
              <w:marRight w:val="0"/>
              <w:marTop w:val="0"/>
              <w:marBottom w:val="80"/>
              <w:divBdr>
                <w:top w:val="none" w:sz="0" w:space="0" w:color="auto"/>
                <w:left w:val="none" w:sz="0" w:space="0" w:color="auto"/>
                <w:bottom w:val="none" w:sz="0" w:space="0" w:color="auto"/>
                <w:right w:val="none" w:sz="0" w:space="0" w:color="auto"/>
              </w:divBdr>
              <w:divsChild>
                <w:div w:id="226645999">
                  <w:marLeft w:val="0"/>
                  <w:marRight w:val="0"/>
                  <w:marTop w:val="0"/>
                  <w:marBottom w:val="80"/>
                  <w:divBdr>
                    <w:top w:val="none" w:sz="0" w:space="0" w:color="auto"/>
                    <w:left w:val="none" w:sz="0" w:space="0" w:color="auto"/>
                    <w:bottom w:val="none" w:sz="0" w:space="0" w:color="auto"/>
                    <w:right w:val="none" w:sz="0" w:space="0" w:color="auto"/>
                  </w:divBdr>
                </w:div>
                <w:div w:id="1531146670">
                  <w:marLeft w:val="480"/>
                  <w:marRight w:val="0"/>
                  <w:marTop w:val="0"/>
                  <w:marBottom w:val="0"/>
                  <w:divBdr>
                    <w:top w:val="none" w:sz="0" w:space="0" w:color="auto"/>
                    <w:left w:val="none" w:sz="0" w:space="0" w:color="auto"/>
                    <w:bottom w:val="none" w:sz="0" w:space="0" w:color="auto"/>
                    <w:right w:val="none" w:sz="0" w:space="0" w:color="auto"/>
                  </w:divBdr>
                  <w:divsChild>
                    <w:div w:id="1138256829">
                      <w:marLeft w:val="0"/>
                      <w:marRight w:val="0"/>
                      <w:marTop w:val="0"/>
                      <w:marBottom w:val="0"/>
                      <w:divBdr>
                        <w:top w:val="none" w:sz="0" w:space="0" w:color="auto"/>
                        <w:left w:val="none" w:sz="0" w:space="0" w:color="auto"/>
                        <w:bottom w:val="none" w:sz="0" w:space="0" w:color="auto"/>
                        <w:right w:val="none" w:sz="0" w:space="0" w:color="auto"/>
                      </w:divBdr>
                    </w:div>
                  </w:divsChild>
                </w:div>
                <w:div w:id="1976837324">
                  <w:marLeft w:val="480"/>
                  <w:marRight w:val="0"/>
                  <w:marTop w:val="0"/>
                  <w:marBottom w:val="80"/>
                  <w:divBdr>
                    <w:top w:val="none" w:sz="0" w:space="0" w:color="auto"/>
                    <w:left w:val="none" w:sz="0" w:space="0" w:color="auto"/>
                    <w:bottom w:val="none" w:sz="0" w:space="0" w:color="auto"/>
                    <w:right w:val="none" w:sz="0" w:space="0" w:color="auto"/>
                  </w:divBdr>
                  <w:divsChild>
                    <w:div w:id="4214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326">
              <w:marLeft w:val="480"/>
              <w:marRight w:val="0"/>
              <w:marTop w:val="0"/>
              <w:marBottom w:val="80"/>
              <w:divBdr>
                <w:top w:val="none" w:sz="0" w:space="0" w:color="auto"/>
                <w:left w:val="none" w:sz="0" w:space="0" w:color="auto"/>
                <w:bottom w:val="none" w:sz="0" w:space="0" w:color="auto"/>
                <w:right w:val="none" w:sz="0" w:space="0" w:color="auto"/>
              </w:divBdr>
              <w:divsChild>
                <w:div w:id="1821968089">
                  <w:marLeft w:val="0"/>
                  <w:marRight w:val="0"/>
                  <w:marTop w:val="0"/>
                  <w:marBottom w:val="0"/>
                  <w:divBdr>
                    <w:top w:val="none" w:sz="0" w:space="0" w:color="auto"/>
                    <w:left w:val="none" w:sz="0" w:space="0" w:color="auto"/>
                    <w:bottom w:val="none" w:sz="0" w:space="0" w:color="auto"/>
                    <w:right w:val="none" w:sz="0" w:space="0" w:color="auto"/>
                  </w:divBdr>
                </w:div>
              </w:divsChild>
            </w:div>
            <w:div w:id="1672223285">
              <w:marLeft w:val="0"/>
              <w:marRight w:val="0"/>
              <w:marTop w:val="0"/>
              <w:marBottom w:val="80"/>
              <w:divBdr>
                <w:top w:val="none" w:sz="0" w:space="0" w:color="auto"/>
                <w:left w:val="none" w:sz="0" w:space="0" w:color="auto"/>
                <w:bottom w:val="none" w:sz="0" w:space="0" w:color="auto"/>
                <w:right w:val="none" w:sz="0" w:space="0" w:color="auto"/>
              </w:divBdr>
            </w:div>
          </w:divsChild>
        </w:div>
        <w:div w:id="976111423">
          <w:marLeft w:val="480"/>
          <w:marRight w:val="0"/>
          <w:marTop w:val="0"/>
          <w:marBottom w:val="80"/>
          <w:divBdr>
            <w:top w:val="none" w:sz="0" w:space="0" w:color="auto"/>
            <w:left w:val="none" w:sz="0" w:space="0" w:color="auto"/>
            <w:bottom w:val="none" w:sz="0" w:space="0" w:color="auto"/>
            <w:right w:val="none" w:sz="0" w:space="0" w:color="auto"/>
          </w:divBdr>
          <w:divsChild>
            <w:div w:id="1551770668">
              <w:marLeft w:val="0"/>
              <w:marRight w:val="0"/>
              <w:marTop w:val="0"/>
              <w:marBottom w:val="0"/>
              <w:divBdr>
                <w:top w:val="none" w:sz="0" w:space="0" w:color="auto"/>
                <w:left w:val="none" w:sz="0" w:space="0" w:color="auto"/>
                <w:bottom w:val="none" w:sz="0" w:space="0" w:color="auto"/>
                <w:right w:val="none" w:sz="0" w:space="0" w:color="auto"/>
              </w:divBdr>
              <w:divsChild>
                <w:div w:id="61566392">
                  <w:marLeft w:val="480"/>
                  <w:marRight w:val="0"/>
                  <w:marTop w:val="0"/>
                  <w:marBottom w:val="0"/>
                  <w:divBdr>
                    <w:top w:val="none" w:sz="0" w:space="0" w:color="auto"/>
                    <w:left w:val="none" w:sz="0" w:space="0" w:color="auto"/>
                    <w:bottom w:val="none" w:sz="0" w:space="0" w:color="auto"/>
                    <w:right w:val="none" w:sz="0" w:space="0" w:color="auto"/>
                  </w:divBdr>
                  <w:divsChild>
                    <w:div w:id="1097024663">
                      <w:marLeft w:val="0"/>
                      <w:marRight w:val="0"/>
                      <w:marTop w:val="0"/>
                      <w:marBottom w:val="0"/>
                      <w:divBdr>
                        <w:top w:val="none" w:sz="0" w:space="0" w:color="auto"/>
                        <w:left w:val="none" w:sz="0" w:space="0" w:color="auto"/>
                        <w:bottom w:val="none" w:sz="0" w:space="0" w:color="auto"/>
                        <w:right w:val="none" w:sz="0" w:space="0" w:color="auto"/>
                      </w:divBdr>
                    </w:div>
                  </w:divsChild>
                </w:div>
                <w:div w:id="812213169">
                  <w:marLeft w:val="0"/>
                  <w:marRight w:val="0"/>
                  <w:marTop w:val="0"/>
                  <w:marBottom w:val="80"/>
                  <w:divBdr>
                    <w:top w:val="none" w:sz="0" w:space="0" w:color="auto"/>
                    <w:left w:val="none" w:sz="0" w:space="0" w:color="auto"/>
                    <w:bottom w:val="none" w:sz="0" w:space="0" w:color="auto"/>
                    <w:right w:val="none" w:sz="0" w:space="0" w:color="auto"/>
                  </w:divBdr>
                </w:div>
                <w:div w:id="1315528389">
                  <w:marLeft w:val="480"/>
                  <w:marRight w:val="0"/>
                  <w:marTop w:val="0"/>
                  <w:marBottom w:val="80"/>
                  <w:divBdr>
                    <w:top w:val="none" w:sz="0" w:space="0" w:color="auto"/>
                    <w:left w:val="none" w:sz="0" w:space="0" w:color="auto"/>
                    <w:bottom w:val="none" w:sz="0" w:space="0" w:color="auto"/>
                    <w:right w:val="none" w:sz="0" w:space="0" w:color="auto"/>
                  </w:divBdr>
                  <w:divsChild>
                    <w:div w:id="4571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8">
              <w:marLeft w:val="0"/>
              <w:marRight w:val="0"/>
              <w:marTop w:val="0"/>
              <w:marBottom w:val="80"/>
              <w:divBdr>
                <w:top w:val="none" w:sz="0" w:space="0" w:color="auto"/>
                <w:left w:val="none" w:sz="0" w:space="0" w:color="auto"/>
                <w:bottom w:val="none" w:sz="0" w:space="0" w:color="auto"/>
                <w:right w:val="none" w:sz="0" w:space="0" w:color="auto"/>
              </w:divBdr>
            </w:div>
          </w:divsChild>
        </w:div>
        <w:div w:id="1006052478">
          <w:marLeft w:val="480"/>
          <w:marRight w:val="0"/>
          <w:marTop w:val="0"/>
          <w:marBottom w:val="80"/>
          <w:divBdr>
            <w:top w:val="none" w:sz="0" w:space="0" w:color="auto"/>
            <w:left w:val="none" w:sz="0" w:space="0" w:color="auto"/>
            <w:bottom w:val="none" w:sz="0" w:space="0" w:color="auto"/>
            <w:right w:val="none" w:sz="0" w:space="0" w:color="auto"/>
          </w:divBdr>
          <w:divsChild>
            <w:div w:id="712459364">
              <w:marLeft w:val="0"/>
              <w:marRight w:val="0"/>
              <w:marTop w:val="0"/>
              <w:marBottom w:val="0"/>
              <w:divBdr>
                <w:top w:val="none" w:sz="0" w:space="0" w:color="auto"/>
                <w:left w:val="none" w:sz="0" w:space="0" w:color="auto"/>
                <w:bottom w:val="none" w:sz="0" w:space="0" w:color="auto"/>
                <w:right w:val="none" w:sz="0" w:space="0" w:color="auto"/>
              </w:divBdr>
            </w:div>
          </w:divsChild>
        </w:div>
        <w:div w:id="1456832186">
          <w:marLeft w:val="480"/>
          <w:marRight w:val="0"/>
          <w:marTop w:val="0"/>
          <w:marBottom w:val="80"/>
          <w:divBdr>
            <w:top w:val="none" w:sz="0" w:space="0" w:color="auto"/>
            <w:left w:val="none" w:sz="0" w:space="0" w:color="auto"/>
            <w:bottom w:val="none" w:sz="0" w:space="0" w:color="auto"/>
            <w:right w:val="none" w:sz="0" w:space="0" w:color="auto"/>
          </w:divBdr>
          <w:divsChild>
            <w:div w:id="247887556">
              <w:marLeft w:val="480"/>
              <w:marRight w:val="0"/>
              <w:marTop w:val="0"/>
              <w:marBottom w:val="80"/>
              <w:divBdr>
                <w:top w:val="none" w:sz="0" w:space="0" w:color="auto"/>
                <w:left w:val="none" w:sz="0" w:space="0" w:color="auto"/>
                <w:bottom w:val="none" w:sz="0" w:space="0" w:color="auto"/>
                <w:right w:val="none" w:sz="0" w:space="0" w:color="auto"/>
              </w:divBdr>
              <w:divsChild>
                <w:div w:id="28336378">
                  <w:marLeft w:val="0"/>
                  <w:marRight w:val="0"/>
                  <w:marTop w:val="0"/>
                  <w:marBottom w:val="0"/>
                  <w:divBdr>
                    <w:top w:val="none" w:sz="0" w:space="0" w:color="auto"/>
                    <w:left w:val="none" w:sz="0" w:space="0" w:color="auto"/>
                    <w:bottom w:val="none" w:sz="0" w:space="0" w:color="auto"/>
                    <w:right w:val="none" w:sz="0" w:space="0" w:color="auto"/>
                  </w:divBdr>
                </w:div>
              </w:divsChild>
            </w:div>
            <w:div w:id="319507175">
              <w:marLeft w:val="480"/>
              <w:marRight w:val="0"/>
              <w:marTop w:val="0"/>
              <w:marBottom w:val="80"/>
              <w:divBdr>
                <w:top w:val="none" w:sz="0" w:space="0" w:color="auto"/>
                <w:left w:val="none" w:sz="0" w:space="0" w:color="auto"/>
                <w:bottom w:val="none" w:sz="0" w:space="0" w:color="auto"/>
                <w:right w:val="none" w:sz="0" w:space="0" w:color="auto"/>
              </w:divBdr>
              <w:divsChild>
                <w:div w:id="2061896528">
                  <w:marLeft w:val="0"/>
                  <w:marRight w:val="0"/>
                  <w:marTop w:val="0"/>
                  <w:marBottom w:val="0"/>
                  <w:divBdr>
                    <w:top w:val="none" w:sz="0" w:space="0" w:color="auto"/>
                    <w:left w:val="none" w:sz="0" w:space="0" w:color="auto"/>
                    <w:bottom w:val="none" w:sz="0" w:space="0" w:color="auto"/>
                    <w:right w:val="none" w:sz="0" w:space="0" w:color="auto"/>
                  </w:divBdr>
                </w:div>
              </w:divsChild>
            </w:div>
            <w:div w:id="472912009">
              <w:marLeft w:val="0"/>
              <w:marRight w:val="0"/>
              <w:marTop w:val="0"/>
              <w:marBottom w:val="80"/>
              <w:divBdr>
                <w:top w:val="none" w:sz="0" w:space="0" w:color="auto"/>
                <w:left w:val="none" w:sz="0" w:space="0" w:color="auto"/>
                <w:bottom w:val="none" w:sz="0" w:space="0" w:color="auto"/>
                <w:right w:val="none" w:sz="0" w:space="0" w:color="auto"/>
              </w:divBdr>
            </w:div>
            <w:div w:id="1862624803">
              <w:marLeft w:val="0"/>
              <w:marRight w:val="0"/>
              <w:marTop w:val="0"/>
              <w:marBottom w:val="80"/>
              <w:divBdr>
                <w:top w:val="none" w:sz="0" w:space="0" w:color="auto"/>
                <w:left w:val="none" w:sz="0" w:space="0" w:color="auto"/>
                <w:bottom w:val="none" w:sz="0" w:space="0" w:color="auto"/>
                <w:right w:val="none" w:sz="0" w:space="0" w:color="auto"/>
              </w:divBdr>
            </w:div>
          </w:divsChild>
        </w:div>
        <w:div w:id="2005939235">
          <w:marLeft w:val="480"/>
          <w:marRight w:val="0"/>
          <w:marTop w:val="0"/>
          <w:marBottom w:val="80"/>
          <w:divBdr>
            <w:top w:val="none" w:sz="0" w:space="0" w:color="auto"/>
            <w:left w:val="none" w:sz="0" w:space="0" w:color="auto"/>
            <w:bottom w:val="none" w:sz="0" w:space="0" w:color="auto"/>
            <w:right w:val="none" w:sz="0" w:space="0" w:color="auto"/>
          </w:divBdr>
          <w:divsChild>
            <w:div w:id="278145430">
              <w:marLeft w:val="0"/>
              <w:marRight w:val="0"/>
              <w:marTop w:val="0"/>
              <w:marBottom w:val="80"/>
              <w:divBdr>
                <w:top w:val="none" w:sz="0" w:space="0" w:color="auto"/>
                <w:left w:val="none" w:sz="0" w:space="0" w:color="auto"/>
                <w:bottom w:val="none" w:sz="0" w:space="0" w:color="auto"/>
                <w:right w:val="none" w:sz="0" w:space="0" w:color="auto"/>
              </w:divBdr>
            </w:div>
            <w:div w:id="1154882041">
              <w:marLeft w:val="480"/>
              <w:marRight w:val="0"/>
              <w:marTop w:val="0"/>
              <w:marBottom w:val="80"/>
              <w:divBdr>
                <w:top w:val="none" w:sz="0" w:space="0" w:color="auto"/>
                <w:left w:val="none" w:sz="0" w:space="0" w:color="auto"/>
                <w:bottom w:val="none" w:sz="0" w:space="0" w:color="auto"/>
                <w:right w:val="none" w:sz="0" w:space="0" w:color="auto"/>
              </w:divBdr>
              <w:divsChild>
                <w:div w:id="2037269557">
                  <w:marLeft w:val="0"/>
                  <w:marRight w:val="0"/>
                  <w:marTop w:val="0"/>
                  <w:marBottom w:val="0"/>
                  <w:divBdr>
                    <w:top w:val="none" w:sz="0" w:space="0" w:color="auto"/>
                    <w:left w:val="none" w:sz="0" w:space="0" w:color="auto"/>
                    <w:bottom w:val="none" w:sz="0" w:space="0" w:color="auto"/>
                    <w:right w:val="none" w:sz="0" w:space="0" w:color="auto"/>
                  </w:divBdr>
                </w:div>
              </w:divsChild>
            </w:div>
            <w:div w:id="1743092294">
              <w:marLeft w:val="480"/>
              <w:marRight w:val="0"/>
              <w:marTop w:val="0"/>
              <w:marBottom w:val="0"/>
              <w:divBdr>
                <w:top w:val="none" w:sz="0" w:space="0" w:color="auto"/>
                <w:left w:val="none" w:sz="0" w:space="0" w:color="auto"/>
                <w:bottom w:val="none" w:sz="0" w:space="0" w:color="auto"/>
                <w:right w:val="none" w:sz="0" w:space="0" w:color="auto"/>
              </w:divBdr>
              <w:divsChild>
                <w:div w:id="19215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2857">
      <w:bodyDiv w:val="1"/>
      <w:marLeft w:val="0"/>
      <w:marRight w:val="0"/>
      <w:marTop w:val="0"/>
      <w:marBottom w:val="0"/>
      <w:divBdr>
        <w:top w:val="none" w:sz="0" w:space="0" w:color="auto"/>
        <w:left w:val="none" w:sz="0" w:space="0" w:color="auto"/>
        <w:bottom w:val="none" w:sz="0" w:space="0" w:color="auto"/>
        <w:right w:val="none" w:sz="0" w:space="0" w:color="auto"/>
      </w:divBdr>
      <w:divsChild>
        <w:div w:id="1324818249">
          <w:marLeft w:val="480"/>
          <w:marRight w:val="0"/>
          <w:marTop w:val="0"/>
          <w:marBottom w:val="80"/>
          <w:divBdr>
            <w:top w:val="none" w:sz="0" w:space="0" w:color="auto"/>
            <w:left w:val="none" w:sz="0" w:space="0" w:color="auto"/>
            <w:bottom w:val="none" w:sz="0" w:space="0" w:color="auto"/>
            <w:right w:val="none" w:sz="0" w:space="0" w:color="auto"/>
          </w:divBdr>
          <w:divsChild>
            <w:div w:id="262808362">
              <w:marLeft w:val="0"/>
              <w:marRight w:val="0"/>
              <w:marTop w:val="0"/>
              <w:marBottom w:val="80"/>
              <w:divBdr>
                <w:top w:val="none" w:sz="0" w:space="0" w:color="auto"/>
                <w:left w:val="none" w:sz="0" w:space="0" w:color="auto"/>
                <w:bottom w:val="none" w:sz="0" w:space="0" w:color="auto"/>
                <w:right w:val="none" w:sz="0" w:space="0" w:color="auto"/>
              </w:divBdr>
            </w:div>
            <w:div w:id="1651247882">
              <w:marLeft w:val="480"/>
              <w:marRight w:val="0"/>
              <w:marTop w:val="0"/>
              <w:marBottom w:val="80"/>
              <w:divBdr>
                <w:top w:val="none" w:sz="0" w:space="0" w:color="auto"/>
                <w:left w:val="none" w:sz="0" w:space="0" w:color="auto"/>
                <w:bottom w:val="none" w:sz="0" w:space="0" w:color="auto"/>
                <w:right w:val="none" w:sz="0" w:space="0" w:color="auto"/>
              </w:divBdr>
              <w:divsChild>
                <w:div w:id="519053143">
                  <w:marLeft w:val="0"/>
                  <w:marRight w:val="0"/>
                  <w:marTop w:val="0"/>
                  <w:marBottom w:val="0"/>
                  <w:divBdr>
                    <w:top w:val="none" w:sz="0" w:space="0" w:color="auto"/>
                    <w:left w:val="none" w:sz="0" w:space="0" w:color="auto"/>
                    <w:bottom w:val="none" w:sz="0" w:space="0" w:color="auto"/>
                    <w:right w:val="none" w:sz="0" w:space="0" w:color="auto"/>
                  </w:divBdr>
                </w:div>
              </w:divsChild>
            </w:div>
            <w:div w:id="1737243300">
              <w:marLeft w:val="480"/>
              <w:marRight w:val="0"/>
              <w:marTop w:val="0"/>
              <w:marBottom w:val="0"/>
              <w:divBdr>
                <w:top w:val="none" w:sz="0" w:space="0" w:color="auto"/>
                <w:left w:val="none" w:sz="0" w:space="0" w:color="auto"/>
                <w:bottom w:val="none" w:sz="0" w:space="0" w:color="auto"/>
                <w:right w:val="none" w:sz="0" w:space="0" w:color="auto"/>
              </w:divBdr>
              <w:divsChild>
                <w:div w:id="20654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5178">
          <w:marLeft w:val="480"/>
          <w:marRight w:val="0"/>
          <w:marTop w:val="0"/>
          <w:marBottom w:val="80"/>
          <w:divBdr>
            <w:top w:val="none" w:sz="0" w:space="0" w:color="auto"/>
            <w:left w:val="none" w:sz="0" w:space="0" w:color="auto"/>
            <w:bottom w:val="none" w:sz="0" w:space="0" w:color="auto"/>
            <w:right w:val="none" w:sz="0" w:space="0" w:color="auto"/>
          </w:divBdr>
          <w:divsChild>
            <w:div w:id="1348872169">
              <w:marLeft w:val="0"/>
              <w:marRight w:val="0"/>
              <w:marTop w:val="0"/>
              <w:marBottom w:val="80"/>
              <w:divBdr>
                <w:top w:val="none" w:sz="0" w:space="0" w:color="auto"/>
                <w:left w:val="none" w:sz="0" w:space="0" w:color="auto"/>
                <w:bottom w:val="none" w:sz="0" w:space="0" w:color="auto"/>
                <w:right w:val="none" w:sz="0" w:space="0" w:color="auto"/>
              </w:divBdr>
            </w:div>
            <w:div w:id="1374160336">
              <w:marLeft w:val="0"/>
              <w:marRight w:val="0"/>
              <w:marTop w:val="0"/>
              <w:marBottom w:val="80"/>
              <w:divBdr>
                <w:top w:val="none" w:sz="0" w:space="0" w:color="auto"/>
                <w:left w:val="none" w:sz="0" w:space="0" w:color="auto"/>
                <w:bottom w:val="none" w:sz="0" w:space="0" w:color="auto"/>
                <w:right w:val="none" w:sz="0" w:space="0" w:color="auto"/>
              </w:divBdr>
            </w:div>
            <w:div w:id="2014454575">
              <w:marLeft w:val="480"/>
              <w:marRight w:val="0"/>
              <w:marTop w:val="0"/>
              <w:marBottom w:val="80"/>
              <w:divBdr>
                <w:top w:val="none" w:sz="0" w:space="0" w:color="auto"/>
                <w:left w:val="none" w:sz="0" w:space="0" w:color="auto"/>
                <w:bottom w:val="none" w:sz="0" w:space="0" w:color="auto"/>
                <w:right w:val="none" w:sz="0" w:space="0" w:color="auto"/>
              </w:divBdr>
              <w:divsChild>
                <w:div w:id="1421290232">
                  <w:marLeft w:val="0"/>
                  <w:marRight w:val="0"/>
                  <w:marTop w:val="0"/>
                  <w:marBottom w:val="0"/>
                  <w:divBdr>
                    <w:top w:val="none" w:sz="0" w:space="0" w:color="auto"/>
                    <w:left w:val="none" w:sz="0" w:space="0" w:color="auto"/>
                    <w:bottom w:val="none" w:sz="0" w:space="0" w:color="auto"/>
                    <w:right w:val="none" w:sz="0" w:space="0" w:color="auto"/>
                  </w:divBdr>
                </w:div>
              </w:divsChild>
            </w:div>
            <w:div w:id="2137406857">
              <w:marLeft w:val="480"/>
              <w:marRight w:val="0"/>
              <w:marTop w:val="0"/>
              <w:marBottom w:val="80"/>
              <w:divBdr>
                <w:top w:val="none" w:sz="0" w:space="0" w:color="auto"/>
                <w:left w:val="none" w:sz="0" w:space="0" w:color="auto"/>
                <w:bottom w:val="none" w:sz="0" w:space="0" w:color="auto"/>
                <w:right w:val="none" w:sz="0" w:space="0" w:color="auto"/>
              </w:divBdr>
              <w:divsChild>
                <w:div w:id="8274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7122">
      <w:bodyDiv w:val="1"/>
      <w:marLeft w:val="0"/>
      <w:marRight w:val="0"/>
      <w:marTop w:val="0"/>
      <w:marBottom w:val="0"/>
      <w:divBdr>
        <w:top w:val="none" w:sz="0" w:space="0" w:color="auto"/>
        <w:left w:val="none" w:sz="0" w:space="0" w:color="auto"/>
        <w:bottom w:val="none" w:sz="0" w:space="0" w:color="auto"/>
        <w:right w:val="none" w:sz="0" w:space="0" w:color="auto"/>
      </w:divBdr>
      <w:divsChild>
        <w:div w:id="198670867">
          <w:marLeft w:val="480"/>
          <w:marRight w:val="0"/>
          <w:marTop w:val="0"/>
          <w:marBottom w:val="80"/>
          <w:divBdr>
            <w:top w:val="none" w:sz="0" w:space="0" w:color="auto"/>
            <w:left w:val="none" w:sz="0" w:space="0" w:color="auto"/>
            <w:bottom w:val="none" w:sz="0" w:space="0" w:color="auto"/>
            <w:right w:val="none" w:sz="0" w:space="0" w:color="auto"/>
          </w:divBdr>
          <w:divsChild>
            <w:div w:id="1749572938">
              <w:marLeft w:val="0"/>
              <w:marRight w:val="0"/>
              <w:marTop w:val="0"/>
              <w:marBottom w:val="0"/>
              <w:divBdr>
                <w:top w:val="none" w:sz="0" w:space="0" w:color="auto"/>
                <w:left w:val="none" w:sz="0" w:space="0" w:color="auto"/>
                <w:bottom w:val="none" w:sz="0" w:space="0" w:color="auto"/>
                <w:right w:val="none" w:sz="0" w:space="0" w:color="auto"/>
              </w:divBdr>
            </w:div>
          </w:divsChild>
        </w:div>
        <w:div w:id="417412133">
          <w:marLeft w:val="480"/>
          <w:marRight w:val="0"/>
          <w:marTop w:val="0"/>
          <w:marBottom w:val="80"/>
          <w:divBdr>
            <w:top w:val="none" w:sz="0" w:space="0" w:color="auto"/>
            <w:left w:val="none" w:sz="0" w:space="0" w:color="auto"/>
            <w:bottom w:val="none" w:sz="0" w:space="0" w:color="auto"/>
            <w:right w:val="none" w:sz="0" w:space="0" w:color="auto"/>
          </w:divBdr>
          <w:divsChild>
            <w:div w:id="1223440335">
              <w:marLeft w:val="0"/>
              <w:marRight w:val="0"/>
              <w:marTop w:val="0"/>
              <w:marBottom w:val="80"/>
              <w:divBdr>
                <w:top w:val="none" w:sz="0" w:space="0" w:color="auto"/>
                <w:left w:val="none" w:sz="0" w:space="0" w:color="auto"/>
                <w:bottom w:val="none" w:sz="0" w:space="0" w:color="auto"/>
                <w:right w:val="none" w:sz="0" w:space="0" w:color="auto"/>
              </w:divBdr>
            </w:div>
            <w:div w:id="1473327600">
              <w:marLeft w:val="480"/>
              <w:marRight w:val="0"/>
              <w:marTop w:val="0"/>
              <w:marBottom w:val="80"/>
              <w:divBdr>
                <w:top w:val="none" w:sz="0" w:space="0" w:color="auto"/>
                <w:left w:val="none" w:sz="0" w:space="0" w:color="auto"/>
                <w:bottom w:val="none" w:sz="0" w:space="0" w:color="auto"/>
                <w:right w:val="none" w:sz="0" w:space="0" w:color="auto"/>
              </w:divBdr>
              <w:divsChild>
                <w:div w:id="831607199">
                  <w:marLeft w:val="0"/>
                  <w:marRight w:val="0"/>
                  <w:marTop w:val="0"/>
                  <w:marBottom w:val="0"/>
                  <w:divBdr>
                    <w:top w:val="none" w:sz="0" w:space="0" w:color="auto"/>
                    <w:left w:val="none" w:sz="0" w:space="0" w:color="auto"/>
                    <w:bottom w:val="none" w:sz="0" w:space="0" w:color="auto"/>
                    <w:right w:val="none" w:sz="0" w:space="0" w:color="auto"/>
                  </w:divBdr>
                </w:div>
              </w:divsChild>
            </w:div>
            <w:div w:id="1577275552">
              <w:marLeft w:val="480"/>
              <w:marRight w:val="0"/>
              <w:marTop w:val="0"/>
              <w:marBottom w:val="80"/>
              <w:divBdr>
                <w:top w:val="none" w:sz="0" w:space="0" w:color="auto"/>
                <w:left w:val="none" w:sz="0" w:space="0" w:color="auto"/>
                <w:bottom w:val="none" w:sz="0" w:space="0" w:color="auto"/>
                <w:right w:val="none" w:sz="0" w:space="0" w:color="auto"/>
              </w:divBdr>
              <w:divsChild>
                <w:div w:id="1813447829">
                  <w:marLeft w:val="0"/>
                  <w:marRight w:val="0"/>
                  <w:marTop w:val="0"/>
                  <w:marBottom w:val="0"/>
                  <w:divBdr>
                    <w:top w:val="none" w:sz="0" w:space="0" w:color="auto"/>
                    <w:left w:val="none" w:sz="0" w:space="0" w:color="auto"/>
                    <w:bottom w:val="none" w:sz="0" w:space="0" w:color="auto"/>
                    <w:right w:val="none" w:sz="0" w:space="0" w:color="auto"/>
                  </w:divBdr>
                </w:div>
              </w:divsChild>
            </w:div>
            <w:div w:id="1701930090">
              <w:marLeft w:val="0"/>
              <w:marRight w:val="0"/>
              <w:marTop w:val="0"/>
              <w:marBottom w:val="80"/>
              <w:divBdr>
                <w:top w:val="none" w:sz="0" w:space="0" w:color="auto"/>
                <w:left w:val="none" w:sz="0" w:space="0" w:color="auto"/>
                <w:bottom w:val="none" w:sz="0" w:space="0" w:color="auto"/>
                <w:right w:val="none" w:sz="0" w:space="0" w:color="auto"/>
              </w:divBdr>
            </w:div>
          </w:divsChild>
        </w:div>
        <w:div w:id="548154588">
          <w:marLeft w:val="480"/>
          <w:marRight w:val="0"/>
          <w:marTop w:val="0"/>
          <w:marBottom w:val="80"/>
          <w:divBdr>
            <w:top w:val="none" w:sz="0" w:space="0" w:color="auto"/>
            <w:left w:val="none" w:sz="0" w:space="0" w:color="auto"/>
            <w:bottom w:val="none" w:sz="0" w:space="0" w:color="auto"/>
            <w:right w:val="none" w:sz="0" w:space="0" w:color="auto"/>
          </w:divBdr>
          <w:divsChild>
            <w:div w:id="1272472557">
              <w:marLeft w:val="0"/>
              <w:marRight w:val="0"/>
              <w:marTop w:val="0"/>
              <w:marBottom w:val="0"/>
              <w:divBdr>
                <w:top w:val="none" w:sz="0" w:space="0" w:color="auto"/>
                <w:left w:val="none" w:sz="0" w:space="0" w:color="auto"/>
                <w:bottom w:val="none" w:sz="0" w:space="0" w:color="auto"/>
                <w:right w:val="none" w:sz="0" w:space="0" w:color="auto"/>
              </w:divBdr>
            </w:div>
          </w:divsChild>
        </w:div>
        <w:div w:id="611254758">
          <w:marLeft w:val="480"/>
          <w:marRight w:val="0"/>
          <w:marTop w:val="0"/>
          <w:marBottom w:val="80"/>
          <w:divBdr>
            <w:top w:val="none" w:sz="0" w:space="0" w:color="auto"/>
            <w:left w:val="none" w:sz="0" w:space="0" w:color="auto"/>
            <w:bottom w:val="none" w:sz="0" w:space="0" w:color="auto"/>
            <w:right w:val="none" w:sz="0" w:space="0" w:color="auto"/>
          </w:divBdr>
          <w:divsChild>
            <w:div w:id="131873410">
              <w:marLeft w:val="0"/>
              <w:marRight w:val="0"/>
              <w:marTop w:val="0"/>
              <w:marBottom w:val="0"/>
              <w:divBdr>
                <w:top w:val="none" w:sz="0" w:space="0" w:color="auto"/>
                <w:left w:val="none" w:sz="0" w:space="0" w:color="auto"/>
                <w:bottom w:val="none" w:sz="0" w:space="0" w:color="auto"/>
                <w:right w:val="none" w:sz="0" w:space="0" w:color="auto"/>
              </w:divBdr>
            </w:div>
          </w:divsChild>
        </w:div>
        <w:div w:id="701247069">
          <w:marLeft w:val="480"/>
          <w:marRight w:val="0"/>
          <w:marTop w:val="0"/>
          <w:marBottom w:val="80"/>
          <w:divBdr>
            <w:top w:val="none" w:sz="0" w:space="0" w:color="auto"/>
            <w:left w:val="none" w:sz="0" w:space="0" w:color="auto"/>
            <w:bottom w:val="none" w:sz="0" w:space="0" w:color="auto"/>
            <w:right w:val="none" w:sz="0" w:space="0" w:color="auto"/>
          </w:divBdr>
          <w:divsChild>
            <w:div w:id="6908186">
              <w:marLeft w:val="0"/>
              <w:marRight w:val="0"/>
              <w:marTop w:val="0"/>
              <w:marBottom w:val="80"/>
              <w:divBdr>
                <w:top w:val="none" w:sz="0" w:space="0" w:color="auto"/>
                <w:left w:val="none" w:sz="0" w:space="0" w:color="auto"/>
                <w:bottom w:val="none" w:sz="0" w:space="0" w:color="auto"/>
                <w:right w:val="none" w:sz="0" w:space="0" w:color="auto"/>
              </w:divBdr>
            </w:div>
            <w:div w:id="1100952167">
              <w:marLeft w:val="0"/>
              <w:marRight w:val="0"/>
              <w:marTop w:val="0"/>
              <w:marBottom w:val="0"/>
              <w:divBdr>
                <w:top w:val="none" w:sz="0" w:space="0" w:color="auto"/>
                <w:left w:val="none" w:sz="0" w:space="0" w:color="auto"/>
                <w:bottom w:val="none" w:sz="0" w:space="0" w:color="auto"/>
                <w:right w:val="none" w:sz="0" w:space="0" w:color="auto"/>
              </w:divBdr>
              <w:divsChild>
                <w:div w:id="829368618">
                  <w:marLeft w:val="480"/>
                  <w:marRight w:val="0"/>
                  <w:marTop w:val="0"/>
                  <w:marBottom w:val="80"/>
                  <w:divBdr>
                    <w:top w:val="none" w:sz="0" w:space="0" w:color="auto"/>
                    <w:left w:val="none" w:sz="0" w:space="0" w:color="auto"/>
                    <w:bottom w:val="none" w:sz="0" w:space="0" w:color="auto"/>
                    <w:right w:val="none" w:sz="0" w:space="0" w:color="auto"/>
                  </w:divBdr>
                  <w:divsChild>
                    <w:div w:id="1623222527">
                      <w:marLeft w:val="0"/>
                      <w:marRight w:val="0"/>
                      <w:marTop w:val="0"/>
                      <w:marBottom w:val="0"/>
                      <w:divBdr>
                        <w:top w:val="none" w:sz="0" w:space="0" w:color="auto"/>
                        <w:left w:val="none" w:sz="0" w:space="0" w:color="auto"/>
                        <w:bottom w:val="none" w:sz="0" w:space="0" w:color="auto"/>
                        <w:right w:val="none" w:sz="0" w:space="0" w:color="auto"/>
                      </w:divBdr>
                    </w:div>
                  </w:divsChild>
                </w:div>
                <w:div w:id="1089738745">
                  <w:marLeft w:val="480"/>
                  <w:marRight w:val="0"/>
                  <w:marTop w:val="0"/>
                  <w:marBottom w:val="0"/>
                  <w:divBdr>
                    <w:top w:val="none" w:sz="0" w:space="0" w:color="auto"/>
                    <w:left w:val="none" w:sz="0" w:space="0" w:color="auto"/>
                    <w:bottom w:val="none" w:sz="0" w:space="0" w:color="auto"/>
                    <w:right w:val="none" w:sz="0" w:space="0" w:color="auto"/>
                  </w:divBdr>
                  <w:divsChild>
                    <w:div w:id="1441726532">
                      <w:marLeft w:val="0"/>
                      <w:marRight w:val="0"/>
                      <w:marTop w:val="0"/>
                      <w:marBottom w:val="0"/>
                      <w:divBdr>
                        <w:top w:val="none" w:sz="0" w:space="0" w:color="auto"/>
                        <w:left w:val="none" w:sz="0" w:space="0" w:color="auto"/>
                        <w:bottom w:val="none" w:sz="0" w:space="0" w:color="auto"/>
                        <w:right w:val="none" w:sz="0" w:space="0" w:color="auto"/>
                      </w:divBdr>
                    </w:div>
                  </w:divsChild>
                </w:div>
                <w:div w:id="1096361782">
                  <w:marLeft w:val="0"/>
                  <w:marRight w:val="0"/>
                  <w:marTop w:val="0"/>
                  <w:marBottom w:val="80"/>
                  <w:divBdr>
                    <w:top w:val="none" w:sz="0" w:space="0" w:color="auto"/>
                    <w:left w:val="none" w:sz="0" w:space="0" w:color="auto"/>
                    <w:bottom w:val="none" w:sz="0" w:space="0" w:color="auto"/>
                    <w:right w:val="none" w:sz="0" w:space="0" w:color="auto"/>
                  </w:divBdr>
                </w:div>
              </w:divsChild>
            </w:div>
          </w:divsChild>
        </w:div>
        <w:div w:id="1008488176">
          <w:marLeft w:val="480"/>
          <w:marRight w:val="0"/>
          <w:marTop w:val="0"/>
          <w:marBottom w:val="80"/>
          <w:divBdr>
            <w:top w:val="none" w:sz="0" w:space="0" w:color="auto"/>
            <w:left w:val="none" w:sz="0" w:space="0" w:color="auto"/>
            <w:bottom w:val="none" w:sz="0" w:space="0" w:color="auto"/>
            <w:right w:val="none" w:sz="0" w:space="0" w:color="auto"/>
          </w:divBdr>
          <w:divsChild>
            <w:div w:id="62870892">
              <w:marLeft w:val="0"/>
              <w:marRight w:val="0"/>
              <w:marTop w:val="0"/>
              <w:marBottom w:val="80"/>
              <w:divBdr>
                <w:top w:val="none" w:sz="0" w:space="0" w:color="auto"/>
                <w:left w:val="none" w:sz="0" w:space="0" w:color="auto"/>
                <w:bottom w:val="none" w:sz="0" w:space="0" w:color="auto"/>
                <w:right w:val="none" w:sz="0" w:space="0" w:color="auto"/>
              </w:divBdr>
            </w:div>
            <w:div w:id="525560936">
              <w:marLeft w:val="480"/>
              <w:marRight w:val="0"/>
              <w:marTop w:val="0"/>
              <w:marBottom w:val="80"/>
              <w:divBdr>
                <w:top w:val="none" w:sz="0" w:space="0" w:color="auto"/>
                <w:left w:val="none" w:sz="0" w:space="0" w:color="auto"/>
                <w:bottom w:val="none" w:sz="0" w:space="0" w:color="auto"/>
                <w:right w:val="none" w:sz="0" w:space="0" w:color="auto"/>
              </w:divBdr>
              <w:divsChild>
                <w:div w:id="1092432330">
                  <w:marLeft w:val="0"/>
                  <w:marRight w:val="0"/>
                  <w:marTop w:val="0"/>
                  <w:marBottom w:val="0"/>
                  <w:divBdr>
                    <w:top w:val="none" w:sz="0" w:space="0" w:color="auto"/>
                    <w:left w:val="none" w:sz="0" w:space="0" w:color="auto"/>
                    <w:bottom w:val="none" w:sz="0" w:space="0" w:color="auto"/>
                    <w:right w:val="none" w:sz="0" w:space="0" w:color="auto"/>
                  </w:divBdr>
                </w:div>
              </w:divsChild>
            </w:div>
            <w:div w:id="699014548">
              <w:marLeft w:val="480"/>
              <w:marRight w:val="0"/>
              <w:marTop w:val="0"/>
              <w:marBottom w:val="0"/>
              <w:divBdr>
                <w:top w:val="none" w:sz="0" w:space="0" w:color="auto"/>
                <w:left w:val="none" w:sz="0" w:space="0" w:color="auto"/>
                <w:bottom w:val="none" w:sz="0" w:space="0" w:color="auto"/>
                <w:right w:val="none" w:sz="0" w:space="0" w:color="auto"/>
              </w:divBdr>
              <w:divsChild>
                <w:div w:id="1122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5397">
          <w:marLeft w:val="480"/>
          <w:marRight w:val="0"/>
          <w:marTop w:val="0"/>
          <w:marBottom w:val="80"/>
          <w:divBdr>
            <w:top w:val="none" w:sz="0" w:space="0" w:color="auto"/>
            <w:left w:val="none" w:sz="0" w:space="0" w:color="auto"/>
            <w:bottom w:val="none" w:sz="0" w:space="0" w:color="auto"/>
            <w:right w:val="none" w:sz="0" w:space="0" w:color="auto"/>
          </w:divBdr>
          <w:divsChild>
            <w:div w:id="916986206">
              <w:marLeft w:val="0"/>
              <w:marRight w:val="0"/>
              <w:marTop w:val="0"/>
              <w:marBottom w:val="80"/>
              <w:divBdr>
                <w:top w:val="none" w:sz="0" w:space="0" w:color="auto"/>
                <w:left w:val="none" w:sz="0" w:space="0" w:color="auto"/>
                <w:bottom w:val="none" w:sz="0" w:space="0" w:color="auto"/>
                <w:right w:val="none" w:sz="0" w:space="0" w:color="auto"/>
              </w:divBdr>
            </w:div>
            <w:div w:id="1334607285">
              <w:marLeft w:val="480"/>
              <w:marRight w:val="0"/>
              <w:marTop w:val="0"/>
              <w:marBottom w:val="80"/>
              <w:divBdr>
                <w:top w:val="none" w:sz="0" w:space="0" w:color="auto"/>
                <w:left w:val="none" w:sz="0" w:space="0" w:color="auto"/>
                <w:bottom w:val="none" w:sz="0" w:space="0" w:color="auto"/>
                <w:right w:val="none" w:sz="0" w:space="0" w:color="auto"/>
              </w:divBdr>
              <w:divsChild>
                <w:div w:id="694503237">
                  <w:marLeft w:val="0"/>
                  <w:marRight w:val="0"/>
                  <w:marTop w:val="0"/>
                  <w:marBottom w:val="0"/>
                  <w:divBdr>
                    <w:top w:val="none" w:sz="0" w:space="0" w:color="auto"/>
                    <w:left w:val="none" w:sz="0" w:space="0" w:color="auto"/>
                    <w:bottom w:val="none" w:sz="0" w:space="0" w:color="auto"/>
                    <w:right w:val="none" w:sz="0" w:space="0" w:color="auto"/>
                  </w:divBdr>
                </w:div>
              </w:divsChild>
            </w:div>
            <w:div w:id="1412463690">
              <w:marLeft w:val="480"/>
              <w:marRight w:val="0"/>
              <w:marTop w:val="0"/>
              <w:marBottom w:val="80"/>
              <w:divBdr>
                <w:top w:val="none" w:sz="0" w:space="0" w:color="auto"/>
                <w:left w:val="none" w:sz="0" w:space="0" w:color="auto"/>
                <w:bottom w:val="none" w:sz="0" w:space="0" w:color="auto"/>
                <w:right w:val="none" w:sz="0" w:space="0" w:color="auto"/>
              </w:divBdr>
              <w:divsChild>
                <w:div w:id="935330541">
                  <w:marLeft w:val="0"/>
                  <w:marRight w:val="0"/>
                  <w:marTop w:val="0"/>
                  <w:marBottom w:val="0"/>
                  <w:divBdr>
                    <w:top w:val="none" w:sz="0" w:space="0" w:color="auto"/>
                    <w:left w:val="none" w:sz="0" w:space="0" w:color="auto"/>
                    <w:bottom w:val="none" w:sz="0" w:space="0" w:color="auto"/>
                    <w:right w:val="none" w:sz="0" w:space="0" w:color="auto"/>
                  </w:divBdr>
                </w:div>
              </w:divsChild>
            </w:div>
            <w:div w:id="1464539322">
              <w:marLeft w:val="0"/>
              <w:marRight w:val="0"/>
              <w:marTop w:val="0"/>
              <w:marBottom w:val="80"/>
              <w:divBdr>
                <w:top w:val="none" w:sz="0" w:space="0" w:color="auto"/>
                <w:left w:val="none" w:sz="0" w:space="0" w:color="auto"/>
                <w:bottom w:val="none" w:sz="0" w:space="0" w:color="auto"/>
                <w:right w:val="none" w:sz="0" w:space="0" w:color="auto"/>
              </w:divBdr>
            </w:div>
            <w:div w:id="2026441686">
              <w:marLeft w:val="480"/>
              <w:marRight w:val="0"/>
              <w:marTop w:val="0"/>
              <w:marBottom w:val="80"/>
              <w:divBdr>
                <w:top w:val="none" w:sz="0" w:space="0" w:color="auto"/>
                <w:left w:val="none" w:sz="0" w:space="0" w:color="auto"/>
                <w:bottom w:val="none" w:sz="0" w:space="0" w:color="auto"/>
                <w:right w:val="none" w:sz="0" w:space="0" w:color="auto"/>
              </w:divBdr>
              <w:divsChild>
                <w:div w:id="14613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592">
          <w:marLeft w:val="480"/>
          <w:marRight w:val="0"/>
          <w:marTop w:val="0"/>
          <w:marBottom w:val="80"/>
          <w:divBdr>
            <w:top w:val="none" w:sz="0" w:space="0" w:color="auto"/>
            <w:left w:val="none" w:sz="0" w:space="0" w:color="auto"/>
            <w:bottom w:val="none" w:sz="0" w:space="0" w:color="auto"/>
            <w:right w:val="none" w:sz="0" w:space="0" w:color="auto"/>
          </w:divBdr>
          <w:divsChild>
            <w:div w:id="941570275">
              <w:marLeft w:val="480"/>
              <w:marRight w:val="0"/>
              <w:marTop w:val="0"/>
              <w:marBottom w:val="80"/>
              <w:divBdr>
                <w:top w:val="none" w:sz="0" w:space="0" w:color="auto"/>
                <w:left w:val="none" w:sz="0" w:space="0" w:color="auto"/>
                <w:bottom w:val="none" w:sz="0" w:space="0" w:color="auto"/>
                <w:right w:val="none" w:sz="0" w:space="0" w:color="auto"/>
              </w:divBdr>
              <w:divsChild>
                <w:div w:id="1539124462">
                  <w:marLeft w:val="0"/>
                  <w:marRight w:val="0"/>
                  <w:marTop w:val="0"/>
                  <w:marBottom w:val="0"/>
                  <w:divBdr>
                    <w:top w:val="none" w:sz="0" w:space="0" w:color="auto"/>
                    <w:left w:val="none" w:sz="0" w:space="0" w:color="auto"/>
                    <w:bottom w:val="none" w:sz="0" w:space="0" w:color="auto"/>
                    <w:right w:val="none" w:sz="0" w:space="0" w:color="auto"/>
                  </w:divBdr>
                </w:div>
              </w:divsChild>
            </w:div>
            <w:div w:id="1176653564">
              <w:marLeft w:val="0"/>
              <w:marRight w:val="0"/>
              <w:marTop w:val="0"/>
              <w:marBottom w:val="80"/>
              <w:divBdr>
                <w:top w:val="none" w:sz="0" w:space="0" w:color="auto"/>
                <w:left w:val="none" w:sz="0" w:space="0" w:color="auto"/>
                <w:bottom w:val="none" w:sz="0" w:space="0" w:color="auto"/>
                <w:right w:val="none" w:sz="0" w:space="0" w:color="auto"/>
              </w:divBdr>
            </w:div>
            <w:div w:id="1381125745">
              <w:marLeft w:val="480"/>
              <w:marRight w:val="0"/>
              <w:marTop w:val="0"/>
              <w:marBottom w:val="80"/>
              <w:divBdr>
                <w:top w:val="none" w:sz="0" w:space="0" w:color="auto"/>
                <w:left w:val="none" w:sz="0" w:space="0" w:color="auto"/>
                <w:bottom w:val="none" w:sz="0" w:space="0" w:color="auto"/>
                <w:right w:val="none" w:sz="0" w:space="0" w:color="auto"/>
              </w:divBdr>
              <w:divsChild>
                <w:div w:id="1035230377">
                  <w:marLeft w:val="0"/>
                  <w:marRight w:val="0"/>
                  <w:marTop w:val="0"/>
                  <w:marBottom w:val="0"/>
                  <w:divBdr>
                    <w:top w:val="none" w:sz="0" w:space="0" w:color="auto"/>
                    <w:left w:val="none" w:sz="0" w:space="0" w:color="auto"/>
                    <w:bottom w:val="none" w:sz="0" w:space="0" w:color="auto"/>
                    <w:right w:val="none" w:sz="0" w:space="0" w:color="auto"/>
                  </w:divBdr>
                </w:div>
              </w:divsChild>
            </w:div>
            <w:div w:id="1918586929">
              <w:marLeft w:val="480"/>
              <w:marRight w:val="0"/>
              <w:marTop w:val="0"/>
              <w:marBottom w:val="80"/>
              <w:divBdr>
                <w:top w:val="none" w:sz="0" w:space="0" w:color="auto"/>
                <w:left w:val="none" w:sz="0" w:space="0" w:color="auto"/>
                <w:bottom w:val="none" w:sz="0" w:space="0" w:color="auto"/>
                <w:right w:val="none" w:sz="0" w:space="0" w:color="auto"/>
              </w:divBdr>
              <w:divsChild>
                <w:div w:id="1243174627">
                  <w:marLeft w:val="480"/>
                  <w:marRight w:val="0"/>
                  <w:marTop w:val="0"/>
                  <w:marBottom w:val="80"/>
                  <w:divBdr>
                    <w:top w:val="none" w:sz="0" w:space="0" w:color="auto"/>
                    <w:left w:val="none" w:sz="0" w:space="0" w:color="auto"/>
                    <w:bottom w:val="none" w:sz="0" w:space="0" w:color="auto"/>
                    <w:right w:val="none" w:sz="0" w:space="0" w:color="auto"/>
                  </w:divBdr>
                  <w:divsChild>
                    <w:div w:id="1458836046">
                      <w:marLeft w:val="0"/>
                      <w:marRight w:val="0"/>
                      <w:marTop w:val="0"/>
                      <w:marBottom w:val="0"/>
                      <w:divBdr>
                        <w:top w:val="none" w:sz="0" w:space="0" w:color="auto"/>
                        <w:left w:val="none" w:sz="0" w:space="0" w:color="auto"/>
                        <w:bottom w:val="none" w:sz="0" w:space="0" w:color="auto"/>
                        <w:right w:val="none" w:sz="0" w:space="0" w:color="auto"/>
                      </w:divBdr>
                    </w:div>
                  </w:divsChild>
                </w:div>
                <w:div w:id="1579246041">
                  <w:marLeft w:val="480"/>
                  <w:marRight w:val="0"/>
                  <w:marTop w:val="0"/>
                  <w:marBottom w:val="0"/>
                  <w:divBdr>
                    <w:top w:val="none" w:sz="0" w:space="0" w:color="auto"/>
                    <w:left w:val="none" w:sz="0" w:space="0" w:color="auto"/>
                    <w:bottom w:val="none" w:sz="0" w:space="0" w:color="auto"/>
                    <w:right w:val="none" w:sz="0" w:space="0" w:color="auto"/>
                  </w:divBdr>
                  <w:divsChild>
                    <w:div w:id="1511406729">
                      <w:marLeft w:val="0"/>
                      <w:marRight w:val="0"/>
                      <w:marTop w:val="0"/>
                      <w:marBottom w:val="0"/>
                      <w:divBdr>
                        <w:top w:val="none" w:sz="0" w:space="0" w:color="auto"/>
                        <w:left w:val="none" w:sz="0" w:space="0" w:color="auto"/>
                        <w:bottom w:val="none" w:sz="0" w:space="0" w:color="auto"/>
                        <w:right w:val="none" w:sz="0" w:space="0" w:color="auto"/>
                      </w:divBdr>
                    </w:div>
                  </w:divsChild>
                </w:div>
                <w:div w:id="1725180182">
                  <w:marLeft w:val="0"/>
                  <w:marRight w:val="0"/>
                  <w:marTop w:val="0"/>
                  <w:marBottom w:val="80"/>
                  <w:divBdr>
                    <w:top w:val="none" w:sz="0" w:space="0" w:color="auto"/>
                    <w:left w:val="none" w:sz="0" w:space="0" w:color="auto"/>
                    <w:bottom w:val="none" w:sz="0" w:space="0" w:color="auto"/>
                    <w:right w:val="none" w:sz="0" w:space="0" w:color="auto"/>
                  </w:divBdr>
                </w:div>
              </w:divsChild>
            </w:div>
            <w:div w:id="1962494707">
              <w:marLeft w:val="0"/>
              <w:marRight w:val="0"/>
              <w:marTop w:val="0"/>
              <w:marBottom w:val="80"/>
              <w:divBdr>
                <w:top w:val="none" w:sz="0" w:space="0" w:color="auto"/>
                <w:left w:val="none" w:sz="0" w:space="0" w:color="auto"/>
                <w:bottom w:val="none" w:sz="0" w:space="0" w:color="auto"/>
                <w:right w:val="none" w:sz="0" w:space="0" w:color="auto"/>
              </w:divBdr>
            </w:div>
          </w:divsChild>
        </w:div>
        <w:div w:id="2034110781">
          <w:marLeft w:val="480"/>
          <w:marRight w:val="0"/>
          <w:marTop w:val="0"/>
          <w:marBottom w:val="80"/>
          <w:divBdr>
            <w:top w:val="none" w:sz="0" w:space="0" w:color="auto"/>
            <w:left w:val="none" w:sz="0" w:space="0" w:color="auto"/>
            <w:bottom w:val="none" w:sz="0" w:space="0" w:color="auto"/>
            <w:right w:val="none" w:sz="0" w:space="0" w:color="auto"/>
          </w:divBdr>
          <w:divsChild>
            <w:div w:id="442849344">
              <w:marLeft w:val="0"/>
              <w:marRight w:val="0"/>
              <w:marTop w:val="0"/>
              <w:marBottom w:val="80"/>
              <w:divBdr>
                <w:top w:val="none" w:sz="0" w:space="0" w:color="auto"/>
                <w:left w:val="none" w:sz="0" w:space="0" w:color="auto"/>
                <w:bottom w:val="none" w:sz="0" w:space="0" w:color="auto"/>
                <w:right w:val="none" w:sz="0" w:space="0" w:color="auto"/>
              </w:divBdr>
            </w:div>
            <w:div w:id="1044064278">
              <w:marLeft w:val="0"/>
              <w:marRight w:val="0"/>
              <w:marTop w:val="0"/>
              <w:marBottom w:val="80"/>
              <w:divBdr>
                <w:top w:val="none" w:sz="0" w:space="0" w:color="auto"/>
                <w:left w:val="none" w:sz="0" w:space="0" w:color="auto"/>
                <w:bottom w:val="none" w:sz="0" w:space="0" w:color="auto"/>
                <w:right w:val="none" w:sz="0" w:space="0" w:color="auto"/>
              </w:divBdr>
            </w:div>
            <w:div w:id="1093435172">
              <w:marLeft w:val="480"/>
              <w:marRight w:val="0"/>
              <w:marTop w:val="0"/>
              <w:marBottom w:val="80"/>
              <w:divBdr>
                <w:top w:val="none" w:sz="0" w:space="0" w:color="auto"/>
                <w:left w:val="none" w:sz="0" w:space="0" w:color="auto"/>
                <w:bottom w:val="none" w:sz="0" w:space="0" w:color="auto"/>
                <w:right w:val="none" w:sz="0" w:space="0" w:color="auto"/>
              </w:divBdr>
              <w:divsChild>
                <w:div w:id="1237593406">
                  <w:marLeft w:val="0"/>
                  <w:marRight w:val="0"/>
                  <w:marTop w:val="0"/>
                  <w:marBottom w:val="0"/>
                  <w:divBdr>
                    <w:top w:val="none" w:sz="0" w:space="0" w:color="auto"/>
                    <w:left w:val="none" w:sz="0" w:space="0" w:color="auto"/>
                    <w:bottom w:val="none" w:sz="0" w:space="0" w:color="auto"/>
                    <w:right w:val="none" w:sz="0" w:space="0" w:color="auto"/>
                  </w:divBdr>
                </w:div>
              </w:divsChild>
            </w:div>
            <w:div w:id="2134907527">
              <w:marLeft w:val="480"/>
              <w:marRight w:val="0"/>
              <w:marTop w:val="0"/>
              <w:marBottom w:val="80"/>
              <w:divBdr>
                <w:top w:val="none" w:sz="0" w:space="0" w:color="auto"/>
                <w:left w:val="none" w:sz="0" w:space="0" w:color="auto"/>
                <w:bottom w:val="none" w:sz="0" w:space="0" w:color="auto"/>
                <w:right w:val="none" w:sz="0" w:space="0" w:color="auto"/>
              </w:divBdr>
              <w:divsChild>
                <w:div w:id="9234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59263">
      <w:bodyDiv w:val="1"/>
      <w:marLeft w:val="0"/>
      <w:marRight w:val="0"/>
      <w:marTop w:val="0"/>
      <w:marBottom w:val="0"/>
      <w:divBdr>
        <w:top w:val="none" w:sz="0" w:space="0" w:color="auto"/>
        <w:left w:val="none" w:sz="0" w:space="0" w:color="auto"/>
        <w:bottom w:val="none" w:sz="0" w:space="0" w:color="auto"/>
        <w:right w:val="none" w:sz="0" w:space="0" w:color="auto"/>
      </w:divBdr>
      <w:divsChild>
        <w:div w:id="497892634">
          <w:marLeft w:val="480"/>
          <w:marRight w:val="0"/>
          <w:marTop w:val="0"/>
          <w:marBottom w:val="80"/>
          <w:divBdr>
            <w:top w:val="none" w:sz="0" w:space="0" w:color="auto"/>
            <w:left w:val="none" w:sz="0" w:space="0" w:color="auto"/>
            <w:bottom w:val="none" w:sz="0" w:space="0" w:color="auto"/>
            <w:right w:val="none" w:sz="0" w:space="0" w:color="auto"/>
          </w:divBdr>
          <w:divsChild>
            <w:div w:id="382100995">
              <w:marLeft w:val="480"/>
              <w:marRight w:val="0"/>
              <w:marTop w:val="0"/>
              <w:marBottom w:val="0"/>
              <w:divBdr>
                <w:top w:val="none" w:sz="0" w:space="0" w:color="auto"/>
                <w:left w:val="none" w:sz="0" w:space="0" w:color="auto"/>
                <w:bottom w:val="none" w:sz="0" w:space="0" w:color="auto"/>
                <w:right w:val="none" w:sz="0" w:space="0" w:color="auto"/>
              </w:divBdr>
              <w:divsChild>
                <w:div w:id="912812397">
                  <w:marLeft w:val="0"/>
                  <w:marRight w:val="0"/>
                  <w:marTop w:val="0"/>
                  <w:marBottom w:val="0"/>
                  <w:divBdr>
                    <w:top w:val="none" w:sz="0" w:space="0" w:color="auto"/>
                    <w:left w:val="none" w:sz="0" w:space="0" w:color="auto"/>
                    <w:bottom w:val="none" w:sz="0" w:space="0" w:color="auto"/>
                    <w:right w:val="none" w:sz="0" w:space="0" w:color="auto"/>
                  </w:divBdr>
                </w:div>
              </w:divsChild>
            </w:div>
            <w:div w:id="505289579">
              <w:marLeft w:val="0"/>
              <w:marRight w:val="0"/>
              <w:marTop w:val="0"/>
              <w:marBottom w:val="80"/>
              <w:divBdr>
                <w:top w:val="none" w:sz="0" w:space="0" w:color="auto"/>
                <w:left w:val="none" w:sz="0" w:space="0" w:color="auto"/>
                <w:bottom w:val="none" w:sz="0" w:space="0" w:color="auto"/>
                <w:right w:val="none" w:sz="0" w:space="0" w:color="auto"/>
              </w:divBdr>
            </w:div>
            <w:div w:id="668752023">
              <w:marLeft w:val="480"/>
              <w:marRight w:val="0"/>
              <w:marTop w:val="0"/>
              <w:marBottom w:val="80"/>
              <w:divBdr>
                <w:top w:val="none" w:sz="0" w:space="0" w:color="auto"/>
                <w:left w:val="none" w:sz="0" w:space="0" w:color="auto"/>
                <w:bottom w:val="none" w:sz="0" w:space="0" w:color="auto"/>
                <w:right w:val="none" w:sz="0" w:space="0" w:color="auto"/>
              </w:divBdr>
              <w:divsChild>
                <w:div w:id="15286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231">
          <w:marLeft w:val="480"/>
          <w:marRight w:val="0"/>
          <w:marTop w:val="0"/>
          <w:marBottom w:val="80"/>
          <w:divBdr>
            <w:top w:val="none" w:sz="0" w:space="0" w:color="auto"/>
            <w:left w:val="none" w:sz="0" w:space="0" w:color="auto"/>
            <w:bottom w:val="none" w:sz="0" w:space="0" w:color="auto"/>
            <w:right w:val="none" w:sz="0" w:space="0" w:color="auto"/>
          </w:divBdr>
          <w:divsChild>
            <w:div w:id="733503751">
              <w:marLeft w:val="0"/>
              <w:marRight w:val="0"/>
              <w:marTop w:val="0"/>
              <w:marBottom w:val="80"/>
              <w:divBdr>
                <w:top w:val="none" w:sz="0" w:space="0" w:color="auto"/>
                <w:left w:val="none" w:sz="0" w:space="0" w:color="auto"/>
                <w:bottom w:val="none" w:sz="0" w:space="0" w:color="auto"/>
                <w:right w:val="none" w:sz="0" w:space="0" w:color="auto"/>
              </w:divBdr>
            </w:div>
            <w:div w:id="815924220">
              <w:marLeft w:val="480"/>
              <w:marRight w:val="0"/>
              <w:marTop w:val="0"/>
              <w:marBottom w:val="80"/>
              <w:divBdr>
                <w:top w:val="none" w:sz="0" w:space="0" w:color="auto"/>
                <w:left w:val="none" w:sz="0" w:space="0" w:color="auto"/>
                <w:bottom w:val="none" w:sz="0" w:space="0" w:color="auto"/>
                <w:right w:val="none" w:sz="0" w:space="0" w:color="auto"/>
              </w:divBdr>
              <w:divsChild>
                <w:div w:id="1762070540">
                  <w:marLeft w:val="0"/>
                  <w:marRight w:val="0"/>
                  <w:marTop w:val="0"/>
                  <w:marBottom w:val="0"/>
                  <w:divBdr>
                    <w:top w:val="none" w:sz="0" w:space="0" w:color="auto"/>
                    <w:left w:val="none" w:sz="0" w:space="0" w:color="auto"/>
                    <w:bottom w:val="none" w:sz="0" w:space="0" w:color="auto"/>
                    <w:right w:val="none" w:sz="0" w:space="0" w:color="auto"/>
                  </w:divBdr>
                </w:div>
              </w:divsChild>
            </w:div>
            <w:div w:id="1065495714">
              <w:marLeft w:val="0"/>
              <w:marRight w:val="0"/>
              <w:marTop w:val="0"/>
              <w:marBottom w:val="80"/>
              <w:divBdr>
                <w:top w:val="none" w:sz="0" w:space="0" w:color="auto"/>
                <w:left w:val="none" w:sz="0" w:space="0" w:color="auto"/>
                <w:bottom w:val="none" w:sz="0" w:space="0" w:color="auto"/>
                <w:right w:val="none" w:sz="0" w:space="0" w:color="auto"/>
              </w:divBdr>
            </w:div>
            <w:div w:id="1760324474">
              <w:marLeft w:val="480"/>
              <w:marRight w:val="0"/>
              <w:marTop w:val="0"/>
              <w:marBottom w:val="80"/>
              <w:divBdr>
                <w:top w:val="none" w:sz="0" w:space="0" w:color="auto"/>
                <w:left w:val="none" w:sz="0" w:space="0" w:color="auto"/>
                <w:bottom w:val="none" w:sz="0" w:space="0" w:color="auto"/>
                <w:right w:val="none" w:sz="0" w:space="0" w:color="auto"/>
              </w:divBdr>
              <w:divsChild>
                <w:div w:id="19481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0463F-1028-4503-954C-72AB1726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67</Pages>
  <Words>13347</Words>
  <Characters>76083</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89252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Windows User</cp:lastModifiedBy>
  <cp:revision>4</cp:revision>
  <cp:lastPrinted>2022-09-30T05:47:00Z</cp:lastPrinted>
  <dcterms:created xsi:type="dcterms:W3CDTF">2022-09-30T05:41:00Z</dcterms:created>
  <dcterms:modified xsi:type="dcterms:W3CDTF">2022-09-30T05:47:00Z</dcterms:modified>
</cp:coreProperties>
</file>