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0000"/>
          <w:sz w:val="56"/>
        </w:rPr>
        <w:t>MARL 边缘计算任务卸载</w:t>
      </w:r>
    </w:p>
    <w:p>
      <w:pPr>
        <w:jc w:val="center"/>
      </w:pPr>
      <w:r>
        <w:rPr>
          <w:color w:val="000000"/>
          <w:sz w:val="32"/>
        </w:rPr>
        <w:t>多智能体强化学习项目手册</w:t>
      </w:r>
    </w:p>
    <w:p/>
    <w:p>
      <w:pPr>
        <w:jc w:val="center"/>
      </w:pPr>
      <w:r>
        <w:rPr>
          <w:sz w:val="22"/>
          <w:color w:val="000000"/>
        </w:rPr>
        <w:t>PettingZoo + PyTorch + NetworkX</w:t>
      </w:r>
    </w:p>
    <w:p>
      <w:pPr>
        <w:jc w:val="center"/>
      </w:pPr>
      <w:r>
        <w:rPr>
          <w:sz w:val="20"/>
          <w:color w:val="000000"/>
        </w:rPr>
        <w:t>版本 1.0  ｜  2026 年 5 月</w:t>
      </w:r>
    </w:p>
    <w:p>
      <w:r>
        <w:br w:type="page"/>
        <w:rPr>
          <w:color w:val="000000"/>
        </w:rPr>
      </w:r>
    </w:p>
    <w:p>
      <w:pPr>
        <w:pStyle w:val="Heading1"/>
      </w:pPr>
      <w:r>
        <w:t>1. 项目概述</w:t>
        <w:rPr>
          <w:color w:val="000000"/>
        </w:rPr>
      </w:r>
    </w:p>
    <w:p>
      <w:r>
        <w:rPr>
          <w:b w:val="0"/>
          <w:i w:val="0"/>
          <w:color w:val="000000"/>
        </w:rPr>
        <w:t>本项目解决移动边缘计算（MEC）中的多智能体任务卸载问题。多台移动设备（MD）产生计算密集型任务，需在本地处理器和边缘服务器（ES）之间进行调度，以最小化系统延迟和能耗，同时保证公平性。</w:t>
      </w:r>
    </w:p>
    <w:p>
      <w:pPr>
        <w:pStyle w:val="Heading2"/>
      </w:pPr>
      <w:r>
        <w:t>1.1 核心挑战</w:t>
        <w:rPr>
          <w:color w:val="000000"/>
        </w:rPr>
      </w:r>
    </w:p>
    <w:p>
      <w:r>
        <w:rPr>
          <w:b w:val="0"/>
          <w:i w:val="0"/>
          <w:color w:val="000000"/>
        </w:rPr>
        <w:t>可扩展性：支持从 5 台设备扩展到 50+ 台，算法需保持收敛。</w:t>
      </w:r>
    </w:p>
    <w:p>
      <w:r>
        <w:rPr>
          <w:b w:val="0"/>
          <w:i w:val="0"/>
          <w:color w:val="000000"/>
        </w:rPr>
        <w:t>隐式协作：无 D2D 直连通信，多设备需通过 CTDE 训练隐式协调。</w:t>
      </w:r>
    </w:p>
    <w:p>
      <w:r>
        <w:rPr>
          <w:b w:val="0"/>
          <w:i w:val="0"/>
          <w:color w:val="000000"/>
        </w:rPr>
        <w:t>公平性与可解释性：防止少数设备独占资源；决策过程可追溯。</w:t>
      </w:r>
    </w:p>
    <w:p>
      <w:pPr>
        <w:pStyle w:val="Heading2"/>
      </w:pPr>
      <w:r>
        <w:t>1.2 四阶段划分</w:t>
        <w:rPr>
          <w:color w:val="00000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</w:tr>
      <w:tr>
        <w:tc>
          <w:tcPr>
            <w:tcW w:type="dxa" w:w="2160"/>
          </w:tcPr>
          <w:p>
            <w:r>
              <w:t>Stage 1</w:t>
            </w:r>
          </w:p>
        </w:tc>
        <w:tc>
          <w:tcPr>
            <w:tcW w:type="dxa" w:w="2160"/>
          </w:tcPr>
          <w:p>
            <w:r>
              <w:t>IPPO 基线</w:t>
            </w:r>
          </w:p>
        </w:tc>
        <w:tc>
          <w:tcPr>
            <w:tcW w:type="dxa" w:w="2160"/>
          </w:tcPr>
          <w:p>
            <w:r>
              <w:t>参数共享 PPO（无通信）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Stage 2</w:t>
            </w:r>
          </w:p>
        </w:tc>
        <w:tc>
          <w:tcPr>
            <w:tcW w:type="dxa" w:w="2160"/>
          </w:tcPr>
          <w:p>
            <w:r>
              <w:t>ExplabOff 互信息</w:t>
            </w:r>
          </w:p>
        </w:tc>
        <w:tc>
          <w:tcPr>
            <w:tcW w:type="dxa" w:w="2160"/>
          </w:tcPr>
          <w:p>
            <w:r>
              <w:t>MI 增强 MARL（INFOCOM 2025）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Stage 3</w:t>
            </w:r>
          </w:p>
        </w:tc>
        <w:tc>
          <w:tcPr>
            <w:tcW w:type="dxa" w:w="2160"/>
          </w:tcPr>
          <w:p>
            <w:r>
              <w:t>大规模优化</w:t>
            </w:r>
          </w:p>
        </w:tc>
        <w:tc>
          <w:tcPr>
            <w:tcW w:type="dxa" w:w="2160"/>
          </w:tcPr>
          <w:p>
            <w:r>
              <w:t>GNN + 课程学习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Stage 4</w:t>
            </w:r>
          </w:p>
        </w:tc>
        <w:tc>
          <w:tcPr>
            <w:tcW w:type="dxa" w:w="2160"/>
          </w:tcPr>
          <w:p>
            <w:r>
              <w:t>GUI 演示</w:t>
            </w:r>
          </w:p>
        </w:tc>
        <w:tc>
          <w:tcPr>
            <w:tcW w:type="dxa" w:w="2160"/>
          </w:tcPr>
          <w:p>
            <w:r>
              <w:t>Web Dashboard</w:t>
            </w:r>
          </w:p>
        </w:tc>
        <w:tc>
          <w:tcPr>
            <w:tcW w:type="dxa" w:w="2160"/>
          </w:tcPr>
          <w:p>
            <w:r>
              <w:t>+10%</w:t>
            </w:r>
          </w:p>
        </w:tc>
      </w:tr>
    </w:tbl>
    <w:p>
      <w:pPr>
        <w:pStyle w:val="Heading1"/>
      </w:pPr>
      <w:r>
        <w:t>2. 系统架构</w:t>
        <w:rPr>
          <w:color w:val="000000"/>
        </w:rPr>
      </w:r>
    </w:p>
    <w:p>
      <w:r>
        <w:rPr>
          <w:b w:val="0"/>
          <w:i w:val="0"/>
          <w:color w:val="000000"/>
        </w:rPr>
        <w:t>系统由 M 台移动设备（MD）和 E 台边缘服务器（ES）组成。时间划分为 N 个等长时隙。每时隙，每台 MD 独立决策：</w:t>
      </w:r>
    </w:p>
    <w:p>
      <w:r>
        <w:rPr>
          <w:b/>
          <w:i w:val="0"/>
          <w:color w:val="000000"/>
        </w:rPr>
        <w:t>卸载比例</w:t>
      </w:r>
      <m:oMathPara>
        <m:oMath>
          <m:r>
            <m:t>ϵ</m:t>
          </m:r>
          <m:r>
            <m:t>∈</m:t>
          </m:r>
          <m:r>
            <m:t>{</m:t>
          </m:r>
          <m:r>
            <m:t>0</m:t>
          </m:r>
          <m:r>
            <m:t>,</m:t>
          </m:r>
          <m:r>
            <m:t>1</m:t>
          </m:r>
          <m:r>
            <m:t>,</m:t>
          </m:r>
          <m:r>
            <m:t>…</m:t>
          </m:r>
          <m:r>
            <m:t>,</m:t>
          </m:r>
          <m:r>
            <m:t>E</m:t>
          </m:r>
          <m:r>
            <m:t>}</m:t>
          </m:r>
        </m:oMath>
      </m:oMathPara>
      <m:oMathPara>
        <m:oMath>
          <m:r>
            <m:t>ρ</m:t>
          </m:r>
          <m:r>
            <m:t>∈</m:t>
          </m:r>
          <m:r>
            <m:t>[</m:t>
          </m:r>
          <m:r>
            <m:t>0</m:t>
          </m:r>
          <m:r>
            <m:t>,</m:t>
          </m:r>
          <m:r>
            <m:t>1</m:t>
          </m:r>
          <m:r>
            <m:t>]</m:t>
          </m:r>
        </m:oMath>
      </m:oMathPara>
      <w:r>
        <w:rPr>
          <w:b w:val="0"/>
          <w:i w:val="0"/>
          <w:color w:val="000000"/>
        </w:rPr>
        <w:t xml:space="preserve">  和目标服务器  </w:t>
      </w:r>
      <w:r>
        <w:rPr>
          <w:b w:val="0"/>
          <w:i w:val="0"/>
          <w:color w:val="000000"/>
        </w:rPr>
        <w:t>（0 = 本地执行）。</w:t>
      </w:r>
    </w:p>
    <w:p>
      <w:pPr>
        <w:pStyle w:val="Heading2"/>
      </w:pPr>
      <w:r>
        <w:t>2.1 设备模型</w:t>
        <w:rPr>
          <w:color w:val="000000"/>
        </w:rPr>
      </w:r>
    </w:p>
    <w:p>
      <w:r>
        <w:rPr>
          <w:b w:val="0"/>
          <w:i w:val="0"/>
          <w:color w:val="000000"/>
        </w:rPr>
        <w:t xml:space="preserve">移动设备 MD：CPU  </w:t>
      </w:r>
      <m:oMathPara>
        <m:oMath>
          <m:sSub>
            <m:sSubPr/>
            <m:e>
              <m:r>
                <m:t>j</m:t>
              </m:r>
            </m:e>
            <m:sub>
              <m:r>
                <m:t>n</m:t>
              </m:r>
            </m:sub>
          </m:sSub>
          <m:r>
            <m:t>=</m:t>
          </m:r>
          <m:r>
            <m:t>{</m:t>
          </m:r>
          <m:sSub>
            <m:sSubPr/>
            <m:e>
              <m:r>
                <m:t>d</m:t>
              </m:r>
            </m:e>
            <m:sub>
              <m:r>
                <m:t>n</m:t>
              </m:r>
            </m:sub>
          </m:sSub>
          <m:r>
            <m:t>,</m:t>
          </m:r>
          <m:r>
            <m:t xml:space="preserve"> </m:t>
          </m:r>
          <m:r>
            <m:t>c</m:t>
          </m:r>
          <m:r>
            <m:t>,</m:t>
          </m:r>
          <m:r>
            <m:t xml:space="preserve"> </m:t>
          </m:r>
          <m:sSub>
            <m:sSubPr/>
            <m:e>
              <m:r>
                <m:t>t</m:t>
              </m:r>
            </m:e>
            <m:sub>
              <m:r>
                <m:t>max</m:t>
              </m:r>
            </m:sub>
          </m:sSub>
          <m:r>
            <m:t>}</m:t>
          </m:r>
        </m:oMath>
      </m:oMathPara>
      <m:oMathPara>
        <m:oMath>
          <m:sSub>
            <m:sSubPr/>
            <m:e>
              <m:r>
                <m:t>ε</m:t>
              </m:r>
            </m:e>
            <m:sub>
              <m:r>
                <m:t>m</m:t>
              </m:r>
            </m:sub>
          </m:sSub>
        </m:oMath>
      </m:oMathPara>
      <m:oMathPara>
        <m:oMath>
          <m:sSub>
            <m:sSubPr/>
            <m:e>
              <m:r>
                <m:t>f</m:t>
              </m:r>
            </m:e>
            <m:sub>
              <m:r>
                <m:t>m</m:t>
              </m:r>
            </m:sub>
          </m:sSub>
        </m:oMath>
      </m:oMathPara>
      <w:r>
        <w:rPr>
          <w:b w:val="0"/>
          <w:i w:val="0"/>
          <w:color w:val="000000"/>
        </w:rPr>
        <w:t xml:space="preserve">（Hz）、能量预算  </w:t>
      </w:r>
      <w:r>
        <w:rPr>
          <w:b w:val="0"/>
          <w:i w:val="0"/>
          <w:color w:val="000000"/>
        </w:rPr>
        <w:t xml:space="preserve">（J）。每时隙到达任务  </w:t>
      </w:r>
      <w:r>
        <w:rPr>
          <w:b w:val="0"/>
          <w:i w:val="0"/>
          <w:color w:val="000000"/>
        </w:rPr>
        <w:t>（数据量、CPU 周期/bit、最大容忍延迟）。</w:t>
      </w:r>
    </w:p>
    <w:p>
      <w:r>
        <w:rPr>
          <w:b w:val="0"/>
          <w:i w:val="0"/>
          <w:color w:val="000000"/>
        </w:rPr>
        <w:t xml:space="preserve">边缘服务器 ES：CPU  </w:t>
      </w:r>
      <m:oMathPara>
        <m:oMath>
          <m:sSub>
            <m:sSubPr/>
            <m:e>
              <m:r>
                <m:t>q</m:t>
              </m:r>
            </m:e>
            <m:sub>
              <m:r>
                <m:t>e</m:t>
              </m:r>
            </m:sub>
          </m:sSub>
        </m:oMath>
      </m:oMathPara>
      <m:oMathPara>
        <m:oMath>
          <m:sSub>
            <m:sSubPr/>
            <m:e>
              <m:r>
                <m:t>f</m:t>
              </m:r>
            </m:e>
            <m:sub>
              <m:r>
                <m:t>e</m:t>
              </m:r>
            </m:sub>
          </m:sSub>
        </m:oMath>
      </m:oMathPara>
      <w:r>
        <w:rPr>
          <w:b w:val="0"/>
          <w:i w:val="0"/>
          <w:color w:val="000000"/>
        </w:rPr>
        <w:t xml:space="preserve">（Hz）、任务队列  </w:t>
      </w:r>
      <w:r>
        <w:rPr>
          <w:b w:val="0"/>
          <w:i w:val="0"/>
          <w:color w:val="000000"/>
        </w:rPr>
        <w:t>。MD 之间无 D2D 直接通信。</w:t>
      </w:r>
    </w:p>
    <w:p>
      <w:pPr>
        <w:pStyle w:val="Heading2"/>
      </w:pPr>
      <w:r>
        <w:t>2.2 通信模型</w:t>
        <w:rPr>
          <w:color w:val="000000"/>
        </w:rPr>
      </w:r>
    </w:p>
    <w:p>
      <w:r>
        <w:rPr>
          <w:b w:val="0"/>
          <w:i w:val="0"/>
          <w:color w:val="000000"/>
        </w:rPr>
        <w:t>采用块衰落信道模型（Jakes 小尺度 + LTE 大尺度阴影）。</w:t>
      </w:r>
    </w:p>
    <w:p>
      <w:r>
        <w:rPr>
          <w:b w:val="0"/>
          <w:i w:val="0"/>
          <w:color w:val="000000"/>
        </w:rPr>
        <w:t>传输速率（Shannon 公式）：</w:t>
      </w:r>
    </w:p>
    <w:p>
      <w:pPr>
        <w:jc w:val="center"/>
      </w:pPr>
      <m:oMathPara>
        <m:oMath>
          <m:sSub>
            <m:sSubPr/>
            <m:e>
              <m:r>
                <m:t>v</m:t>
              </m:r>
            </m:e>
            <m:sub>
              <m:r>
                <m:t>m</m:t>
              </m:r>
              <m:r>
                <m:t>,</m:t>
              </m:r>
              <m:r>
                <m:t>e</m:t>
              </m:r>
              <m:r>
                <m:t>,</m:t>
              </m:r>
              <m:r>
                <m:t>n</m:t>
              </m:r>
            </m:sub>
          </m:sSub>
          <m:r>
            <m:t>=</m:t>
          </m:r>
          <m:r>
            <m:t>B</m:t>
          </m:r>
          <m:r>
            <m:t>·</m:t>
          </m:r>
          <m:sSub>
            <m:sSubPr/>
            <m:e>
              <m:r>
                <m:t>log</m:t>
              </m:r>
            </m:e>
            <m:sub>
              <m:r>
                <m:t>2</m:t>
              </m:r>
            </m:sub>
          </m:sSub>
          <m:r>
            <m:t xml:space="preserve"> </m:t>
          </m:r>
          <m:r>
            <m:t>(</m:t>
          </m:r>
          <m:r>
            <m:t>1</m:t>
          </m:r>
          <m:r>
            <m:t>+</m:t>
          </m:r>
          <m:f>
            <m:fPr/>
            <m:num>
              <m:sSub>
                <m:sSubPr/>
                <m:e>
                  <m:r>
                    <m:t>p</m:t>
                  </m:r>
                </m:e>
                <m:sub>
                  <m:r>
                    <m:t>tran</m:t>
                  </m:r>
                </m:sub>
              </m:sSub>
              <m:r>
                <m:t>·</m:t>
              </m:r>
              <m:sSub>
                <m:sSubPr/>
                <m:e>
                  <m:r>
                    <m:t>g</m:t>
                  </m:r>
                </m:e>
                <m:sub>
                  <m:r>
                    <m:t>m</m:t>
                  </m:r>
                  <m:r>
                    <m:t>,</m:t>
                  </m:r>
                  <m:r>
                    <m:t>e</m:t>
                  </m:r>
                  <m:r>
                    <m:t>,</m:t>
                  </m:r>
                  <m:r>
                    <m:t>n</m:t>
                  </m:r>
                </m:sub>
              </m:sSub>
            </m:num>
            <m:den>
              <m:sSub>
                <m:sSubPr/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,</m:t>
                  </m:r>
                  <m:r>
                    <m:t>e</m:t>
                  </m:r>
                  <m:r>
                    <m:t>,</m:t>
                  </m:r>
                  <m:r>
                    <m:t>n</m:t>
                  </m:r>
                </m:sub>
              </m:sSub>
              <m:r>
                <m:t>+</m:t>
              </m:r>
              <m:sSup>
                <m:sSupPr/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)</m:t>
          </m:r>
        </m:oMath>
      </m:oMathPara>
    </w:p>
    <w:p>
      <w:r>
        <w:rPr>
          <w:b w:val="0"/>
          <w:i w:val="0"/>
          <w:color w:val="000000"/>
        </w:rPr>
        <w:t xml:space="preserve">干扰  </w:t>
      </w:r>
      <m:oMathPara>
        <m:oMath>
          <m:sSub>
            <m:sSubPr/>
            <m:e>
              <m:r>
                <m:t>I</m:t>
              </m:r>
            </m:e>
            <m:sub>
              <m:r>
                <m:t>m</m:t>
              </m:r>
              <m:r>
                <m:t>,</m:t>
              </m:r>
              <m:r>
                <m:t>e</m:t>
              </m:r>
              <m:r>
                <m:t>,</m:t>
              </m:r>
              <m:r>
                <m:t>n</m:t>
              </m:r>
            </m:sub>
          </m:sSub>
        </m:oMath>
      </m:oMathPara>
      <w:r>
        <w:rPr>
          <w:b w:val="0"/>
          <w:i w:val="0"/>
          <w:color w:val="000000"/>
        </w:rPr>
        <w:t xml:space="preserve">  对除自己外所有同时卸载的 MD 求和。</w:t>
      </w:r>
    </w:p>
    <w:p>
      <w:pPr>
        <w:pStyle w:val="Heading2"/>
      </w:pPr>
      <w:r>
        <w:t>2.3 MDP 形式化</w:t>
        <w:rPr>
          <w:color w:val="000000"/>
        </w:rPr>
      </w:r>
    </w:p>
    <w:p>
      <w:r>
        <w:rPr>
          <w:b w:val="0"/>
          <w:i w:val="0"/>
          <w:color w:val="000000"/>
        </w:rPr>
        <w:t>5-元组 (s, a, P, γ, r)：</w:t>
      </w:r>
    </w:p>
    <w:p>
      <w:r>
        <w:rPr>
          <w:b w:val="0"/>
          <w:i w:val="0"/>
          <w:color w:val="000000"/>
        </w:rPr>
        <w:t>状态：所有 MD 任务信息 + 所有 ES 队列 + 所有 MD 剩余能量。</w:t>
      </w:r>
    </w:p>
    <w:p>
      <w:r>
        <w:rPr>
          <w:b w:val="0"/>
          <w:i w:val="0"/>
          <w:color w:val="000000"/>
        </w:rPr>
        <w:t>动作：所有 MD 的 (ρ, ε) 联合动作。</w:t>
      </w:r>
    </w:p>
    <w:p>
      <w:r>
        <w:rPr>
          <w:b w:val="0"/>
          <w:i w:val="0"/>
          <w:color w:val="000000"/>
        </w:rPr>
        <w:t>奖励：</w:t>
      </w:r>
      <m:oMathPara>
        <m:oMath>
          <m:sSub>
            <m:sSubPr/>
            <m:e>
              <m:r>
                <m:t>r</m:t>
              </m:r>
            </m:e>
            <m:sub>
              <m:r>
                <m:t>n</m:t>
              </m:r>
            </m:sub>
          </m:sSub>
          <m:r>
            <m:t>=</m:t>
          </m:r>
          <m:r>
            <m:t>−</m:t>
          </m:r>
          <m:sSub>
            <m:sSubPr/>
            <m:e>
              <m:r>
                <m:t>C</m:t>
              </m:r>
            </m:e>
            <m:sub>
              <m:r>
                <m:t>n</m:t>
              </m:r>
            </m:sub>
          </m:sSub>
          <m:r>
            <m:t>−</m:t>
          </m:r>
          <m:r>
            <m:t>penalty</m:t>
          </m:r>
        </m:oMath>
      </m:oMathPara>
    </w:p>
    <w:p>
      <w:r>
        <w:rPr>
          <w:b w:val="0"/>
          <w:i w:val="0"/>
          <w:color w:val="000000"/>
        </w:rPr>
        <w:t>其中 C_n 为加权延迟 + 能耗。执行时采用 Dec-POMDP：每个 MD 仅观测局部状态。</w:t>
      </w:r>
    </w:p>
    <w:p>
      <w:pPr>
        <w:pStyle w:val="Heading1"/>
      </w:pPr>
      <w:r>
        <w:t>3. 项目目录结构</w:t>
        <w:rPr>
          <w:color w:val="000000"/>
        </w:rPr>
      </w:r>
    </w:p>
    <w:p>
      <w:r>
        <w:rPr>
          <w:rFonts w:ascii="Consolas" w:hAnsi="Consolas"/>
          <w:b w:val="0"/>
          <w:i w:val="0"/>
          <w:sz w:val="18"/>
          <w:color w:val="000000"/>
        </w:rPr>
        <w:t>MARL-IPPOAndMore/</w:t>
      </w:r>
      <w:r>
        <w:rPr>
          <w:b w:val="0"/>
          <w:i w:val="0"/>
          <w:sz w:val="18"/>
          <w:color w:val="000000"/>
        </w:rPr>
        <w:t xml:space="preserve">  — 项目根目录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├── DESIGN_DOCUMENT.md</w:t>
      </w:r>
      <w:r>
        <w:rPr>
          <w:b w:val="0"/>
          <w:i w:val="0"/>
          <w:sz w:val="18"/>
          <w:color w:val="000000"/>
        </w:rPr>
        <w:t xml:space="preserve">  — 完整架构设计文档（9 章）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├── PROJECT_MANUAL.docx</w:t>
      </w:r>
      <w:r>
        <w:rPr>
          <w:b w:val="0"/>
          <w:i w:val="0"/>
          <w:sz w:val="18"/>
          <w:color w:val="000000"/>
        </w:rPr>
        <w:t xml:space="preserve">  — 本手册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├── papers/</w:t>
      </w:r>
      <w:r>
        <w:rPr>
          <w:b w:val="0"/>
          <w:i w:val="0"/>
          <w:sz w:val="18"/>
          <w:color w:val="000000"/>
        </w:rPr>
        <w:t xml:space="preserve">  — 参考论文（8 篇 PDF + REFERENCES.md）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├── envs/</w:t>
      </w:r>
      <w:r>
        <w:rPr>
          <w:b w:val="0"/>
          <w:i w:val="0"/>
          <w:sz w:val="18"/>
          <w:color w:val="000000"/>
        </w:rPr>
        <w:t xml:space="preserve">  — PettingZoo 环境实现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└── edge_offload_env.py</w:t>
      </w:r>
      <w:r>
        <w:rPr>
          <w:b w:val="0"/>
          <w:i w:val="0"/>
          <w:sz w:val="18"/>
          <w:color w:val="000000"/>
        </w:rPr>
        <w:t xml:space="preserve">  — ParallelEnv：多设备边缘卸载仿真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├── agents/</w:t>
      </w:r>
      <w:r>
        <w:rPr>
          <w:b w:val="0"/>
          <w:i w:val="0"/>
          <w:sz w:val="18"/>
          <w:color w:val="000000"/>
        </w:rPr>
        <w:t xml:space="preserve">  — 强化学习智能体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├── ippo_agent.py</w:t>
      </w:r>
      <w:r>
        <w:rPr>
          <w:b w:val="0"/>
          <w:i w:val="0"/>
          <w:sz w:val="18"/>
          <w:color w:val="000000"/>
        </w:rPr>
        <w:t xml:space="preserve">  — Stage 1：独立 PPO（桩代码）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├── mappo_agent.py</w:t>
      </w:r>
      <w:r>
        <w:rPr>
          <w:b w:val="0"/>
          <w:i w:val="0"/>
          <w:sz w:val="18"/>
          <w:color w:val="000000"/>
        </w:rPr>
        <w:t xml:space="preserve">  — MAPPO 对比基线（桩代码）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├── explaboff_agent.py</w:t>
      </w:r>
      <w:r>
        <w:rPr>
          <w:b w:val="0"/>
          <w:i w:val="0"/>
          <w:sz w:val="18"/>
          <w:color w:val="000000"/>
        </w:rPr>
        <w:t xml:space="preserve">  — Stage 2：ExplabOff（桩代码）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└── networks/</w:t>
      </w:r>
      <w:r>
        <w:rPr>
          <w:b w:val="0"/>
          <w:i w:val="0"/>
          <w:sz w:val="18"/>
          <w:color w:val="000000"/>
        </w:rPr>
        <w:t xml:space="preserve">  — 神经网络模块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    ├── actor_critic.py</w:t>
      </w:r>
      <w:r>
        <w:rPr>
          <w:b w:val="0"/>
          <w:i w:val="0"/>
          <w:sz w:val="18"/>
          <w:color w:val="000000"/>
        </w:rPr>
        <w:t xml:space="preserve">  — Actor-Critic 架构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    ├── mi_estimator.py</w:t>
      </w:r>
      <w:r>
        <w:rPr>
          <w:b w:val="0"/>
          <w:i w:val="0"/>
          <w:sz w:val="18"/>
          <w:color w:val="000000"/>
        </w:rPr>
        <w:t xml:space="preserve">  — InfoNCE / L1Out MI 估计器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    └── gat_module.py</w:t>
      </w:r>
      <w:r>
        <w:rPr>
          <w:b w:val="0"/>
          <w:i w:val="0"/>
          <w:sz w:val="18"/>
          <w:color w:val="000000"/>
        </w:rPr>
        <w:t xml:space="preserve">  — GAT 图注意力通信模块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├── trainers/</w:t>
      </w:r>
      <w:r>
        <w:rPr>
          <w:b w:val="0"/>
          <w:i w:val="0"/>
          <w:sz w:val="18"/>
          <w:color w:val="000000"/>
        </w:rPr>
        <w:t xml:space="preserve">  — 训练脚本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├── stage1_train.py</w:t>
      </w:r>
      <w:r>
        <w:rPr>
          <w:b w:val="0"/>
          <w:i w:val="0"/>
          <w:sz w:val="18"/>
          <w:color w:val="000000"/>
        </w:rPr>
        <w:t xml:space="preserve">  — IPPO 训练循环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├── stage2_train.py</w:t>
      </w:r>
      <w:r>
        <w:rPr>
          <w:b w:val="0"/>
          <w:i w:val="0"/>
          <w:sz w:val="18"/>
          <w:color w:val="000000"/>
        </w:rPr>
        <w:t xml:space="preserve">  — ExplabOff 训练循环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└── stage3_train.py</w:t>
      </w:r>
      <w:r>
        <w:rPr>
          <w:b w:val="0"/>
          <w:i w:val="0"/>
          <w:sz w:val="18"/>
          <w:color w:val="000000"/>
        </w:rPr>
        <w:t xml:space="preserve">  — 课程学习 + GNN 训练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├── configs/</w:t>
      </w:r>
      <w:r>
        <w:rPr>
          <w:b w:val="0"/>
          <w:i w:val="0"/>
          <w:sz w:val="18"/>
          <w:color w:val="000000"/>
        </w:rPr>
        <w:t xml:space="preserve">  — YAML 配置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├── default.yaml</w:t>
      </w:r>
      <w:r>
        <w:rPr>
          <w:b w:val="0"/>
          <w:i w:val="0"/>
          <w:sz w:val="18"/>
          <w:color w:val="000000"/>
        </w:rPr>
        <w:t xml:space="preserve">  — Stage 1 配置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├── explaboff.yaml</w:t>
      </w:r>
      <w:r>
        <w:rPr>
          <w:b w:val="0"/>
          <w:i w:val="0"/>
          <w:sz w:val="18"/>
          <w:color w:val="000000"/>
        </w:rPr>
        <w:t xml:space="preserve">  — Stage 2 配置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└── large_scale.yaml</w:t>
      </w:r>
      <w:r>
        <w:rPr>
          <w:b w:val="0"/>
          <w:i w:val="0"/>
          <w:sz w:val="18"/>
          <w:color w:val="000000"/>
        </w:rPr>
        <w:t xml:space="preserve">  — Stage 3 配置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├── utils/</w:t>
      </w:r>
      <w:r>
        <w:rPr>
          <w:b w:val="0"/>
          <w:i w:val="0"/>
          <w:sz w:val="18"/>
          <w:color w:val="000000"/>
        </w:rPr>
        <w:t xml:space="preserve">  — 工具模块（完整实现）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├── task_device.py</w:t>
      </w:r>
      <w:r>
        <w:rPr>
          <w:b w:val="0"/>
          <w:i w:val="0"/>
          <w:sz w:val="18"/>
          <w:color w:val="000000"/>
        </w:rPr>
        <w:t xml:space="preserve">  — Task / Device 数据类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├── helpers.py</w:t>
      </w:r>
      <w:r>
        <w:rPr>
          <w:b w:val="0"/>
          <w:i w:val="0"/>
          <w:sz w:val="18"/>
          <w:color w:val="000000"/>
        </w:rPr>
        <w:t xml:space="preserve">  — 延迟 / 能耗 / 公平性计算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│   └── metrics.py</w:t>
      </w:r>
      <w:r>
        <w:rPr>
          <w:b w:val="0"/>
          <w:i w:val="0"/>
          <w:sz w:val="18"/>
          <w:color w:val="000000"/>
        </w:rPr>
        <w:t xml:space="preserve">  — MetricsCollector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└── evaluation/</w:t>
      </w:r>
      <w:r>
        <w:rPr>
          <w:b w:val="0"/>
          <w:i w:val="0"/>
          <w:sz w:val="18"/>
          <w:color w:val="000000"/>
        </w:rPr>
        <w:t xml:space="preserve">  — 评估脚本</w:t>
      </w:r>
    </w:p>
    <w:p>
      <w:r>
        <w:rPr>
          <w:rFonts w:ascii="Consolas" w:hAnsi="Consolas"/>
          <w:b w:val="0"/>
          <w:i w:val="0"/>
          <w:sz w:val="18"/>
          <w:color w:val="000000"/>
        </w:rPr>
        <w:t xml:space="preserve">      └── compare.py</w:t>
      </w:r>
      <w:r>
        <w:rPr>
          <w:b w:val="0"/>
          <w:i w:val="0"/>
          <w:sz w:val="18"/>
          <w:color w:val="000000"/>
        </w:rPr>
        <w:t xml:space="preserve">  — 算法对比套件</w:t>
      </w:r>
    </w:p>
    <w:p>
      <w:pPr>
        <w:pStyle w:val="Heading1"/>
      </w:pPr>
      <w:r>
        <w:t>4. 快速开始</w:t>
        <w:rPr>
          <w:color w:val="000000"/>
        </w:rPr>
      </w:r>
    </w:p>
    <w:p>
      <w:pPr>
        <w:pStyle w:val="Heading2"/>
      </w:pPr>
      <w:r>
        <w:t>4.1 环境要求</w:t>
        <w:rPr>
          <w:color w:val="000000"/>
        </w:rPr>
      </w:r>
    </w:p>
    <w:p>
      <w:r>
        <w:rPr>
          <w:b w:val="0"/>
          <w:i w:val="0"/>
          <w:color w:val="000000"/>
        </w:rPr>
        <w:t>Python 3.10+  ·  PyTorch 1.13+（可选 CUDA 12.1+）  ·  内存 8GB+</w:t>
        <w:br/>
        <w:t>安装依赖：pip install pettingzoo gymnasium numpy torch matplotlib tensorboard pyyaml networkx</w:t>
      </w:r>
    </w:p>
    <w:p>
      <w:pPr>
        <w:pStyle w:val="Heading2"/>
      </w:pPr>
      <w:r>
        <w:t>4.2 环境快速验证</w:t>
        <w:rPr>
          <w:color w:val="000000"/>
        </w:rPr>
      </w:r>
    </w:p>
    <w:p>
      <w:r>
        <w:rPr>
          <w:b w:val="0"/>
          <w:i w:val="0"/>
          <w:color w:val="000000"/>
        </w:rPr>
        <w:t>验证 PettingZoo 环境：</w:t>
      </w:r>
    </w:p>
    <w:p>
      <w:r>
        <w:rPr>
          <w:rFonts w:ascii="Consolas" w:hAnsi="Consolas"/>
          <w:b w:val="0"/>
          <w:i w:val="0"/>
          <w:sz w:val="16"/>
          <w:color w:val="000000"/>
        </w:rPr>
        <w:t>python -c "from envs.edge_offload_env import EdgeOffloadEnv; env=EdgeOffloadEnv(num_devices=5,num_servers=3); obs,_=env.reset(); actions={a:{'offload_ratio':0.5,'target_es':1} for a in env.agents}; o,r,t,tr,i=env.step(actions)"</w:t>
      </w:r>
    </w:p>
    <w:p>
      <w:pPr>
        <w:pStyle w:val="Heading2"/>
      </w:pPr>
      <w:r>
        <w:t>4.3 启动训练</w:t>
        <w:rPr>
          <w:color w:val="000000"/>
        </w:rPr>
      </w:r>
    </w:p>
    <w:p>
      <w:r>
        <w:rPr>
          <w:b w:val="0"/>
          <w:i w:val="0"/>
          <w:color w:val="000000"/>
        </w:rPr>
        <w:t>python trainers/stage1_train.py --config configs/default.yaml --episodes 500</w:t>
      </w:r>
    </w:p>
    <w:p>
      <w:pPr>
        <w:pStyle w:val="Heading1"/>
      </w:pPr>
      <w:r>
        <w:t>5. 环境接口（API）</w:t>
        <w:rPr>
          <w:color w:val="000000"/>
        </w:rPr>
      </w:r>
    </w:p>
    <w:p>
      <w:r>
        <w:rPr>
          <w:b w:val="0"/>
          <w:i w:val="0"/>
          <w:color w:val="000000"/>
        </w:rPr>
        <w:t>EdgeOffloadEnv 继承 PettingZoo 的 ParallelEnv。所有智能体每时隙同步决策。</w:t>
      </w:r>
    </w:p>
    <w:p>
      <w:pPr>
        <w:pStyle w:val="Heading2"/>
      </w:pPr>
      <w:r>
        <w:t>5.1 构造参数</w:t>
        <w:rPr>
          <w:color w:val="00000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默认值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num_devices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移动设备数 M</w:t>
            </w:r>
          </w:p>
        </w:tc>
      </w:tr>
      <w:tr>
        <w:tc>
          <w:tcPr>
            <w:tcW w:type="dxa" w:w="2160"/>
          </w:tcPr>
          <w:p>
            <w:r>
              <w:t>num_servers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边缘服务器数 E</w:t>
            </w:r>
          </w:p>
        </w:tc>
      </w:tr>
      <w:tr>
        <w:tc>
          <w:tcPr>
            <w:tcW w:type="dxa" w:w="2160"/>
          </w:tcPr>
          <w:p>
            <w:r>
              <w:t>max_slots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每 episode 最大时隙</w:t>
            </w:r>
          </w:p>
        </w:tc>
      </w:tr>
      <w:tr>
        <w:tc>
          <w:tcPr>
            <w:tcW w:type="dxa" w:w="2160"/>
          </w:tcPr>
          <w:p>
            <w:r>
              <w:t>device_cpu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1e9</w:t>
            </w:r>
          </w:p>
        </w:tc>
        <w:tc>
          <w:tcPr>
            <w:tcW w:type="dxa" w:w="2160"/>
          </w:tcPr>
          <w:p>
            <w:r>
              <w:t>MD CPU 频率（Hz）</w:t>
            </w:r>
          </w:p>
        </w:tc>
      </w:tr>
      <w:tr>
        <w:tc>
          <w:tcPr>
            <w:tcW w:type="dxa" w:w="2160"/>
          </w:tcPr>
          <w:p>
            <w:r>
              <w:t>server_cpu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7e9</w:t>
            </w:r>
          </w:p>
        </w:tc>
        <w:tc>
          <w:tcPr>
            <w:tcW w:type="dxa" w:w="2160"/>
          </w:tcPr>
          <w:p>
            <w:r>
              <w:t>ES CPU 频率（Hz）</w:t>
            </w:r>
          </w:p>
        </w:tc>
      </w:tr>
      <w:tr>
        <w:tc>
          <w:tcPr>
            <w:tcW w:type="dxa" w:w="2160"/>
          </w:tcPr>
          <w:p>
            <w:r>
              <w:t>energy_budget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  <w:tc>
          <w:tcPr>
            <w:tcW w:type="dxa" w:w="2160"/>
          </w:tcPr>
          <w:p>
            <w:r>
              <w:t>MD 初始能量（J）</w:t>
            </w:r>
          </w:p>
        </w:tc>
      </w:tr>
      <w:tr>
        <w:tc>
          <w:tcPr>
            <w:tcW w:type="dxa" w:w="2160"/>
          </w:tcPr>
          <w:p>
            <w:r>
              <w:t>tx_power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发射功率（W）</w:t>
            </w:r>
          </w:p>
        </w:tc>
      </w:tr>
      <w:tr>
        <w:tc>
          <w:tcPr>
            <w:tcW w:type="dxa" w:w="2160"/>
          </w:tcPr>
          <w:p>
            <w:r>
              <w:t>bandwidth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10e6</w:t>
            </w:r>
          </w:p>
        </w:tc>
        <w:tc>
          <w:tcPr>
            <w:tcW w:type="dxa" w:w="2160"/>
          </w:tcPr>
          <w:p>
            <w:r>
              <w:t>系统带宽（Hz）</w:t>
            </w:r>
          </w:p>
        </w:tc>
      </w:tr>
      <w:tr>
        <w:tc>
          <w:tcPr>
            <w:tcW w:type="dxa" w:w="2160"/>
          </w:tcPr>
          <w:p>
            <w:r>
              <w:t>noise_power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1e-11</w:t>
            </w:r>
          </w:p>
        </w:tc>
        <w:tc>
          <w:tcPr>
            <w:tcW w:type="dxa" w:w="2160"/>
          </w:tcPr>
          <w:p>
            <w:r>
              <w:t>噪声功率（W）</w:t>
            </w:r>
          </w:p>
        </w:tc>
      </w:tr>
      <w:tr>
        <w:tc>
          <w:tcPr>
            <w:tcW w:type="dxa" w:w="2160"/>
          </w:tcPr>
          <w:p>
            <w:r>
              <w:t>energy_coeff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1e-28</w:t>
            </w:r>
          </w:p>
        </w:tc>
        <w:tc>
          <w:tcPr>
            <w:tcW w:type="dxa" w:w="2160"/>
          </w:tcPr>
          <w:p>
            <w:r>
              <w:t>CMOS 能耗系数 ξ</w:t>
            </w:r>
          </w:p>
        </w:tc>
      </w:tr>
      <w:tr>
        <w:tc>
          <w:tcPr>
            <w:tcW w:type="dxa" w:w="2160"/>
          </w:tcPr>
          <w:p>
            <w:r>
              <w:t>cost_weight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延迟/能耗权衡 η</w:t>
            </w:r>
          </w:p>
        </w:tc>
      </w:tr>
    </w:tbl>
    <w:p>
      <w:pPr>
        <w:pStyle w:val="Heading2"/>
      </w:pPr>
      <w:r>
        <w:t>5.2 关键方法</w:t>
        <w:rPr>
          <w:color w:val="000000"/>
        </w:rPr>
      </w:r>
    </w:p>
    <w:p>
      <w:r>
        <w:rPr>
          <w:rFonts w:ascii="Consolas" w:hAnsi="Consolas"/>
          <w:b w:val="0"/>
          <w:i w:val="0"/>
          <w:color w:val="000000"/>
        </w:rPr>
        <w:t>reset(seed=None)</w:t>
      </w:r>
      <w:r>
        <w:rPr>
          <w:b w:val="0"/>
          <w:i w:val="0"/>
          <w:color w:val="000000"/>
        </w:rPr>
        <w:t xml:space="preserve">  → (obs, infos)，重置环境并返回局部观测</w:t>
      </w:r>
    </w:p>
    <w:p>
      <w:r>
        <w:rPr>
          <w:rFonts w:ascii="Consolas" w:hAnsi="Consolas"/>
          <w:b w:val="0"/>
          <w:i w:val="0"/>
          <w:color w:val="000000"/>
        </w:rPr>
        <w:t>step(actions)</w:t>
      </w:r>
      <w:r>
        <w:rPr>
          <w:b w:val="0"/>
          <w:i w:val="0"/>
          <w:color w:val="000000"/>
        </w:rPr>
        <w:t xml:space="preserve">  执行一个时隙。actions = {"device_0": {"offload_ratio": 0.5, "target_es": 2}}</w:t>
      </w:r>
    </w:p>
    <w:p>
      <w:r>
        <w:rPr>
          <w:rFonts w:ascii="Consolas" w:hAnsi="Consolas"/>
          <w:b w:val="0"/>
          <w:i w:val="0"/>
          <w:color w:val="000000"/>
        </w:rPr>
        <w:t>render()</w:t>
      </w:r>
      <w:r>
        <w:rPr>
          <w:b w:val="0"/>
          <w:i w:val="0"/>
          <w:color w:val="000000"/>
        </w:rPr>
        <w:t xml:space="preserve">  文本格式渲染环境状态（每时隙）</w:t>
      </w:r>
    </w:p>
    <w:p>
      <w:r>
        <w:rPr>
          <w:rFonts w:ascii="Consolas" w:hAnsi="Consolas"/>
          <w:b w:val="0"/>
          <w:i w:val="0"/>
          <w:color w:val="000000"/>
        </w:rPr>
        <w:t>get_episode_metrics()</w:t>
      </w:r>
      <w:r>
        <w:rPr>
          <w:b w:val="0"/>
          <w:i w:val="0"/>
          <w:color w:val="000000"/>
        </w:rPr>
        <w:t xml:space="preserve">  → {completion_rate, avg_energy, avg_latency}</w:t>
      </w:r>
    </w:p>
    <w:p>
      <w:pPr>
        <w:pStyle w:val="Heading2"/>
      </w:pPr>
      <w:r>
        <w:t>5.3 观测空间</w:t>
        <w:rPr>
          <w:color w:val="000000"/>
        </w:rPr>
      </w:r>
    </w:p>
    <w:p>
      <w:r>
        <w:rPr>
          <w:b w:val="0"/>
          <w:i w:val="0"/>
          <w:color w:val="000000"/>
        </w:rPr>
        <w:t>每个 agent 接收 (3 + E) 维局部观测向量：</w:t>
      </w:r>
    </w:p>
    <w:p>
      <w:r>
        <w:rPr>
          <w:b w:val="0"/>
          <w:i w:val="0"/>
          <w:color w:val="000000"/>
        </w:rPr>
        <w:t>[0] 当前任务数据量（归一化）  [1] 最大容忍延迟  [2] 剩余能量比例  [3:3+E] 各 ES 队列估计</w:t>
      </w:r>
    </w:p>
    <w:p>
      <w:pPr>
        <w:pStyle w:val="Heading2"/>
      </w:pPr>
      <w:r>
        <w:t>5.4 动作空间</w:t>
        <w:rPr>
          <w:color w:val="000000"/>
        </w:rPr>
      </w:r>
    </w:p>
    <w:p>
      <w:r>
        <w:rPr>
          <w:b w:val="0"/>
          <w:i w:val="0"/>
          <w:color w:val="000000"/>
        </w:rPr>
        <w:t>offload_ratio: float ∈ [0, 1] — 卸载比例</w:t>
      </w:r>
    </w:p>
    <w:p>
      <w:r>
        <w:rPr>
          <w:b w:val="0"/>
          <w:i w:val="0"/>
          <w:color w:val="000000"/>
        </w:rPr>
        <w:t>target_es: int ∈ {0, ..., E} — 0=本地执行, 1..E=目标 ES</w:t>
      </w:r>
    </w:p>
    <w:p>
      <w:pPr>
        <w:pStyle w:val="Heading1"/>
      </w:pPr>
      <w:r>
        <w:t>6. 算法管线</w:t>
        <w:rPr>
          <w:color w:val="000000"/>
        </w:rPr>
      </w:r>
    </w:p>
    <w:p>
      <w:pPr>
        <w:pStyle w:val="Heading2"/>
      </w:pPr>
      <w:r>
        <w:t>6.1 Stage 1：IPPO 基线（30%）</w:t>
        <w:rPr>
          <w:color w:val="000000"/>
        </w:rPr>
      </w:r>
    </w:p>
    <w:p>
      <w:r>
        <w:rPr>
          <w:b w:val="0"/>
          <w:i w:val="0"/>
          <w:color w:val="000000"/>
        </w:rPr>
        <w:t>独立 PPO + 参数共享。每台 MD 维护独立的 Actor-Critic 网络，所有 agent 共享权重但独立计算 loss。无智能体间通信，每个 agent 仅使用局部观测做决策。通过 agent ID embedding 区分不同设备。</w:t>
      </w:r>
    </w:p>
    <w:p>
      <w:r>
        <w:rPr>
          <w:b w:val="0"/>
          <w:i w:val="0"/>
          <w:color w:val="000000"/>
        </w:rPr>
        <w:t>对比基线：同步实现 MAPPO（集中式 Critic 使用全局状态）。</w:t>
      </w:r>
    </w:p>
    <w:p>
      <w:r>
        <w:rPr>
          <w:b w:val="0"/>
          <w:i w:val="0"/>
          <w:color w:val="000000"/>
        </w:rPr>
        <w:t>参考：de Witt et al., ICLR 2020; Yu et al., NeurIPS 2022.</w:t>
      </w:r>
    </w:p>
    <w:p>
      <w:pPr>
        <w:pStyle w:val="Heading2"/>
      </w:pPr>
      <w:r>
        <w:t>6.2 Stage 2：ExplabOff 互信息方案（35%）</w:t>
        <w:rPr>
          <w:color w:val="000000"/>
        </w:rPr>
      </w:r>
    </w:p>
    <w:p>
      <w:r>
        <w:rPr>
          <w:b w:val="0"/>
          <w:i w:val="0"/>
          <w:color w:val="000000"/>
        </w:rPr>
        <w:t>互信息（MI）增强的 MARL。Critic 目标函数引入全局状态与联合动作的互信息：</w:t>
      </w:r>
    </w:p>
    <w:p>
      <w:pPr>
        <w:jc w:val="center"/>
      </w:pPr>
      <m:oMathPara>
        <m:oMath>
          <m:r>
            <m:t>J</m:t>
          </m:r>
          <m:r>
            <m:t>(</m:t>
          </m:r>
          <m:r>
            <m:t>Q</m:t>
          </m:r>
          <m:r>
            <m:t>)</m:t>
          </m:r>
          <m:r>
            <m:t>=</m:t>
          </m:r>
          <m:r>
            <m:t>𝔼</m:t>
          </m:r>
          <m:r>
            <m:t xml:space="preserve"> </m:t>
          </m:r>
          <m:r>
            <m:t>[</m:t>
          </m:r>
          <m:sSup>
            <m:sSupPr/>
            <m:e>
              <m:r>
                <m:t>γ</m:t>
              </m:r>
            </m:e>
            <m:sup>
              <m:r>
                <m:t xml:space="preserve"> </m:t>
              </m:r>
              <m:r>
                <m:t>n</m:t>
              </m:r>
              <m:r>
                <m:t>−</m:t>
              </m:r>
              <m:r>
                <m:t>1</m:t>
              </m:r>
            </m:sup>
          </m:sSup>
          <m:r>
            <m:t xml:space="preserve"> </m:t>
          </m:r>
          <m:r>
            <m:t>(</m:t>
          </m:r>
          <m:r>
            <m:t>r</m:t>
          </m:r>
          <m:r>
            <m:t>(</m:t>
          </m:r>
          <m:sSub>
            <m:sSubPr/>
            <m:e>
              <m:r>
                <m:t>s</m:t>
              </m:r>
            </m:e>
            <m:sub>
              <m:r>
                <m:t>n</m:t>
              </m:r>
            </m:sub>
          </m:sSub>
          <m:r>
            <m:t>,</m:t>
          </m:r>
          <m:sSub>
            <m:sSubPr/>
            <m:e>
              <m:r>
                <m:t>a</m:t>
              </m:r>
            </m:e>
            <m:sub>
              <m:r>
                <m:t>n</m:t>
              </m:r>
            </m:sub>
          </m:sSub>
          <m:r>
            <m:t>)</m:t>
          </m:r>
          <m:r>
            <m:t>+</m:t>
          </m:r>
          <m:r>
            <m:t>I</m:t>
          </m:r>
          <m:r>
            <m:t>(</m:t>
          </m:r>
          <m:sSub>
            <m:sSubPr/>
            <m:e>
              <m:r>
                <m:t>s</m:t>
              </m:r>
            </m:e>
            <m:sub>
              <m:r>
                <m:t>n</m:t>
              </m:r>
            </m:sub>
          </m:sSub>
          <m:r>
            <m:t>;</m:t>
          </m:r>
          <m:sSub>
            <m:sSubPr/>
            <m:e>
              <m:r>
                <m:t>a</m:t>
              </m:r>
            </m:e>
            <m:sub>
              <m:r>
                <m:t>n</m:t>
              </m:r>
            </m:sub>
          </m:sSub>
          <m:r>
            <m:t>)</m:t>
          </m:r>
          <m:r>
            <m:t>)</m:t>
          </m:r>
          <m:r>
            <m:t>]</m:t>
          </m:r>
        </m:oMath>
      </m:oMathPara>
    </w:p>
    <w:p>
      <w:r>
        <w:rPr>
          <w:b w:val="0"/>
          <w:i w:val="0"/>
          <w:color w:val="000000"/>
        </w:rPr>
        <w:t>其中 I(s; a) 通过三个熵项组合推导而来：</w:t>
      </w:r>
    </w:p>
    <w:p>
      <w:pPr>
        <w:jc w:val="center"/>
      </w:pPr>
      <m:oMathPara>
        <m:oMath>
          <m:r>
            <m:t>H</m:t>
          </m:r>
          <m:r>
            <m:t>(</m:t>
          </m:r>
          <m:r>
            <m:t>a</m:t>
          </m:r>
          <m:r>
            <m:t>)</m:t>
          </m:r>
          <m:r>
            <m:t>−</m:t>
          </m:r>
          <m:r>
            <m:t>H</m:t>
          </m:r>
          <m:r>
            <m:t>(</m:t>
          </m:r>
          <m:sSup>
            <m:sSupPr/>
            <m:e>
              <m:r>
                <m:t>a</m:t>
              </m:r>
            </m:e>
            <m:sup>
              <m:r>
                <m:t>−</m:t>
              </m:r>
              <m:r>
                <m:t>m</m:t>
              </m:r>
            </m:sup>
          </m:sSup>
          <m:r>
            <m:t xml:space="preserve"> </m:t>
          </m:r>
          <m:r>
            <m:t>∣</m:t>
          </m:r>
          <m:r>
            <m:t xml:space="preserve"> </m:t>
          </m:r>
          <m:sSup>
            <m:sSupPr/>
            <m:e>
              <m:r>
                <m:t>a</m:t>
              </m:r>
            </m:e>
            <m:sup>
              <m:r>
                <m:t>m</m:t>
              </m:r>
            </m:sup>
          </m:sSup>
          <m:r>
            <m:t>,</m:t>
          </m:r>
          <m:r>
            <m:t>s</m:t>
          </m:r>
          <m:r>
            <m:t>)</m:t>
          </m:r>
          <m:r>
            <m:t>−</m:t>
          </m:r>
          <m:r>
            <m:t>H</m:t>
          </m:r>
          <m:r>
            <m:t>(</m:t>
          </m:r>
          <m:sSup>
            <m:sSupPr/>
            <m:e>
              <m:r>
                <m:t>a</m:t>
              </m:r>
            </m:e>
            <m:sup>
              <m:r>
                <m:t>m</m:t>
              </m:r>
            </m:sup>
          </m:sSup>
          <m:r>
            <m:t xml:space="preserve"> </m:t>
          </m:r>
          <m:r>
            <m:t>∣</m:t>
          </m:r>
          <m:r>
            <m:t xml:space="preserve"> </m:t>
          </m:r>
          <m:r>
            <m:t>s</m:t>
          </m:r>
          <m:r>
            <m:t>)</m:t>
          </m:r>
          <m:r>
            <m:t>=</m:t>
          </m:r>
          <m:r>
            <m:t>H</m:t>
          </m:r>
          <m:r>
            <m:t>(</m:t>
          </m:r>
          <m:r>
            <m:t>a</m:t>
          </m:r>
          <m:r>
            <m:t>)</m:t>
          </m:r>
          <m:r>
            <m:t>−</m:t>
          </m:r>
          <m:r>
            <m:t>H</m:t>
          </m:r>
          <m:r>
            <m:t>(</m:t>
          </m:r>
          <m:r>
            <m:t>a</m:t>
          </m:r>
          <m:r>
            <m:t>,</m:t>
          </m:r>
          <m:r>
            <m:t>s</m:t>
          </m:r>
          <m:r>
            <m:t>)</m:t>
          </m:r>
          <m:r>
            <m:t>+</m:t>
          </m:r>
          <m:r>
            <m:t>H</m:t>
          </m:r>
          <m:r>
            <m:t>(</m:t>
          </m:r>
          <m:r>
            <m:t>s</m:t>
          </m:r>
          <m:r>
            <m:t>)</m:t>
          </m:r>
          <m:r>
            <m:t>=</m:t>
          </m:r>
          <m:r>
            <m:t>I</m:t>
          </m:r>
          <m:r>
            <m:t>(</m:t>
          </m:r>
          <m:r>
            <m:t>a</m:t>
          </m:r>
          <m:r>
            <m:t>;</m:t>
          </m:r>
          <m:r>
            <m:t>s</m:t>
          </m:r>
          <m:r>
            <m:t>)</m:t>
          </m:r>
        </m:oMath>
      </m:oMathPara>
    </w:p>
    <w:p>
      <w:r>
        <w:rPr>
          <w:b w:val="0"/>
          <w:i w:val="0"/>
          <w:color w:val="000000"/>
        </w:rPr>
        <w:t>三个熵项的含义：</w:t>
      </w:r>
    </w:p>
    <w:p>
      <w:r>
        <w:rPr>
          <w:b w:val="0"/>
          <w:i w:val="0"/>
          <w:color w:val="000000"/>
        </w:rPr>
        <w:t xml:space="preserve">  +H(a)：最大化联合动作熵（探索更多卸载组合）</w:t>
      </w:r>
    </w:p>
    <w:p>
      <w:r>
        <w:rPr>
          <w:b w:val="0"/>
          <w:i w:val="0"/>
          <w:color w:val="000000"/>
        </w:rPr>
        <w:t xml:space="preserve">  −H(a⁻ᵐ | aᵐ, s)：最小化对他人动作的不确定性（促进协作）</w:t>
      </w:r>
    </w:p>
    <w:p>
      <w:r>
        <w:rPr>
          <w:b w:val="0"/>
          <w:i w:val="0"/>
          <w:color w:val="000000"/>
        </w:rPr>
        <w:t xml:space="preserve">  −H(aᵐ | s)：给定状态时动作应确定（避免随机探索干扰）</w:t>
      </w:r>
    </w:p>
    <w:p>
      <w:r>
        <w:rPr>
          <w:b w:val="0"/>
          <w:i w:val="0"/>
          <w:color w:val="000000"/>
        </w:rPr>
      </w:r>
    </w:p>
    <w:p>
      <w:r>
        <w:rPr>
          <w:b/>
          <w:i w:val="0"/>
          <w:color w:val="000000"/>
        </w:rPr>
        <w:t>区分优质与劣质协作：</w:t>
      </w:r>
    </w:p>
    <w:p>
      <w:r>
        <w:rPr>
          <w:b w:val="0"/>
          <w:i w:val="0"/>
          <w:color w:val="000000"/>
        </w:rPr>
        <w:t>• B+ buffer（优质 episode）：InfoNCE 估计 MI 下界并最大化 → 强化最优协作</w:t>
      </w:r>
    </w:p>
    <w:p>
      <w:r>
        <w:rPr>
          <w:b w:val="0"/>
          <w:i w:val="0"/>
          <w:color w:val="000000"/>
        </w:rPr>
        <w:t>• B- buffer（劣质 episode）：L1Out 估计 MI 上界并最小化 → 打破次优协作</w:t>
      </w:r>
    </w:p>
    <w:p>
      <w:pPr>
        <w:jc w:val="center"/>
      </w:pPr>
      <m:oMathPara>
        <m:oMath>
          <m:sSup>
            <m:sSupPr/>
            <m:e>
              <m:r>
                <m:t>I</m:t>
              </m:r>
            </m:e>
            <m:sup>
              <m:r>
                <m:t>^</m:t>
              </m:r>
            </m:sup>
          </m:sSup>
          <m:r>
            <m:t>(</m:t>
          </m:r>
          <m:r>
            <m:t>s</m:t>
          </m:r>
          <m:r>
            <m:t>;</m:t>
          </m:r>
          <m:r>
            <m:t>a</m:t>
          </m:r>
          <m:r>
            <m:t>)</m:t>
          </m:r>
          <m:r>
            <m:t>=</m:t>
          </m:r>
          <m:r>
            <m:t>μ</m:t>
          </m:r>
          <m:r>
            <m:t>·</m:t>
          </m:r>
          <m:sSub>
            <m:sSubPr/>
            <m:e>
              <m:r>
                <m:t>I</m:t>
              </m:r>
            </m:e>
            <m:sub>
              <m:r>
                <m:t>NCE</m:t>
              </m:r>
            </m:sub>
          </m:sSub>
          <m:r>
            <m:t>(</m:t>
          </m:r>
          <m:r>
            <m:t>s</m:t>
          </m:r>
          <m:r>
            <m:t>;</m:t>
          </m:r>
          <m:r>
            <m:t>a</m:t>
          </m:r>
          <m:r>
            <m:t>)</m:t>
          </m:r>
          <m:r>
            <m:t>−</m:t>
          </m:r>
          <m:r>
            <m:t>ν</m:t>
          </m:r>
          <m:r>
            <m:t>·</m:t>
          </m:r>
          <m:sSub>
            <m:sSubPr/>
            <m:e>
              <m:r>
                <m:t>I</m:t>
              </m:r>
            </m:e>
            <m:sub>
              <m:r>
                <m:t>L1Out</m:t>
              </m:r>
            </m:sub>
          </m:sSub>
          <m:r>
            <m:t>(</m:t>
          </m:r>
          <m:r>
            <m:t>s</m:t>
          </m:r>
          <m:r>
            <m:t>;</m:t>
          </m:r>
          <m:r>
            <m:t>a</m:t>
          </m:r>
          <m:r>
            <m:t>)</m:t>
          </m:r>
        </m:oMath>
      </m:oMathPara>
    </w:p>
    <w:p>
      <w:pPr>
        <w:jc w:val="center"/>
      </w:pPr>
      <m:oMathPara>
        <m:oMath>
          <m:sSup>
            <m:sSupPr/>
            <m:e>
              <m:r>
                <m:t>r</m:t>
              </m:r>
            </m:e>
            <m:sup>
              <m:r>
                <m:t>^</m:t>
              </m:r>
            </m:sup>
          </m:sSup>
          <m:r>
            <m:t>=</m:t>
          </m:r>
          <m:r>
            <m:t>r</m:t>
          </m:r>
          <m:r>
            <m:t>+</m:t>
          </m:r>
          <m:sSup>
            <m:sSupPr/>
            <m:e>
              <m:r>
                <m:t>I</m:t>
              </m:r>
            </m:e>
            <m:sup>
              <m:r>
                <m:t>^</m:t>
              </m:r>
            </m:sup>
          </m:sSup>
          <m:r>
            <m:t>(</m:t>
          </m:r>
          <m:r>
            <m:t>s</m:t>
          </m:r>
          <m:r>
            <m:t>;</m:t>
          </m:r>
          <m:r>
            <m:t>a</m:t>
          </m:r>
          <m:r>
            <m:t>)</m:t>
          </m:r>
        </m:oMath>
      </m:oMathPara>
    </w:p>
    <w:p>
      <w:r>
        <w:rPr>
          <w:b w:val="0"/>
          <w:i w:val="0"/>
          <w:color w:val="000000"/>
        </w:rPr>
        <w:t>增强奖励仅用于 Critic 训练，Actor 执行时仍只用局部观测。</w:t>
      </w:r>
    </w:p>
    <w:p>
      <w:r>
        <w:rPr>
          <w:b w:val="0"/>
          <w:i w:val="0"/>
          <w:color w:val="000000"/>
        </w:rPr>
        <w:t>参考：Ren et al., "ExplabOff", IEEE INFOCOM 2025 (CCF-A).</w:t>
      </w:r>
    </w:p>
    <w:p>
      <w:pPr>
        <w:pStyle w:val="Heading2"/>
      </w:pPr>
      <w:r>
        <w:t>6.3 Stage 3：大规模 GNN 通信（35%）</w:t>
        <w:rPr>
          <w:color w:val="000000"/>
        </w:rPr>
      </w:r>
    </w:p>
    <w:p>
      <w:r>
        <w:rPr>
          <w:b w:val="0"/>
          <w:i w:val="0"/>
          <w:color w:val="000000"/>
        </w:rPr>
        <w:t>三层可扩展设计：</w:t>
      </w:r>
    </w:p>
    <w:p>
      <w:r>
        <w:rPr>
          <w:b w:val="0"/>
          <w:i w:val="0"/>
          <w:color w:val="000000"/>
        </w:rPr>
        <w:t>1. 参数共享 + Agent ID Embedding：全 MD 共享网络权重，新增 MD 只需分配新的 embedding 向量。</w:t>
      </w:r>
    </w:p>
    <w:p>
      <w:r>
        <w:rPr>
          <w:b w:val="0"/>
          <w:i w:val="0"/>
          <w:color w:val="000000"/>
        </w:rPr>
        <w:t>2. GNN 邻域通信（GNNComm-MARL）：图节点 = MD，边 = 物理距离 + 共享 ES 竞争。邻接矩阵通过高斯核构造，阈值截断。GAT 聚合 top-k 邻域消息。</w:t>
      </w:r>
    </w:p>
    <w:p>
      <w:r>
        <w:rPr>
          <w:b w:val="0"/>
          <w:i w:val="0"/>
          <w:color w:val="000000"/>
        </w:rPr>
        <w:t>3. 课程学习：5 → 10 → 20 → 50 设备逐步训练，继承权重并冻结底层 GNN 编码器。</w:t>
      </w:r>
    </w:p>
    <w:p>
      <w:r>
        <w:rPr>
          <w:b w:val="0"/>
          <w:i w:val="0"/>
          <w:color w:val="000000"/>
        </w:rPr>
        <w:t>参考：GNNComm-MARL (IEEE 2024); TapFinger (IEEE TPDS 2023); FGNN-MADRL (arXiv:2407.02342).</w:t>
      </w:r>
    </w:p>
    <w:p>
      <w:pPr>
        <w:pStyle w:val="Heading1"/>
      </w:pPr>
      <w:r>
        <w:t>7. 配置参数说明</w:t>
        <w:rPr>
          <w:color w:val="000000"/>
        </w:rPr>
      </w:r>
    </w:p>
    <w:p>
      <w:r>
        <w:rPr>
          <w:b w:val="0"/>
          <w:i w:val="0"/>
          <w:color w:val="000000"/>
        </w:rPr>
        <w:t>三个 YAML 配置文件：default.yaml / explaboff.yaml / large_scale.yaml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参数路径</w:t>
            </w:r>
          </w:p>
        </w:tc>
        <w:tc>
          <w:tcPr>
            <w:tcW w:type="dxa" w:w="4320"/>
          </w:tcPr>
          <w:p>
            <w:r>
              <w:t>值 / 来源</w:t>
            </w:r>
          </w:p>
        </w:tc>
      </w:tr>
      <w:tr>
        <w:tc>
          <w:tcPr>
            <w:tcW w:type="dxa" w:w="4320"/>
          </w:tcPr>
          <w:p>
            <w:r>
              <w:t>marl.algorithm</w:t>
            </w:r>
          </w:p>
        </w:tc>
        <w:tc>
          <w:tcPr>
            <w:tcW w:type="dxa" w:w="4320"/>
          </w:tcPr>
          <w:p>
            <w:r>
              <w:t>"IPPO" / "ExplabOff" / "GNN-MARL"</w:t>
            </w:r>
          </w:p>
        </w:tc>
      </w:tr>
      <w:tr>
        <w:tc>
          <w:tcPr>
            <w:tcW w:type="dxa" w:w="4320"/>
          </w:tcPr>
          <w:p>
            <w:r>
              <w:t>algorithm.learning_rate</w:t>
            </w:r>
          </w:p>
        </w:tc>
        <w:tc>
          <w:tcPr>
            <w:tcW w:type="dxa" w:w="4320"/>
          </w:tcPr>
          <w:p>
            <w:r>
              <w:t>5×10⁻⁵（ExplabOff 论文）</w:t>
            </w:r>
          </w:p>
        </w:tc>
      </w:tr>
      <w:tr>
        <w:tc>
          <w:tcPr>
            <w:tcW w:type="dxa" w:w="4320"/>
          </w:tcPr>
          <w:p>
            <w:r>
              <w:t>algorithm.gamma</w:t>
            </w:r>
          </w:p>
        </w:tc>
        <w:tc>
          <w:tcPr>
            <w:tcW w:type="dxa" w:w="4320"/>
          </w:tcPr>
          <w:p>
            <w:r>
              <w:t>0.99（标准 PPO 折扣因子）</w:t>
            </w:r>
          </w:p>
        </w:tc>
      </w:tr>
      <w:tr>
        <w:tc>
          <w:tcPr>
            <w:tcW w:type="dxa" w:w="4320"/>
          </w:tcPr>
          <w:p>
            <w:r>
              <w:t>algorithm.clip_ratio</w:t>
            </w:r>
          </w:p>
        </w:tc>
        <w:tc>
          <w:tcPr>
            <w:tcW w:type="dxa" w:w="4320"/>
          </w:tcPr>
          <w:p>
            <w:r>
              <w:t>0.2（PPO 策略裁剪标准值）</w:t>
            </w:r>
          </w:p>
        </w:tc>
      </w:tr>
      <w:tr>
        <w:tc>
          <w:tcPr>
            <w:tcW w:type="dxa" w:w="4320"/>
          </w:tcPr>
          <w:p>
            <w:r>
              <w:t>algorithm.gae_lambda</w:t>
            </w:r>
          </w:p>
        </w:tc>
        <w:tc>
          <w:tcPr>
            <w:tcW w:type="dxa" w:w="4320"/>
          </w:tcPr>
          <w:p>
            <w:r>
              <w:t>0.95（GAE 标准值）</w:t>
            </w:r>
          </w:p>
        </w:tc>
      </w:tr>
      <w:tr>
        <w:tc>
          <w:tcPr>
            <w:tcW w:type="dxa" w:w="4320"/>
          </w:tcPr>
          <w:p>
            <w:r>
              <w:t>environment.device_cpu</w:t>
            </w:r>
          </w:p>
        </w:tc>
        <w:tc>
          <w:tcPr>
            <w:tcW w:type="dxa" w:w="4320"/>
          </w:tcPr>
          <w:p>
            <w:r>
              <w:t>1×10⁹ Hz（ExplabOff Fig.2）</w:t>
            </w:r>
          </w:p>
        </w:tc>
      </w:tr>
      <w:tr>
        <w:tc>
          <w:tcPr>
            <w:tcW w:type="dxa" w:w="4320"/>
          </w:tcPr>
          <w:p>
            <w:r>
              <w:t>environment.server_cpu</w:t>
            </w:r>
          </w:p>
        </w:tc>
        <w:tc>
          <w:tcPr>
            <w:tcW w:type="dxa" w:w="4320"/>
          </w:tcPr>
          <w:p>
            <w:r>
              <w:t>7×10⁹ Hz（ExplabOff Fig.4）</w:t>
            </w:r>
          </w:p>
        </w:tc>
      </w:tr>
      <w:tr>
        <w:tc>
          <w:tcPr>
            <w:tcW w:type="dxa" w:w="4320"/>
          </w:tcPr>
          <w:p>
            <w:r>
              <w:t>environment.tx_power</w:t>
            </w:r>
          </w:p>
        </w:tc>
        <w:tc>
          <w:tcPr>
            <w:tcW w:type="dxa" w:w="4320"/>
          </w:tcPr>
          <w:p>
            <w:r>
              <w:t>0.1 W（移动设备典型值）</w:t>
            </w:r>
          </w:p>
        </w:tc>
      </w:tr>
      <w:tr>
        <w:tc>
          <w:tcPr>
            <w:tcW w:type="dxa" w:w="4320"/>
          </w:tcPr>
          <w:p>
            <w:r>
              <w:t>environment.bandwidth</w:t>
            </w:r>
          </w:p>
        </w:tc>
        <w:tc>
          <w:tcPr>
            <w:tcW w:type="dxa" w:w="4320"/>
          </w:tcPr>
          <w:p>
            <w:r>
              <w:t>10 MHz（LTE 标准）</w:t>
            </w:r>
          </w:p>
        </w:tc>
      </w:tr>
      <w:tr>
        <w:tc>
          <w:tcPr>
            <w:tcW w:type="dxa" w:w="4320"/>
          </w:tcPr>
          <w:p>
            <w:r>
              <w:t>environment.noise_power</w:t>
            </w:r>
          </w:p>
        </w:tc>
        <w:tc>
          <w:tcPr>
            <w:tcW w:type="dxa" w:w="4320"/>
          </w:tcPr>
          <w:p>
            <w:r>
              <w:t>1×10⁻¹¹ W（热噪声基准）</w:t>
            </w:r>
          </w:p>
        </w:tc>
      </w:tr>
      <w:tr>
        <w:tc>
          <w:tcPr>
            <w:tcW w:type="dxa" w:w="4320"/>
          </w:tcPr>
          <w:p>
            <w:r>
              <w:t>environment.energy_coeff</w:t>
            </w:r>
          </w:p>
        </w:tc>
        <w:tc>
          <w:tcPr>
            <w:tcW w:type="dxa" w:w="4320"/>
          </w:tcPr>
          <w:p>
            <w:r>
              <w:t>10⁻²⁸（CMOS 芯片手册）</w:t>
            </w:r>
          </w:p>
        </w:tc>
      </w:tr>
      <w:tr>
        <w:tc>
          <w:tcPr>
            <w:tcW w:type="dxa" w:w="4320"/>
          </w:tcPr>
          <w:p>
            <w:r>
              <w:t>algorithm.mi_weight_mu</w:t>
            </w:r>
          </w:p>
        </w:tc>
        <w:tc>
          <w:tcPr>
            <w:tcW w:type="dxa" w:w="4320"/>
          </w:tcPr>
          <w:p>
            <w:r>
              <w:t>0.01（InfoNCE MI 权重，Stage 2 专用）</w:t>
            </w:r>
          </w:p>
        </w:tc>
      </w:tr>
      <w:tr>
        <w:tc>
          <w:tcPr>
            <w:tcW w:type="dxa" w:w="4320"/>
          </w:tcPr>
          <w:p>
            <w:r>
              <w:t>algorithm.mi_weight_nu</w:t>
            </w:r>
          </w:p>
        </w:tc>
        <w:tc>
          <w:tcPr>
            <w:tcW w:type="dxa" w:w="4320"/>
          </w:tcPr>
          <w:p>
            <w:r>
              <w:t>0.01（L1Out MI 权重，Stage 2 专用）</w:t>
            </w:r>
          </w:p>
        </w:tc>
      </w:tr>
    </w:tbl>
    <w:p>
      <w:pPr>
        <w:pStyle w:val="Heading1"/>
      </w:pPr>
      <w:r>
        <w:t>8. 参考文献</w:t>
        <w:rPr>
          <w:color w:val="00000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论文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与本项目关系</w:t>
            </w:r>
          </w:p>
        </w:tc>
      </w:tr>
      <w:tr>
        <w:tc>
          <w:tcPr>
            <w:tcW w:type="dxa" w:w="2160"/>
          </w:tcPr>
          <w:p>
            <w:r>
              <w:t>[1]</w:t>
            </w:r>
          </w:p>
        </w:tc>
        <w:tc>
          <w:tcPr>
            <w:tcW w:type="dxa" w:w="2160"/>
          </w:tcPr>
          <w:p>
            <w:r>
              <w:t>ExplabOff (Ren et al.)</w:t>
            </w:r>
          </w:p>
        </w:tc>
        <w:tc>
          <w:tcPr>
            <w:tcW w:type="dxa" w:w="2160"/>
          </w:tcPr>
          <w:p>
            <w:r>
              <w:t>INFOCOM 2025 (CCF-A)</w:t>
            </w:r>
          </w:p>
        </w:tc>
        <w:tc>
          <w:tcPr>
            <w:tcW w:type="dxa" w:w="2160"/>
          </w:tcPr>
          <w:p>
            <w:r>
              <w:t>Stage 2 核心理论来源</w:t>
            </w:r>
          </w:p>
        </w:tc>
      </w:tr>
      <w:tr>
        <w:tc>
          <w:tcPr>
            <w:tcW w:type="dxa" w:w="2160"/>
          </w:tcPr>
          <w:p>
            <w:r>
              <w:t>[2]</w:t>
            </w:r>
          </w:p>
        </w:tc>
        <w:tc>
          <w:tcPr>
            <w:tcW w:type="dxa" w:w="2160"/>
          </w:tcPr>
          <w:p>
            <w:r>
              <w:t>IPPO (de Witt et al.)</w:t>
            </w:r>
          </w:p>
        </w:tc>
        <w:tc>
          <w:tcPr>
            <w:tcW w:type="dxa" w:w="2160"/>
          </w:tcPr>
          <w:p>
            <w:r>
              <w:t>ICLR 2020 Workshop</w:t>
            </w:r>
          </w:p>
        </w:tc>
        <w:tc>
          <w:tcPr>
            <w:tcW w:type="dxa" w:w="2160"/>
          </w:tcPr>
          <w:p>
            <w:r>
              <w:t>Stage 1 算法基础</w:t>
            </w:r>
          </w:p>
        </w:tc>
      </w:tr>
      <w:tr>
        <w:tc>
          <w:tcPr>
            <w:tcW w:type="dxa" w:w="2160"/>
          </w:tcPr>
          <w:p>
            <w:r>
              <w:t>[3]</w:t>
            </w:r>
          </w:p>
        </w:tc>
        <w:tc>
          <w:tcPr>
            <w:tcW w:type="dxa" w:w="2160"/>
          </w:tcPr>
          <w:p>
            <w:r>
              <w:t>MAPPO (Yu et al.)</w:t>
            </w:r>
          </w:p>
        </w:tc>
        <w:tc>
          <w:tcPr>
            <w:tcW w:type="dxa" w:w="2160"/>
          </w:tcPr>
          <w:p>
            <w:r>
              <w:t>NeurIPS 2022 (CCF-A)</w:t>
            </w:r>
          </w:p>
        </w:tc>
        <w:tc>
          <w:tcPr>
            <w:tcW w:type="dxa" w:w="2160"/>
          </w:tcPr>
          <w:p>
            <w:r>
              <w:t>Stage 1 对比基线</w:t>
            </w:r>
          </w:p>
        </w:tc>
      </w:tr>
      <w:tr>
        <w:tc>
          <w:tcPr>
            <w:tcW w:type="dxa" w:w="2160"/>
          </w:tcPr>
          <w:p>
            <w:r>
              <w:t>[4]</w:t>
            </w:r>
          </w:p>
        </w:tc>
        <w:tc>
          <w:tcPr>
            <w:tcW w:type="dxa" w:w="2160"/>
          </w:tcPr>
          <w:p>
            <w:r>
              <w:t>MIPI (Wang et al.)</w:t>
            </w:r>
          </w:p>
        </w:tc>
        <w:tc>
          <w:tcPr>
            <w:tcW w:type="dxa" w:w="2160"/>
          </w:tcPr>
          <w:p>
            <w:r>
              <w:t>NeurIPS 2023 (CCF-A)</w:t>
            </w:r>
          </w:p>
        </w:tc>
        <w:tc>
          <w:tcPr>
            <w:tcW w:type="dxa" w:w="2160"/>
          </w:tcPr>
          <w:p>
            <w:r>
              <w:t>MI 正则化理论参考</w:t>
            </w:r>
          </w:p>
        </w:tc>
      </w:tr>
      <w:tr>
        <w:tc>
          <w:tcPr>
            <w:tcW w:type="dxa" w:w="2160"/>
          </w:tcPr>
          <w:p>
            <w:r>
              <w:t>[5]</w:t>
            </w:r>
          </w:p>
        </w:tc>
        <w:tc>
          <w:tcPr>
            <w:tcW w:type="dxa" w:w="2160"/>
          </w:tcPr>
          <w:p>
            <w:r>
              <w:t>GNNComm-MARL</w:t>
            </w:r>
          </w:p>
        </w:tc>
        <w:tc>
          <w:tcPr>
            <w:tcW w:type="dxa" w:w="2160"/>
          </w:tcPr>
          <w:p>
            <w:r>
              <w:t>IEEE Wireless Comm. 2024</w:t>
            </w:r>
          </w:p>
        </w:tc>
        <w:tc>
          <w:tcPr>
            <w:tcW w:type="dxa" w:w="2160"/>
          </w:tcPr>
          <w:p>
            <w:r>
              <w:t>Stage 3 GAT 通信框架</w:t>
            </w:r>
          </w:p>
        </w:tc>
      </w:tr>
      <w:tr>
        <w:tc>
          <w:tcPr>
            <w:tcW w:type="dxa" w:w="2160"/>
          </w:tcPr>
          <w:p>
            <w:r>
              <w:t>[6]</w:t>
            </w:r>
          </w:p>
        </w:tc>
        <w:tc>
          <w:tcPr>
            <w:tcW w:type="dxa" w:w="2160"/>
          </w:tcPr>
          <w:p>
            <w:r>
              <w:t>TapFinger (Li et al.)</w:t>
            </w:r>
          </w:p>
        </w:tc>
        <w:tc>
          <w:tcPr>
            <w:tcW w:type="dxa" w:w="2160"/>
          </w:tcPr>
          <w:p>
            <w:r>
              <w:t>IEEE TPDS 2023 (CCF-A)</w:t>
            </w:r>
          </w:p>
        </w:tc>
        <w:tc>
          <w:tcPr>
            <w:tcW w:type="dxa" w:w="2160"/>
          </w:tcPr>
          <w:p>
            <w:r>
              <w:t>异构 GAT 边缘调度</w:t>
            </w:r>
          </w:p>
        </w:tc>
      </w:tr>
      <w:tr>
        <w:tc>
          <w:tcPr>
            <w:tcW w:type="dxa" w:w="2160"/>
          </w:tcPr>
          <w:p>
            <w:r>
              <w:t>[7]</w:t>
            </w:r>
          </w:p>
        </w:tc>
        <w:tc>
          <w:tcPr>
            <w:tcW w:type="dxa" w:w="2160"/>
          </w:tcPr>
          <w:p>
            <w:r>
              <w:t>FGNN-MADRL (Wu et al.)</w:t>
            </w:r>
          </w:p>
        </w:tc>
        <w:tc>
          <w:tcPr>
            <w:tcW w:type="dxa" w:w="2160"/>
          </w:tcPr>
          <w:p>
            <w:r>
              <w:t>arXiv:2407.02342</w:t>
            </w:r>
          </w:p>
        </w:tc>
        <w:tc>
          <w:tcPr>
            <w:tcW w:type="dxa" w:w="2160"/>
          </w:tcPr>
          <w:p>
            <w:r>
              <w:t>GNN 车辆边缘计算</w:t>
            </w:r>
          </w:p>
        </w:tc>
      </w:tr>
      <w:tr>
        <w:tc>
          <w:tcPr>
            <w:tcW w:type="dxa" w:w="2160"/>
          </w:tcPr>
          <w:p>
            <w:r>
              <w:t>[8]</w:t>
            </w:r>
          </w:p>
        </w:tc>
        <w:tc>
          <w:tcPr>
            <w:tcW w:type="dxa" w:w="2160"/>
          </w:tcPr>
          <w:p>
            <w:r>
              <w:t>Com-DDPG (Li et al.)</w:t>
            </w:r>
          </w:p>
        </w:tc>
        <w:tc>
          <w:tcPr>
            <w:tcW w:type="dxa" w:w="2160"/>
          </w:tcPr>
          <w:p>
            <w:r>
              <w:t>arXiv:2012.05105</w:t>
            </w:r>
          </w:p>
        </w:tc>
        <w:tc>
          <w:tcPr>
            <w:tcW w:type="dxa" w:w="2160"/>
          </w:tcPr>
          <w:p>
            <w:r>
              <w:t>任务/能耗模型参考</w:t>
            </w:r>
          </w:p>
        </w:tc>
      </w:tr>
      <w:tr>
        <w:tc>
          <w:tcPr>
            <w:tcW w:type="dxa" w:w="2160"/>
          </w:tcPr>
          <w:p>
            <w:r>
              <w:t>[9]</w:t>
            </w:r>
          </w:p>
        </w:tc>
        <w:tc>
          <w:tcPr>
            <w:tcW w:type="dxa" w:w="2160"/>
          </w:tcPr>
          <w:p>
            <w:r>
              <w:t>Yang et al.</w:t>
            </w:r>
          </w:p>
        </w:tc>
        <w:tc>
          <w:tcPr>
            <w:tcW w:type="dxa" w:w="2160"/>
          </w:tcPr>
          <w:p>
            <w:r>
              <w:t>IEEE TNSM 2023 (CCF-B)</w:t>
            </w:r>
          </w:p>
        </w:tc>
        <w:tc>
          <w:tcPr>
            <w:tcW w:type="dxa" w:w="2160"/>
          </w:tcPr>
          <w:p>
            <w:r>
              <w:t>多用户 MEC MDP 建模</w:t>
            </w:r>
          </w:p>
        </w:tc>
      </w:tr>
    </w:tbl>
    <w:p>
      <w:pPr>
        <w:pStyle w:val="Heading1"/>
      </w:pPr>
      <w:r>
        <w:t>9. 参数来源索引</w:t>
        <w:rPr>
          <w:color w:val="00000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来源 / 依据</w:t>
            </w:r>
          </w:p>
        </w:tc>
      </w:tr>
      <w:tr>
        <w:tc>
          <w:tcPr>
            <w:tcW w:type="dxa" w:w="4320"/>
          </w:tcPr>
          <w:p>
            <w:r>
              <w:t>MD CPU = 1×10⁹ Hz</w:t>
            </w:r>
          </w:p>
        </w:tc>
        <w:tc>
          <w:tcPr>
            <w:tcW w:type="dxa" w:w="4320"/>
          </w:tcPr>
          <w:p>
            <w:r>
              <w:t>ExplabOff Fig.2</w:t>
            </w:r>
          </w:p>
        </w:tc>
      </w:tr>
      <w:tr>
        <w:tc>
          <w:tcPr>
            <w:tcW w:type="dxa" w:w="4320"/>
          </w:tcPr>
          <w:p>
            <w:r>
              <w:t>ES CPU = 7×10⁹ Hz</w:t>
            </w:r>
          </w:p>
        </w:tc>
        <w:tc>
          <w:tcPr>
            <w:tcW w:type="dxa" w:w="4320"/>
          </w:tcPr>
          <w:p>
            <w:r>
              <w:t>ExplabOff Fig.4</w:t>
            </w:r>
          </w:p>
        </w:tc>
      </w:tr>
      <w:tr>
        <w:tc>
          <w:tcPr>
            <w:tcW w:type="dxa" w:w="4320"/>
          </w:tcPr>
          <w:p>
            <w:r>
              <w:t>p_tran = 0.1 W</w:t>
            </w:r>
          </w:p>
        </w:tc>
        <w:tc>
          <w:tcPr>
            <w:tcW w:type="dxa" w:w="4320"/>
          </w:tcPr>
          <w:p>
            <w:r>
              <w:t>移动设备典型发射功率</w:t>
            </w:r>
          </w:p>
        </w:tc>
      </w:tr>
      <w:tr>
        <w:tc>
          <w:tcPr>
            <w:tcW w:type="dxa" w:w="4320"/>
          </w:tcPr>
          <w:p>
            <w:r>
              <w:t>ξ = 10⁻²⁸</w:t>
            </w:r>
          </w:p>
        </w:tc>
        <w:tc>
          <w:tcPr>
            <w:tcW w:type="dxa" w:w="4320"/>
          </w:tcPr>
          <w:p>
            <w:r>
              <w:t>CMOS 芯片手册 [33]</w:t>
            </w:r>
          </w:p>
        </w:tc>
      </w:tr>
      <w:tr>
        <w:tc>
          <w:tcPr>
            <w:tcW w:type="dxa" w:w="4320"/>
          </w:tcPr>
          <w:p>
            <w:r>
              <w:t>B = 10 MHz</w:t>
            </w:r>
          </w:p>
        </w:tc>
        <w:tc>
          <w:tcPr>
            <w:tcW w:type="dxa" w:w="4320"/>
          </w:tcPr>
          <w:p>
            <w:r>
              <w:t>LTE 系统带宽标准</w:t>
            </w:r>
          </w:p>
        </w:tc>
      </w:tr>
      <w:tr>
        <w:tc>
          <w:tcPr>
            <w:tcW w:type="dxa" w:w="4320"/>
          </w:tcPr>
          <w:p>
            <w:r>
              <w:t>σ² = -114 dBm</w:t>
            </w:r>
          </w:p>
        </w:tc>
        <w:tc>
          <w:tcPr>
            <w:tcW w:type="dxa" w:w="4320"/>
          </w:tcPr>
          <w:p>
            <w:r>
              <w:t>室温热噪声功率谱密度</w:t>
            </w:r>
          </w:p>
        </w:tc>
      </w:tr>
      <w:tr>
        <w:tc>
          <w:tcPr>
            <w:tcW w:type="dxa" w:w="4320"/>
          </w:tcPr>
          <w:p>
            <w:r>
              <w:t>小尺度衰落</w:t>
            </w:r>
          </w:p>
        </w:tc>
        <w:tc>
          <w:tcPr>
            <w:tcW w:type="dxa" w:w="4320"/>
          </w:tcPr>
          <w:p>
            <w:r>
              <w:t>Jakes 一阶 Gauss-Markov [28][29]</w:t>
            </w:r>
          </w:p>
        </w:tc>
      </w:tr>
      <w:tr>
        <w:tc>
          <w:tcPr>
            <w:tcW w:type="dxa" w:w="4320"/>
          </w:tcPr>
          <w:p>
            <w:r>
              <w:t>大尺度衰落</w:t>
            </w:r>
          </w:p>
        </w:tc>
        <w:tc>
          <w:tcPr>
            <w:tcW w:type="dxa" w:w="4320"/>
          </w:tcPr>
          <w:p>
            <w:r>
              <w:t>3GPP TR 36.814 城市微小区</w:t>
            </w:r>
          </w:p>
        </w:tc>
      </w:tr>
      <w:tr>
        <w:tc>
          <w:tcPr>
            <w:tcW w:type="dxa" w:w="4320"/>
          </w:tcPr>
          <w:p>
            <w:r>
              <w:t>任务数据量 0.1-1 Mbits</w:t>
            </w:r>
          </w:p>
        </w:tc>
        <w:tc>
          <w:tcPr>
            <w:tcW w:type="dxa" w:w="4320"/>
          </w:tcPr>
          <w:p>
            <w:r>
              <w:t>AR/VR 视频帧大小</w:t>
            </w:r>
          </w:p>
        </w:tc>
      </w:tr>
      <w:tr>
        <w:tc>
          <w:tcPr>
            <w:tcW w:type="dxa" w:w="4320"/>
          </w:tcPr>
          <w:p>
            <w:r>
              <w:t>CPU 周期 c = 1000 cyc/bit</w:t>
            </w:r>
          </w:p>
        </w:tc>
        <w:tc>
          <w:tcPr>
            <w:tcW w:type="dxa" w:w="4320"/>
          </w:tcPr>
          <w:p>
            <w:r>
              <w:t>视频压缩任务参考值</w:t>
            </w:r>
          </w:p>
        </w:tc>
      </w:tr>
      <w:tr>
        <w:tc>
          <w:tcPr>
            <w:tcW w:type="dxa" w:w="4320"/>
          </w:tcPr>
          <w:p>
            <w:r>
              <w:t>延迟约束 100-500 ms</w:t>
            </w:r>
          </w:p>
        </w:tc>
        <w:tc>
          <w:tcPr>
            <w:tcW w:type="dxa" w:w="4320"/>
          </w:tcPr>
          <w:p>
            <w:r>
              <w:t>实时交互类应用需求</w:t>
            </w:r>
          </w:p>
        </w:tc>
      </w:tr>
      <w:tr>
        <w:tc>
          <w:tcPr>
            <w:tcW w:type="dxa" w:w="4320"/>
          </w:tcPr>
          <w:p>
            <w:r>
              <w:t>lr = 5×10⁻⁵</w:t>
            </w:r>
          </w:p>
        </w:tc>
        <w:tc>
          <w:tcPr>
            <w:tcW w:type="dxa" w:w="4320"/>
          </w:tcPr>
          <w:p>
            <w:r>
              <w:t>ExplabOff 论文</w:t>
            </w:r>
          </w:p>
        </w:tc>
      </w:tr>
      <w:tr>
        <w:tc>
          <w:tcPr>
            <w:tcW w:type="dxa" w:w="4320"/>
          </w:tcPr>
          <w:p>
            <w:r>
              <w:t>γ=0.99, λ=0.95, clip=0.2</w:t>
            </w:r>
          </w:p>
        </w:tc>
        <w:tc>
          <w:tcPr>
            <w:tcW w:type="dxa" w:w="4320"/>
          </w:tcPr>
          <w:p>
            <w:r>
              <w:t>标准 PPO / GAE 参数</w:t>
            </w:r>
          </w:p>
        </w:tc>
      </w:tr>
      <w:tr>
        <w:tc>
          <w:tcPr>
            <w:tcW w:type="dxa" w:w="4320"/>
          </w:tcPr>
          <w:p>
            <w:r>
              <w:t>μ,ν = 0.01</w:t>
            </w:r>
          </w:p>
        </w:tc>
        <w:tc>
          <w:tcPr>
            <w:tcW w:type="dxa" w:w="4320"/>
          </w:tcPr>
          <w:p>
            <w:r>
              <w:t>ExplabOff 论文 MI 权重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SimSu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/>
    </w:rPr>
  </w:style>
  <w:style w:type="numbering" w:default="1" w:styleId="NoList">
    <w:name w:val="No List"/>
    <w:uiPriority w:val="99"/>
    <w:semiHidden/>
    <w:unhideWhenUsed/>
    <w:rPr>
      <w:rFonts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