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40"/>
      </w:pPr>
      <w:r>
        <w:rPr>
          <w:rFonts w:ascii="Calibri" w:cs="Calibri" w:eastAsia="Calibri" w:hAnsi="Calibri"/>
          <w:b/>
          <w:bCs/>
          <w:color w:val="595959"/>
          <w:sz w:val="20"/>
          <w:szCs w:val="20"/>
        </w:rPr>
        <w:t xml:space="preserve">Form 280EA</w:t>
      </w:r>
    </w:p>
    <w:p>
      <w:pPr>
        <w:spacing w:after="60"/>
      </w:pPr>
      <w:r>
        <w:rPr>
          <w:rFonts w:ascii="Calibri" w:cs="Calibri" w:eastAsia="Calibri" w:hAnsi="Calibri"/>
          <w:b/>
          <w:bCs/>
          <w:color w:val="1F3864"/>
          <w:sz w:val="32"/>
          <w:szCs w:val="32"/>
        </w:rPr>
        <w:t xml:space="preserve">Significant classes of transactions (SCOTs): understanding and walkthrough</w:t>
      </w:r>
    </w:p>
    <w:p>
      <w:pPr>
        <w:spacing w:after="160" w:before="40"/>
      </w:pPr>
      <w:r>
        <w:rPr>
          <w:rFonts w:ascii="Calibri" w:cs="Calibri" w:eastAsia="Calibri" w:hAnsi="Calibri"/>
          <w:i/>
          <w:iCs/>
          <w:color w:val="595959"/>
          <w:sz w:val="18"/>
          <w:szCs w:val="18"/>
        </w:rPr>
        <w:t xml:space="preserve">Illustrative example — completed for a fictional entity to demonstrate the standard form model. Form code, tasks and platform references are placeholders.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c>
          <w:tcPr>
            <w:tcW w:type="dxa" w:w="3200"/>
            <w:shd w:fill="F2F2F2" w:color="auto"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Entity name</w:t>
            </w:r>
          </w:p>
        </w:tc>
        <w:tc>
          <w:tcPr>
            <w:tcW w:type="dxa" w:w="6546"/>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ABC Manufacturing Ltd</w:t>
            </w:r>
          </w:p>
        </w:tc>
      </w:tr>
      <w:tr>
        <w:tc>
          <w:tcPr>
            <w:tcW w:type="dxa" w:w="3200"/>
            <w:shd w:fill="F2F2F2" w:color="auto"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Date of financial statements</w:t>
            </w:r>
          </w:p>
        </w:tc>
        <w:tc>
          <w:tcPr>
            <w:tcW w:type="dxa" w:w="6546"/>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31 December 2025</w:t>
            </w:r>
          </w:p>
        </w:tc>
      </w:tr>
      <w:tr>
        <w:tc>
          <w:tcPr>
            <w:tcW w:type="dxa" w:w="3200"/>
            <w:shd w:fill="F2F2F2" w:color="auto"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SCOT covered by this form</w:t>
            </w:r>
          </w:p>
        </w:tc>
        <w:tc>
          <w:tcPr>
            <w:tcW w:type="dxa" w:w="6546"/>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Revenue — credit sales of manufactured goods (routine SCOT)</w:t>
            </w:r>
          </w:p>
        </w:tc>
      </w:tr>
      <w:tr>
        <w:tc>
          <w:tcPr>
            <w:tcW w:type="dxa" w:w="3200"/>
            <w:shd w:fill="F2F2F2" w:color="auto"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Significant accounts affected</w:t>
            </w:r>
          </w:p>
        </w:tc>
        <w:tc>
          <w:tcPr>
            <w:tcW w:type="dxa" w:w="6546"/>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Revenue; Trade receivables</w:t>
            </w:r>
          </w:p>
        </w:tc>
      </w:tr>
    </w:tbl>
    <w:p>
      <w:pPr>
        <w:keepNext/>
        <w:spacing w:after="100" w:before="280"/>
      </w:pPr>
      <w:r>
        <w:rPr>
          <w:rFonts w:ascii="Calibri" w:cs="Calibri" w:eastAsia="Calibri" w:hAnsi="Calibri"/>
          <w:b/>
          <w:bCs/>
          <w:color w:val="1F3864"/>
          <w:sz w:val="26"/>
          <w:szCs w:val="26"/>
        </w:rPr>
        <w:t xml:space="preserve">When and how to use this form</w:t>
      </w:r>
    </w:p>
    <w:p>
      <w:pPr>
        <w:spacing w:after="40" w:before="40"/>
      </w:pPr>
      <w:r>
        <w:rPr>
          <w:rFonts w:ascii="Calibri" w:cs="Calibri" w:eastAsia="Calibri" w:hAnsi="Calibri"/>
          <w:b/>
          <w:bCs/>
          <w:sz w:val="20"/>
          <w:szCs w:val="20"/>
        </w:rPr>
        <w:t xml:space="preserve">Requirement for use: </w:t>
      </w:r>
      <w:r>
        <w:rPr>
          <w:rFonts w:ascii="Calibri" w:cs="Calibri" w:eastAsia="Calibri" w:hAnsi="Calibri"/>
          <w:sz w:val="20"/>
          <w:szCs w:val="20"/>
        </w:rPr>
        <w:t xml:space="preserve">This form is optional, but supports meeting the requirements of the SCOTS topic of the audit methodology (Identify SCOTs; understand the critical path; identify WCGWs; address special circumstances; determine our preliminary audit strategy; confirm our understanding).</w:t>
      </w:r>
    </w:p>
    <w:p>
      <w:pPr>
        <w:spacing w:after="40" w:before="40"/>
      </w:pPr>
      <w:r>
        <w:rPr>
          <w:rFonts w:ascii="Calibri" w:cs="Calibri" w:eastAsia="Calibri" w:hAnsi="Calibri"/>
          <w:b/>
          <w:bCs/>
          <w:sz w:val="20"/>
          <w:szCs w:val="20"/>
        </w:rPr>
        <w:t xml:space="preserve">How to use this form: </w:t>
      </w:r>
    </w:p>
    <w:p>
      <w:pPr>
        <w:spacing w:after="40" w:before="40"/>
      </w:pPr>
      <w:r>
        <w:rPr>
          <w:rFonts w:ascii="Calibri" w:cs="Calibri" w:eastAsia="Calibri" w:hAnsi="Calibri"/>
          <w:sz w:val="20"/>
          <w:szCs w:val="20"/>
        </w:rPr>
        <w:t xml:space="preserve">Complete one form for each SCOT identified for a significant account. SCOTs processed in a similar way, with the same or comparable risks of material misstatement, may be combined on one form.</w:t>
      </w:r>
    </w:p>
    <w:p>
      <w:pPr>
        <w:spacing w:after="40" w:before="40"/>
      </w:pPr>
      <w:r>
        <w:rPr>
          <w:rFonts w:ascii="Calibri" w:cs="Calibri" w:eastAsia="Calibri" w:hAnsi="Calibri"/>
          <w:sz w:val="20"/>
          <w:szCs w:val="20"/>
        </w:rPr>
        <w:t xml:space="preserve">Part A is completed when we identify the SCOT. Parts B to E are completed as we obtain our understanding of the SCOT. Part F is completed every period to confirm our understanding by selecting one transaction and tracing it along the critical path.</w:t>
      </w:r>
    </w:p>
    <w:p>
      <w:pPr>
        <w:spacing w:after="40" w:before="40"/>
      </w:pPr>
      <w:r>
        <w:rPr>
          <w:rFonts w:ascii="Calibri" w:cs="Calibri" w:eastAsia="Calibri" w:hAnsi="Calibri"/>
          <w:sz w:val="20"/>
          <w:szCs w:val="20"/>
        </w:rPr>
        <w:t xml:space="preserve">The form is not intended to be exhaustive, and additional considerations or procedures may be added where appropriate. To complete the form, answer all questions. Explain all “No” answers in the space provided or in an attachment referenced to the related question. “No” answers that indicate a point where a material misstatement could occur are carried to Part C as WCGWs.</w:t>
      </w:r>
    </w:p>
    <w:p>
      <w:pPr>
        <w:keepNext/>
        <w:spacing w:after="80" w:before="200"/>
      </w:pPr>
      <w:r>
        <w:rPr>
          <w:rFonts w:ascii="Calibri" w:cs="Calibri" w:eastAsia="Calibri" w:hAnsi="Calibri"/>
          <w:b/>
          <w:bCs/>
          <w:color w:val="1F3864"/>
          <w:sz w:val="22"/>
          <w:szCs w:val="22"/>
        </w:rPr>
        <w:t xml:space="preserve">Applicable methodology</w:t>
      </w:r>
    </w:p>
    <w:p>
      <w:pPr>
        <w:spacing w:after="40" w:before="40"/>
      </w:pPr>
      <w:r>
        <w:rPr>
          <w:rFonts w:ascii="Calibri" w:cs="Calibri" w:eastAsia="Calibri" w:hAnsi="Calibri"/>
          <w:b/>
          <w:bCs/>
          <w:sz w:val="20"/>
          <w:szCs w:val="20"/>
        </w:rPr>
        <w:t xml:space="preserve">This form helps us achieve the requirements of the SCOTS topic — Significant classes of transactions (ISA 315.18–.26, ISA 330.8). Each part of the form responds to the requirement indicated below: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c>
          <w:tcPr>
            <w:tcW w:type="dxa" w:w="2600"/>
            <w:shd w:fill="D9D9D9" w:color="auto"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Form part</w:t>
            </w:r>
          </w:p>
        </w:tc>
        <w:tc>
          <w:tcPr>
            <w:tcW w:type="dxa" w:w="7146"/>
            <w:shd w:fill="D9D9D9" w:color="auto"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Methodology requirement it responds to</w:t>
            </w:r>
          </w:p>
        </w:tc>
      </w:tr>
      <w:tr>
        <w:tc>
          <w:tcPr>
            <w:tcW w:type="dxa" w:w="26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Part A — Identify the SCOT</w:t>
            </w:r>
          </w:p>
        </w:tc>
        <w:tc>
          <w:tcPr>
            <w:tcW w:type="dxa" w:w="7146"/>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SCOTS 1: We identify SCOTs that affect the relevant assertions for each significant account.</w:t>
            </w:r>
          </w:p>
        </w:tc>
      </w:tr>
      <w:tr>
        <w:tc>
          <w:tcPr>
            <w:tcW w:type="dxa" w:w="26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Part B — Understand the critical path</w:t>
            </w:r>
          </w:p>
        </w:tc>
        <w:tc>
          <w:tcPr>
            <w:tcW w:type="dxa" w:w="7146"/>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SCOTS 2: We obtain an understanding of the critical path (initiation, recording, processing, reporting), the policies and procedures within the SCOT and the effect of IT. SCOTS 3: understanding obtained through inquiry, observation and inspection.</w:t>
            </w:r>
          </w:p>
        </w:tc>
      </w:tr>
      <w:tr>
        <w:tc>
          <w:tcPr>
            <w:tcW w:type="dxa" w:w="26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Part C — Identify WCGWs</w:t>
            </w:r>
          </w:p>
        </w:tc>
        <w:tc>
          <w:tcPr>
            <w:tcW w:type="dxa" w:w="7146"/>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SCOTS 4: We identify what can go wrong, focusing on WCGWs with a likelihood of occurrence and potential material misstatement, and link them to relevant assertions.</w:t>
            </w:r>
          </w:p>
        </w:tc>
      </w:tr>
      <w:tr>
        <w:tc>
          <w:tcPr>
            <w:tcW w:type="dxa" w:w="26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Part D — Special circumstances</w:t>
            </w:r>
          </w:p>
        </w:tc>
        <w:tc>
          <w:tcPr>
            <w:tcW w:type="dxa" w:w="7146"/>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SCOTS 5: Additional actions for highly-automated SCOTs, related parties, estimation SCOTs, significant risks and journal entries.</w:t>
            </w:r>
          </w:p>
        </w:tc>
      </w:tr>
      <w:tr>
        <w:tc>
          <w:tcPr>
            <w:tcW w:type="dxa" w:w="26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Part E — Preliminary audit strategy</w:t>
            </w:r>
          </w:p>
        </w:tc>
        <w:tc>
          <w:tcPr>
            <w:tcW w:type="dxa" w:w="7146"/>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SCOTS 6: We establish a preliminary audit strategy (controls-reliance or substantive only) for each SCOT.</w:t>
            </w:r>
          </w:p>
        </w:tc>
      </w:tr>
      <w:tr>
        <w:tc>
          <w:tcPr>
            <w:tcW w:type="dxa" w:w="26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Part F — Confirm our understanding</w:t>
            </w:r>
          </w:p>
        </w:tc>
        <w:tc>
          <w:tcPr>
            <w:tcW w:type="dxa" w:w="7146"/>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SCOTS 7: We confirm our understanding every period by selecting one transaction and tracing it along the critical path; SCOTS 7.1 and Documentation requirements.</w:t>
            </w:r>
          </w:p>
        </w:tc>
      </w:tr>
    </w:tbl>
    <w:p>
      <w:pPr>
        <w:keepNext/>
        <w:spacing w:after="100" w:before="280"/>
      </w:pPr>
      <w:r>
        <w:rPr>
          <w:rFonts w:ascii="Calibri" w:cs="Calibri" w:eastAsia="Calibri" w:hAnsi="Calibri"/>
          <w:b/>
          <w:bCs/>
          <w:color w:val="1F3864"/>
          <w:sz w:val="26"/>
          <w:szCs w:val="26"/>
        </w:rPr>
        <w:t xml:space="preserve">Conclusion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146"/>
        <w:gridCol w:w="800"/>
        <w:gridCol w:w="800"/>
      </w:tblGrid>
      <w:tr>
        <w:tc>
          <w:tcPr>
            <w:tcW w:type="dxa" w:w="8146"/>
            <w:shd w:fill="D9D9D9" w:color="auto"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Conclusion</w:t>
            </w:r>
          </w:p>
        </w:tc>
        <w:tc>
          <w:tcPr>
            <w:tcW w:type="dxa" w:w="800"/>
            <w:shd w:fill="D9D9D9" w:color="auto" w:val="clear"/>
            <w:tcMar>
              <w:top w:type="dxa" w:w="40"/>
              <w:left w:type="dxa" w:w="80"/>
              <w:bottom w:type="dxa" w:w="40"/>
              <w:right w:type="dxa" w:w="80"/>
            </w:tcMar>
            <w:vAlign w:val="center"/>
          </w:tcPr>
          <w:p>
            <w:pPr>
              <w:spacing w:after="20" w:before="20"/>
              <w:jc w:val="center"/>
            </w:pPr>
            <w:r>
              <w:rPr>
                <w:rFonts w:ascii="Calibri" w:cs="Calibri" w:eastAsia="Calibri" w:hAnsi="Calibri"/>
                <w:b/>
                <w:bCs/>
                <w:sz w:val="18"/>
                <w:szCs w:val="18"/>
              </w:rPr>
              <w:t xml:space="preserve">Yes</w:t>
            </w:r>
          </w:p>
        </w:tc>
        <w:tc>
          <w:tcPr>
            <w:tcW w:type="dxa" w:w="800"/>
            <w:shd w:fill="D9D9D9" w:color="auto" w:val="clear"/>
            <w:tcMar>
              <w:top w:type="dxa" w:w="40"/>
              <w:left w:type="dxa" w:w="80"/>
              <w:bottom w:type="dxa" w:w="40"/>
              <w:right w:type="dxa" w:w="80"/>
            </w:tcMar>
            <w:vAlign w:val="center"/>
          </w:tcPr>
          <w:p>
            <w:pPr>
              <w:spacing w:after="20" w:before="20"/>
              <w:jc w:val="center"/>
            </w:pPr>
            <w:r>
              <w:rPr>
                <w:rFonts w:ascii="Calibri" w:cs="Calibri" w:eastAsia="Calibri" w:hAnsi="Calibri"/>
                <w:b/>
                <w:bCs/>
                <w:sz w:val="18"/>
                <w:szCs w:val="18"/>
              </w:rPr>
              <w:t xml:space="preserve">No</w:t>
            </w:r>
          </w:p>
        </w:tc>
      </w:tr>
      <w:tr>
        <w:tc>
          <w:tcPr>
            <w:tcW w:type="dxa" w:w="8146"/>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Our documentation of this SCOT accurately describes the operation of the SCOT along its critical path (initiation, recording, processing and reporting), including the relevant IT applications, and we have identified the appropriate WCGWs.</w:t>
            </w:r>
          </w:p>
        </w:tc>
        <w:tc>
          <w:tcPr>
            <w:tcW w:type="dxa" w:w="800"/>
            <w:tcMar>
              <w:top w:type="dxa" w:w="40"/>
              <w:left w:type="dxa" w:w="80"/>
              <w:bottom w:type="dxa" w:w="40"/>
              <w:right w:type="dxa" w:w="80"/>
            </w:tcMar>
            <w:vAlign w:val="center"/>
          </w:tcPr>
          <w:p>
            <w:pPr>
              <w:spacing w:after="20" w:before="20"/>
              <w:jc w:val="center"/>
            </w:pPr>
            <w:r>
              <w:rPr>
                <w:rFonts w:ascii="Calibri" w:cs="Calibri" w:eastAsia="Calibri" w:hAnsi="Calibri"/>
                <w:sz w:val="18"/>
                <w:szCs w:val="18"/>
              </w:rPr>
              <w:t xml:space="preserve">☒</w:t>
            </w:r>
          </w:p>
        </w:tc>
        <w:tc>
          <w:tcPr>
            <w:tcW w:type="dxa" w:w="800"/>
            <w:tcMar>
              <w:top w:type="dxa" w:w="40"/>
              <w:left w:type="dxa" w:w="80"/>
              <w:bottom w:type="dxa" w:w="40"/>
              <w:right w:type="dxa" w:w="80"/>
            </w:tcMar>
            <w:vAlign w:val="center"/>
          </w:tcPr>
          <w:p>
            <w:pPr>
              <w:spacing w:after="20" w:before="20"/>
              <w:jc w:val="center"/>
            </w:pPr>
            <w:r>
              <w:rPr>
                <w:rFonts w:ascii="Calibri" w:cs="Calibri" w:eastAsia="Calibri" w:hAnsi="Calibri"/>
                <w:sz w:val="18"/>
                <w:szCs w:val="18"/>
              </w:rPr>
              <w:t xml:space="preserve">☐</w:t>
            </w:r>
          </w:p>
        </w:tc>
      </w:tr>
      <w:tr>
        <w:tc>
          <w:tcPr>
            <w:tcW w:type="dxa" w:w="8146"/>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We have confirmed our understanding of this SCOT in the current period by selecting one transaction and tracing it along the critical path. Exceptions noted, if any, have been resolved and our documentation revised where necessary.</w:t>
            </w:r>
          </w:p>
        </w:tc>
        <w:tc>
          <w:tcPr>
            <w:tcW w:type="dxa" w:w="800"/>
            <w:tcMar>
              <w:top w:type="dxa" w:w="40"/>
              <w:left w:type="dxa" w:w="80"/>
              <w:bottom w:type="dxa" w:w="40"/>
              <w:right w:type="dxa" w:w="80"/>
            </w:tcMar>
            <w:vAlign w:val="center"/>
          </w:tcPr>
          <w:p>
            <w:pPr>
              <w:spacing w:after="20" w:before="20"/>
              <w:jc w:val="center"/>
            </w:pPr>
            <w:r>
              <w:rPr>
                <w:rFonts w:ascii="Calibri" w:cs="Calibri" w:eastAsia="Calibri" w:hAnsi="Calibri"/>
                <w:sz w:val="18"/>
                <w:szCs w:val="18"/>
              </w:rPr>
              <w:t xml:space="preserve">☒</w:t>
            </w:r>
          </w:p>
        </w:tc>
        <w:tc>
          <w:tcPr>
            <w:tcW w:type="dxa" w:w="800"/>
            <w:tcMar>
              <w:top w:type="dxa" w:w="40"/>
              <w:left w:type="dxa" w:w="80"/>
              <w:bottom w:type="dxa" w:w="40"/>
              <w:right w:type="dxa" w:w="80"/>
            </w:tcMar>
            <w:vAlign w:val="center"/>
          </w:tcPr>
          <w:p>
            <w:pPr>
              <w:spacing w:after="20" w:before="20"/>
              <w:jc w:val="center"/>
            </w:pPr>
            <w:r>
              <w:rPr>
                <w:rFonts w:ascii="Calibri" w:cs="Calibri" w:eastAsia="Calibri" w:hAnsi="Calibri"/>
                <w:sz w:val="18"/>
                <w:szCs w:val="18"/>
              </w:rPr>
              <w:t xml:space="preserve">☐</w:t>
            </w:r>
          </w:p>
        </w:tc>
      </w:tr>
      <w:tr>
        <w:tc>
          <w:tcPr>
            <w:tcW w:type="dxa" w:w="8146"/>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The preliminary audit strategy determined for this SCOT (Part E) is responsive to the WCGWs identified and to any special circumstances.</w:t>
            </w:r>
          </w:p>
        </w:tc>
        <w:tc>
          <w:tcPr>
            <w:tcW w:type="dxa" w:w="800"/>
            <w:tcMar>
              <w:top w:type="dxa" w:w="40"/>
              <w:left w:type="dxa" w:w="80"/>
              <w:bottom w:type="dxa" w:w="40"/>
              <w:right w:type="dxa" w:w="80"/>
            </w:tcMar>
            <w:vAlign w:val="center"/>
          </w:tcPr>
          <w:p>
            <w:pPr>
              <w:spacing w:after="20" w:before="20"/>
              <w:jc w:val="center"/>
            </w:pPr>
            <w:r>
              <w:rPr>
                <w:rFonts w:ascii="Calibri" w:cs="Calibri" w:eastAsia="Calibri" w:hAnsi="Calibri"/>
                <w:sz w:val="18"/>
                <w:szCs w:val="18"/>
              </w:rPr>
              <w:t xml:space="preserve">☒</w:t>
            </w:r>
          </w:p>
        </w:tc>
        <w:tc>
          <w:tcPr>
            <w:tcW w:type="dxa" w:w="800"/>
            <w:tcMar>
              <w:top w:type="dxa" w:w="40"/>
              <w:left w:type="dxa" w:w="80"/>
              <w:bottom w:type="dxa" w:w="40"/>
              <w:right w:type="dxa" w:w="80"/>
            </w:tcMar>
            <w:vAlign w:val="center"/>
          </w:tcPr>
          <w:p>
            <w:pPr>
              <w:spacing w:after="20" w:before="20"/>
              <w:jc w:val="center"/>
            </w:pPr>
            <w:r>
              <w:rPr>
                <w:rFonts w:ascii="Calibri" w:cs="Calibri" w:eastAsia="Calibri" w:hAnsi="Calibri"/>
                <w:sz w:val="18"/>
                <w:szCs w:val="18"/>
              </w:rPr>
              <w:t xml:space="preserve">☐</w:t>
            </w:r>
          </w:p>
        </w:tc>
      </w:tr>
    </w:tbl>
    <w:p>
      <w:pPr>
        <w:spacing w:after="40" w:before="80"/>
      </w:pPr>
      <w:r>
        <w:rPr>
          <w:rFonts w:ascii="Calibri" w:cs="Calibri" w:eastAsia="Calibri" w:hAnsi="Calibri"/>
          <w:b/>
          <w:bCs/>
          <w:sz w:val="18"/>
          <w:szCs w:val="18"/>
        </w:rPr>
        <w:t xml:space="preserve">Provide details here when we conclude “No.”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Mar>
              <w:top w:type="dxa" w:w="40"/>
              <w:left w:type="dxa" w:w="80"/>
              <w:bottom w:type="dxa" w:w="40"/>
              <w:right w:type="dxa" w:w="80"/>
            </w:tcMar>
            <w:vAlign w:val="center"/>
          </w:tcPr>
          <w:p>
            <w:pPr>
              <w:spacing w:after="40" w:before="40"/>
            </w:pPr>
            <w:r>
              <w:rPr>
                <w:rFonts w:ascii="Calibri" w:cs="Calibri" w:eastAsia="Calibri" w:hAnsi="Calibri"/>
                <w:i/>
                <w:iCs/>
                <w:sz w:val="18"/>
                <w:szCs w:val="18"/>
              </w:rPr>
              <w:t xml:space="preserve">Not applicable — no “No” conclusions.</w:t>
            </w:r>
          </w:p>
        </w:tc>
      </w:tr>
    </w:tbl>
    <w:p>
      <w:pPr>
        <w:spacing w:after="40" w:before="80"/>
      </w:pPr>
      <w:r>
        <w:rPr>
          <w:rFonts w:ascii="Calibri" w:cs="Calibri" w:eastAsia="Calibri" w:hAnsi="Calibri"/>
          <w:i/>
          <w:iCs/>
          <w:sz w:val="18"/>
          <w:szCs w:val="18"/>
        </w:rPr>
        <w:t xml:space="preserve">We sign off this form in the audit platform to evidence preparation, review and approval of this form at the Planning and Execute phases of the audit, as well as completion of the following task (or task customized by the audit team): Understand SCOTs and confirm our understanding — Revenue (credit sales).</w:t>
      </w:r>
    </w:p>
    <w:p>
      <w:pPr>
        <w:keepNext/>
        <w:spacing w:after="100" w:before="280"/>
      </w:pPr>
      <w:r>
        <w:rPr>
          <w:rFonts w:ascii="Calibri" w:cs="Calibri" w:eastAsia="Calibri" w:hAnsi="Calibri"/>
          <w:b/>
          <w:bCs/>
          <w:color w:val="1F3864"/>
          <w:sz w:val="26"/>
          <w:szCs w:val="26"/>
        </w:rPr>
        <w:t xml:space="preserve">Part A: Identify the SCOT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shd w:fill="EDF0F5" w:color="auto" w:val="clear"/>
            <w:tcMar>
              <w:top w:type="dxa" w:w="40"/>
              <w:left w:type="dxa" w:w="80"/>
              <w:bottom w:type="dxa" w:w="40"/>
              <w:right w:type="dxa" w:w="80"/>
            </w:tcMar>
            <w:vAlign w:val="center"/>
          </w:tcPr>
          <w:p>
            <w:pPr>
              <w:spacing w:after="30" w:before="30"/>
            </w:pPr>
            <w:r>
              <w:rPr>
                <w:rFonts w:ascii="Calibri" w:cs="Calibri" w:eastAsia="Calibri" w:hAnsi="Calibri"/>
                <w:b/>
                <w:bCs/>
                <w:sz w:val="18"/>
                <w:szCs w:val="18"/>
              </w:rPr>
              <w:t xml:space="preserve">Methodology requirement — SCOTS 1: </w:t>
            </w:r>
            <w:r>
              <w:rPr>
                <w:rFonts w:ascii="Calibri" w:cs="Calibri" w:eastAsia="Calibri" w:hAnsi="Calibri"/>
                <w:i/>
                <w:iCs/>
                <w:sz w:val="18"/>
                <w:szCs w:val="18"/>
              </w:rPr>
              <w:t xml:space="preserve">We identify SCOTs that affect the relevant assertions for each significant account. A SCOT results in material amounts being recorded in a significant account, is susceptible to material misstatements arising from qualitative factors, or is affected by a significant risk.</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c>
          <w:tcPr>
            <w:tcW w:type="dxa" w:w="3200"/>
            <w:shd w:fill="F2F2F2" w:color="auto"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SCOT name</w:t>
            </w:r>
          </w:p>
        </w:tc>
        <w:tc>
          <w:tcPr>
            <w:tcW w:type="dxa" w:w="6546"/>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Revenue — credit sales of manufactured goods</w:t>
            </w:r>
          </w:p>
        </w:tc>
      </w:tr>
      <w:tr>
        <w:tc>
          <w:tcPr>
            <w:tcW w:type="dxa" w:w="3200"/>
            <w:shd w:fill="F2F2F2" w:color="auto"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Type of SCOT (indicate)</w:t>
            </w:r>
          </w:p>
        </w:tc>
        <w:tc>
          <w:tcPr>
            <w:tcW w:type="dxa" w:w="6546"/>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 Routine     ☐ Non-routine     ☐ Estimation</w:t>
            </w:r>
          </w:p>
        </w:tc>
      </w:tr>
      <w:tr>
        <w:tc>
          <w:tcPr>
            <w:tcW w:type="dxa" w:w="3200"/>
            <w:shd w:fill="F2F2F2" w:color="auto"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Basis for identification (indicate those that apply)</w:t>
            </w:r>
          </w:p>
        </w:tc>
        <w:tc>
          <w:tcPr>
            <w:tcW w:type="dxa" w:w="6546"/>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 Results in material amounts in a significant account     ☐ Qualitative factors     ☒ Affected by a significant risk (revenue recognition — occurrence and cutoff)</w:t>
            </w:r>
          </w:p>
        </w:tc>
      </w:tr>
      <w:tr>
        <w:tc>
          <w:tcPr>
            <w:tcW w:type="dxa" w:w="3200"/>
            <w:shd w:fill="F2F2F2" w:color="auto"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Significant accounts and relevant assertions affected</w:t>
            </w:r>
          </w:p>
        </w:tc>
        <w:tc>
          <w:tcPr>
            <w:tcW w:type="dxa" w:w="6546"/>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Revenue: occurrence, completeness, accuracy, cutoff. Trade receivables: existence, rights and obligations, valuation.</w:t>
            </w:r>
          </w:p>
        </w:tc>
      </w:tr>
      <w:tr>
        <w:tc>
          <w:tcPr>
            <w:tcW w:type="dxa" w:w="3200"/>
            <w:shd w:fill="F2F2F2" w:color="auto"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Related classes of transactions considered</w:t>
            </w:r>
          </w:p>
        </w:tc>
        <w:tc>
          <w:tcPr>
            <w:tcW w:type="dxa" w:w="6546"/>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Cash sales are a separate SCOT (different accounting effect — cash vs. trade receivables). Credit notes and sales returns are processed within this SCOT and are included in this form.</w:t>
            </w:r>
          </w:p>
        </w:tc>
      </w:tr>
      <w:tr>
        <w:tc>
          <w:tcPr>
            <w:tcW w:type="dxa" w:w="3200"/>
            <w:shd w:fill="F2F2F2" w:color="auto"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Locations / components covered</w:t>
            </w:r>
          </w:p>
        </w:tc>
        <w:tc>
          <w:tcPr>
            <w:tcW w:type="dxa" w:w="6546"/>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Douala plant and head office (single component).</w:t>
            </w:r>
          </w:p>
        </w:tc>
      </w:tr>
    </w:tbl>
    <w:p>
      <w:pPr>
        <w:spacing w:after="40" w:before="120"/>
      </w:pPr>
      <w:r>
        <w:rPr>
          <w:rFonts w:ascii="Calibri" w:cs="Calibri" w:eastAsia="Calibri" w:hAnsi="Calibri"/>
          <w:b/>
          <w:bCs/>
          <w:sz w:val="18"/>
          <w:szCs w:val="18"/>
        </w:rPr>
        <w:t xml:space="preserve">IT applications relevant to the audit that support this SCOT (an IT application is relevant when it supports the SCOT from initiation to reporting or produces information produced by the entity (IPE) on which we plan to rely):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3146"/>
        <w:gridCol w:w="2800"/>
        <w:gridCol w:w="2000"/>
      </w:tblGrid>
      <w:tr>
        <w:tc>
          <w:tcPr>
            <w:tcW w:type="dxa" w:w="1800"/>
            <w:shd w:fill="D9D9D9" w:color="auto"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IT application</w:t>
            </w:r>
          </w:p>
        </w:tc>
        <w:tc>
          <w:tcPr>
            <w:tcW w:type="dxa" w:w="3146"/>
            <w:shd w:fill="D9D9D9" w:color="auto"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Function within the SCOT</w:t>
            </w:r>
          </w:p>
        </w:tc>
        <w:tc>
          <w:tcPr>
            <w:tcW w:type="dxa" w:w="2800"/>
            <w:shd w:fill="D9D9D9" w:color="auto"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Why relevant</w:t>
            </w:r>
          </w:p>
        </w:tc>
        <w:tc>
          <w:tcPr>
            <w:tcW w:type="dxa" w:w="2000"/>
            <w:shd w:fill="D9D9D9" w:color="auto"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ITGC reliance planned</w:t>
            </w:r>
          </w:p>
        </w:tc>
      </w:tr>
      <w:tr>
        <w:tc>
          <w:tcPr>
            <w:tcW w:type="dxa" w:w="18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Sage 100 ERP — SO / AR / GL modules</w:t>
            </w:r>
          </w:p>
        </w:tc>
        <w:tc>
          <w:tcPr>
            <w:tcW w:type="dxa" w:w="3146"/>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Sales order entry, automated credit check, invoicing from approved price master, AR sub-ledger, nightly automated posting to GL.</w:t>
            </w:r>
          </w:p>
        </w:tc>
        <w:tc>
          <w:tcPr>
            <w:tcW w:type="dxa" w:w="28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Supports the critical path from initiation to reporting; automated application controls and IPE (dispatch and AR reports).</w:t>
            </w:r>
          </w:p>
        </w:tc>
        <w:tc>
          <w:tcPr>
            <w:tcW w:type="dxa" w:w="20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 Yes — refer IT workpapers</w:t>
            </w:r>
          </w:p>
        </w:tc>
      </w:tr>
      <w:tr>
        <w:tc>
          <w:tcPr>
            <w:tcW w:type="dxa" w:w="18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Sage report generator</w:t>
            </w:r>
          </w:p>
        </w:tc>
        <w:tc>
          <w:tcPr>
            <w:tcW w:type="dxa" w:w="3146"/>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Produces AR ageing and weekly dispatch-to-invoice match report.</w:t>
            </w:r>
          </w:p>
        </w:tc>
        <w:tc>
          <w:tcPr>
            <w:tcW w:type="dxa" w:w="28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Report writer producing IPE used in a control we plan to rely on.</w:t>
            </w:r>
          </w:p>
        </w:tc>
        <w:tc>
          <w:tcPr>
            <w:tcW w:type="dxa" w:w="20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 Yes</w:t>
            </w:r>
          </w:p>
        </w:tc>
      </w:tr>
      <w:tr>
        <w:tc>
          <w:tcPr>
            <w:tcW w:type="dxa" w:w="18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Microsoft Excel (EUC)</w:t>
            </w:r>
          </w:p>
        </w:tc>
        <w:tc>
          <w:tcPr>
            <w:tcW w:type="dxa" w:w="3146"/>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Weekly dispatch log matching working (prepared from Sage dispatch report).</w:t>
            </w:r>
          </w:p>
        </w:tc>
        <w:tc>
          <w:tcPr>
            <w:tcW w:type="dxa" w:w="28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End-user computing supporting a relevant control; risk of erroneous formulas or deleted rows considered in W2.</w:t>
            </w:r>
          </w:p>
        </w:tc>
        <w:tc>
          <w:tcPr>
            <w:tcW w:type="dxa" w:w="20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 No — EUC; control tested directly</w:t>
            </w:r>
          </w:p>
        </w:tc>
      </w:tr>
    </w:tbl>
    <w:p>
      <w:pPr>
        <w:keepNext/>
        <w:spacing w:after="100" w:before="280"/>
      </w:pPr>
      <w:r>
        <w:rPr>
          <w:rFonts w:ascii="Calibri" w:cs="Calibri" w:eastAsia="Calibri" w:hAnsi="Calibri"/>
          <w:b/>
          <w:bCs/>
          <w:color w:val="1F3864"/>
          <w:sz w:val="26"/>
          <w:szCs w:val="26"/>
        </w:rPr>
        <w:t xml:space="preserve">Part B: Understand the critical path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shd w:fill="EDF0F5" w:color="auto" w:val="clear"/>
            <w:tcMar>
              <w:top w:type="dxa" w:w="40"/>
              <w:left w:type="dxa" w:w="80"/>
              <w:bottom w:type="dxa" w:w="40"/>
              <w:right w:type="dxa" w:w="80"/>
            </w:tcMar>
            <w:vAlign w:val="center"/>
          </w:tcPr>
          <w:p>
            <w:pPr>
              <w:spacing w:after="30" w:before="30"/>
            </w:pPr>
            <w:r>
              <w:rPr>
                <w:rFonts w:ascii="Calibri" w:cs="Calibri" w:eastAsia="Calibri" w:hAnsi="Calibri"/>
                <w:b/>
                <w:bCs/>
                <w:sz w:val="18"/>
                <w:szCs w:val="18"/>
              </w:rPr>
              <w:t xml:space="preserve">Methodology requirement — SCOTS 2: </w:t>
            </w:r>
            <w:r>
              <w:rPr>
                <w:rFonts w:ascii="Calibri" w:cs="Calibri" w:eastAsia="Calibri" w:hAnsi="Calibri"/>
                <w:i/>
                <w:iCs/>
                <w:sz w:val="18"/>
                <w:szCs w:val="18"/>
              </w:rPr>
              <w:t xml:space="preserve">In obtaining an understanding of the SCOT, we obtain an understanding of its critical path: how transactions are initiated, recorded, processed, reported and incorrect information corrected; the policies and procedures within the SCOT; and the effect of IT, including the IT applications relevant to the audit.</w:t>
            </w:r>
          </w:p>
        </w:tc>
      </w:tr>
    </w:tbl>
    <w:p>
      <w:pPr>
        <w:keepNext/>
        <w:spacing w:after="80" w:before="200"/>
      </w:pPr>
      <w:r>
        <w:rPr>
          <w:rFonts w:ascii="Calibri" w:cs="Calibri" w:eastAsia="Calibri" w:hAnsi="Calibri"/>
          <w:b/>
          <w:bCs/>
          <w:color w:val="1F3864"/>
          <w:sz w:val="22"/>
          <w:szCs w:val="22"/>
        </w:rPr>
        <w:t xml:space="preserve">B1. Critical path of the SCOT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4746"/>
        <w:gridCol w:w="2000"/>
        <w:gridCol w:w="1600"/>
      </w:tblGrid>
      <w:tr>
        <w:tc>
          <w:tcPr>
            <w:tcW w:type="dxa" w:w="1400"/>
            <w:shd w:fill="D9D9D9" w:color="auto"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Phase</w:t>
            </w:r>
          </w:p>
        </w:tc>
        <w:tc>
          <w:tcPr>
            <w:tcW w:type="dxa" w:w="4746"/>
            <w:shd w:fill="D9D9D9" w:color="auto"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Description of the process (manual and automated aspects)</w:t>
            </w:r>
          </w:p>
        </w:tc>
        <w:tc>
          <w:tcPr>
            <w:tcW w:type="dxa" w:w="2000"/>
            <w:shd w:fill="D9D9D9" w:color="auto"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Key documents / records / data</w:t>
            </w:r>
          </w:p>
        </w:tc>
        <w:tc>
          <w:tcPr>
            <w:tcW w:type="dxa" w:w="1600"/>
            <w:shd w:fill="D9D9D9" w:color="auto"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IT application</w:t>
            </w:r>
          </w:p>
        </w:tc>
      </w:tr>
      <w:tr>
        <w:tc>
          <w:tcPr>
            <w:tcW w:type="dxa" w:w="14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Initiation</w:t>
            </w:r>
          </w:p>
        </w:tc>
        <w:tc>
          <w:tcPr>
            <w:tcW w:type="dxa" w:w="4746"/>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Customer purchase order is received by the sales administration officer, who raises a sales order in Sage. The system performs an automated credit-limit check against the customer master file and the open AR balance. Orders above XAF 25m, price overrides and new customers require sales manager approval in the system.</w:t>
            </w:r>
          </w:p>
        </w:tc>
        <w:tc>
          <w:tcPr>
            <w:tcW w:type="dxa" w:w="20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Customer PO; sales order; approved price list; customer master file</w:t>
            </w:r>
          </w:p>
        </w:tc>
        <w:tc>
          <w:tcPr>
            <w:tcW w:type="dxa" w:w="16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Sage 100 — SO module</w:t>
            </w:r>
          </w:p>
        </w:tc>
      </w:tr>
      <w:tr>
        <w:tc>
          <w:tcPr>
            <w:tcW w:type="dxa" w:w="14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Recording</w:t>
            </w:r>
          </w:p>
        </w:tc>
        <w:tc>
          <w:tcPr>
            <w:tcW w:type="dxa" w:w="4746"/>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The warehouse dispatches goods against a picking list generated from the approved sales order. A pre-numbered delivery note is signed by the customer’s driver. The sales invoice is generated automatically from the delivery note using the approved price master; invoices are numbered sequentially by the system.</w:t>
            </w:r>
          </w:p>
        </w:tc>
        <w:tc>
          <w:tcPr>
            <w:tcW w:type="dxa" w:w="20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Picking list; pre-numbered delivery note; sales invoice</w:t>
            </w:r>
          </w:p>
        </w:tc>
        <w:tc>
          <w:tcPr>
            <w:tcW w:type="dxa" w:w="16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Sage 100</w:t>
            </w:r>
          </w:p>
        </w:tc>
      </w:tr>
      <w:tr>
        <w:tc>
          <w:tcPr>
            <w:tcW w:type="dxa" w:w="14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Processing</w:t>
            </w:r>
          </w:p>
        </w:tc>
        <w:tc>
          <w:tcPr>
            <w:tcW w:type="dxa" w:w="4746"/>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Invoices post to the AR sub-ledger in real time. Credit notes require sales manager approval before posting. The financial accountant matches the weekly dispatch report to invoices raised to identify unbilled dispatches; unmatched items are investigated and corrected by invoice or credit note.</w:t>
            </w:r>
          </w:p>
        </w:tc>
        <w:tc>
          <w:tcPr>
            <w:tcW w:type="dxa" w:w="20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AR sub-ledger; weekly dispatch-to-invoice match report; credit notes</w:t>
            </w:r>
          </w:p>
        </w:tc>
        <w:tc>
          <w:tcPr>
            <w:tcW w:type="dxa" w:w="16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Sage 100 — AR; Excel (EUC)</w:t>
            </w:r>
          </w:p>
        </w:tc>
      </w:tr>
      <w:tr>
        <w:tc>
          <w:tcPr>
            <w:tcW w:type="dxa" w:w="14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Reporting</w:t>
            </w:r>
          </w:p>
        </w:tc>
        <w:tc>
          <w:tcPr>
            <w:tcW w:type="dxa" w:w="4746"/>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A nightly automated batch posts AR sub-ledger journals to the general ledger. The financial accountant reviews the interface exception report monthly; the finance manager reviews the monthly AR-to-GL reconciliation. Incorrectly processed information is corrected through approved credit notes or correcting journal entries.</w:t>
            </w:r>
          </w:p>
        </w:tc>
        <w:tc>
          <w:tcPr>
            <w:tcW w:type="dxa" w:w="20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Batch posting log; interface exception report; monthly AR-to-GL reconciliation</w:t>
            </w:r>
          </w:p>
        </w:tc>
        <w:tc>
          <w:tcPr>
            <w:tcW w:type="dxa" w:w="16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Sage 100 — GL</w:t>
            </w:r>
          </w:p>
        </w:tc>
      </w:tr>
    </w:tbl>
    <w:p>
      <w:pPr>
        <w:keepNext/>
        <w:spacing w:after="80" w:before="200"/>
      </w:pPr>
      <w:r>
        <w:rPr>
          <w:rFonts w:ascii="Calibri" w:cs="Calibri" w:eastAsia="Calibri" w:hAnsi="Calibri"/>
          <w:b/>
          <w:bCs/>
          <w:color w:val="1F3864"/>
          <w:sz w:val="22"/>
          <w:szCs w:val="22"/>
        </w:rPr>
        <w:t xml:space="preserve">B2. Policies and procedures within the SCOT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shd w:fill="EDF0F5" w:color="auto" w:val="clear"/>
            <w:tcMar>
              <w:top w:type="dxa" w:w="40"/>
              <w:left w:type="dxa" w:w="80"/>
              <w:bottom w:type="dxa" w:w="40"/>
              <w:right w:type="dxa" w:w="80"/>
            </w:tcMar>
            <w:vAlign w:val="center"/>
          </w:tcPr>
          <w:p>
            <w:pPr>
              <w:spacing w:after="30" w:before="30"/>
            </w:pPr>
            <w:r>
              <w:rPr>
                <w:rFonts w:ascii="Calibri" w:cs="Calibri" w:eastAsia="Calibri" w:hAnsi="Calibri"/>
                <w:b/>
                <w:bCs/>
                <w:sz w:val="18"/>
                <w:szCs w:val="18"/>
              </w:rPr>
              <w:t xml:space="preserve">Methodology requirement — SCOTS 2.2: </w:t>
            </w:r>
            <w:r>
              <w:rPr>
                <w:rFonts w:ascii="Calibri" w:cs="Calibri" w:eastAsia="Calibri" w:hAnsi="Calibri"/>
                <w:i/>
                <w:iCs/>
                <w:sz w:val="18"/>
                <w:szCs w:val="18"/>
              </w:rPr>
              <w:t xml:space="preserve">When we obtain an understanding of the critical path, we obtain an understanding of the policies and procedures that management uses to determine that directives are carried out: authorization; segregation of duties; safeguarding of assets; monitoring of processes; and information processing.</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6846"/>
        <w:gridCol w:w="800"/>
        <w:gridCol w:w="800"/>
        <w:gridCol w:w="800"/>
      </w:tblGrid>
      <w:tr>
        <w:tc>
          <w:tcPr>
            <w:tcW w:type="dxa" w:w="500"/>
            <w:shd w:fill="D9D9D9" w:color="auto" w:val="clear"/>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
            </w:r>
          </w:p>
        </w:tc>
        <w:tc>
          <w:tcPr>
            <w:tcW w:type="dxa" w:w="6846"/>
            <w:shd w:fill="D9D9D9" w:color="auto"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When obtaining our understanding, determine whether the following are appropriately addressed.</w:t>
            </w:r>
          </w:p>
        </w:tc>
        <w:tc>
          <w:tcPr>
            <w:tcW w:type="dxa" w:w="800"/>
            <w:shd w:fill="D9D9D9" w:color="auto" w:val="clear"/>
            <w:tcMar>
              <w:top w:type="dxa" w:w="40"/>
              <w:left w:type="dxa" w:w="80"/>
              <w:bottom w:type="dxa" w:w="40"/>
              <w:right w:type="dxa" w:w="80"/>
            </w:tcMar>
            <w:vAlign w:val="center"/>
          </w:tcPr>
          <w:p>
            <w:pPr>
              <w:spacing w:after="20" w:before="20"/>
              <w:jc w:val="center"/>
            </w:pPr>
            <w:r>
              <w:rPr>
                <w:rFonts w:ascii="Calibri" w:cs="Calibri" w:eastAsia="Calibri" w:hAnsi="Calibri"/>
                <w:b/>
                <w:bCs/>
                <w:sz w:val="18"/>
                <w:szCs w:val="18"/>
              </w:rPr>
              <w:t xml:space="preserve">Yes</w:t>
            </w:r>
          </w:p>
        </w:tc>
        <w:tc>
          <w:tcPr>
            <w:tcW w:type="dxa" w:w="800"/>
            <w:shd w:fill="D9D9D9" w:color="auto" w:val="clear"/>
            <w:tcMar>
              <w:top w:type="dxa" w:w="40"/>
              <w:left w:type="dxa" w:w="80"/>
              <w:bottom w:type="dxa" w:w="40"/>
              <w:right w:type="dxa" w:w="80"/>
            </w:tcMar>
            <w:vAlign w:val="center"/>
          </w:tcPr>
          <w:p>
            <w:pPr>
              <w:spacing w:after="20" w:before="20"/>
              <w:jc w:val="center"/>
            </w:pPr>
            <w:r>
              <w:rPr>
                <w:rFonts w:ascii="Calibri" w:cs="Calibri" w:eastAsia="Calibri" w:hAnsi="Calibri"/>
                <w:b/>
                <w:bCs/>
                <w:sz w:val="18"/>
                <w:szCs w:val="18"/>
              </w:rPr>
              <w:t xml:space="preserve">No</w:t>
            </w:r>
          </w:p>
        </w:tc>
        <w:tc>
          <w:tcPr>
            <w:tcW w:type="dxa" w:w="800"/>
            <w:shd w:fill="D9D9D9" w:color="auto" w:val="clear"/>
            <w:tcMar>
              <w:top w:type="dxa" w:w="40"/>
              <w:left w:type="dxa" w:w="80"/>
              <w:bottom w:type="dxa" w:w="40"/>
              <w:right w:type="dxa" w:w="80"/>
            </w:tcMar>
            <w:vAlign w:val="center"/>
          </w:tcPr>
          <w:p>
            <w:pPr>
              <w:spacing w:after="20" w:before="20"/>
              <w:jc w:val="center"/>
            </w:pPr>
            <w:r>
              <w:rPr>
                <w:rFonts w:ascii="Calibri" w:cs="Calibri" w:eastAsia="Calibri" w:hAnsi="Calibri"/>
                <w:b/>
                <w:bCs/>
                <w:sz w:val="18"/>
                <w:szCs w:val="18"/>
              </w:rPr>
              <w:t xml:space="preserve">N/A</w:t>
            </w:r>
          </w:p>
        </w:tc>
      </w:tr>
      <w:tr>
        <w:tc>
          <w:tcPr>
            <w:tcW w:type="dxa" w:w="5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1.</w:t>
            </w:r>
          </w:p>
        </w:tc>
        <w:tc>
          <w:tcPr>
            <w:tcW w:type="dxa" w:w="6846"/>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Authorization — the entity’s authorization procedures reflect its size and complexity (credit limits, approval thresholds, price list and customer master-file changes, credit note approval), supported by system access rights.</w:t>
            </w:r>
          </w:p>
        </w:tc>
        <w:tc>
          <w:tcPr>
            <w:tcW w:type="dxa" w:w="800"/>
            <w:tcMar>
              <w:top w:type="dxa" w:w="40"/>
              <w:left w:type="dxa" w:w="80"/>
              <w:bottom w:type="dxa" w:w="40"/>
              <w:right w:type="dxa" w:w="80"/>
            </w:tcMar>
            <w:vAlign w:val="center"/>
          </w:tcPr>
          <w:p>
            <w:pPr>
              <w:spacing w:after="20" w:before="20"/>
              <w:jc w:val="center"/>
            </w:pPr>
            <w:r>
              <w:rPr>
                <w:rFonts w:ascii="Calibri" w:cs="Calibri" w:eastAsia="Calibri" w:hAnsi="Calibri"/>
                <w:sz w:val="18"/>
                <w:szCs w:val="18"/>
              </w:rPr>
              <w:t xml:space="preserve">☒</w:t>
            </w:r>
          </w:p>
        </w:tc>
        <w:tc>
          <w:tcPr>
            <w:tcW w:type="dxa" w:w="800"/>
            <w:tcMar>
              <w:top w:type="dxa" w:w="40"/>
              <w:left w:type="dxa" w:w="80"/>
              <w:bottom w:type="dxa" w:w="40"/>
              <w:right w:type="dxa" w:w="80"/>
            </w:tcMar>
            <w:vAlign w:val="center"/>
          </w:tcPr>
          <w:p>
            <w:pPr>
              <w:spacing w:after="20" w:before="20"/>
              <w:jc w:val="center"/>
            </w:pPr>
            <w:r>
              <w:rPr>
                <w:rFonts w:ascii="Calibri" w:cs="Calibri" w:eastAsia="Calibri" w:hAnsi="Calibri"/>
                <w:sz w:val="18"/>
                <w:szCs w:val="18"/>
              </w:rPr>
              <w:t xml:space="preserve">☐</w:t>
            </w:r>
          </w:p>
        </w:tc>
        <w:tc>
          <w:tcPr>
            <w:tcW w:type="dxa" w:w="800"/>
            <w:tcMar>
              <w:top w:type="dxa" w:w="40"/>
              <w:left w:type="dxa" w:w="80"/>
              <w:bottom w:type="dxa" w:w="40"/>
              <w:right w:type="dxa" w:w="80"/>
            </w:tcMar>
            <w:vAlign w:val="center"/>
          </w:tcPr>
          <w:p>
            <w:pPr>
              <w:spacing w:after="20" w:before="20"/>
              <w:jc w:val="center"/>
            </w:pPr>
            <w:r>
              <w:rPr>
                <w:rFonts w:ascii="Calibri" w:cs="Calibri" w:eastAsia="Calibri" w:hAnsi="Calibri"/>
                <w:sz w:val="18"/>
                <w:szCs w:val="18"/>
              </w:rPr>
              <w:t xml:space="preserve">☐</w:t>
            </w:r>
          </w:p>
        </w:tc>
      </w:tr>
      <w:tr>
        <w:tc>
          <w:tcPr>
            <w:tcW w:type="dxa" w:w="5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2.</w:t>
            </w:r>
          </w:p>
        </w:tc>
        <w:tc>
          <w:tcPr>
            <w:tcW w:type="dxa" w:w="6846"/>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Segregation of duties — order entry, credit approval, dispatch, invoicing, cash receipting and master-file maintenance are performed by different individuals, enforced by IT application access rights.</w:t>
            </w:r>
          </w:p>
        </w:tc>
        <w:tc>
          <w:tcPr>
            <w:tcW w:type="dxa" w:w="800"/>
            <w:tcMar>
              <w:top w:type="dxa" w:w="40"/>
              <w:left w:type="dxa" w:w="80"/>
              <w:bottom w:type="dxa" w:w="40"/>
              <w:right w:type="dxa" w:w="80"/>
            </w:tcMar>
            <w:vAlign w:val="center"/>
          </w:tcPr>
          <w:p>
            <w:pPr>
              <w:spacing w:after="20" w:before="20"/>
              <w:jc w:val="center"/>
            </w:pPr>
            <w:r>
              <w:rPr>
                <w:rFonts w:ascii="Calibri" w:cs="Calibri" w:eastAsia="Calibri" w:hAnsi="Calibri"/>
                <w:sz w:val="18"/>
                <w:szCs w:val="18"/>
              </w:rPr>
              <w:t xml:space="preserve">☐</w:t>
            </w:r>
          </w:p>
        </w:tc>
        <w:tc>
          <w:tcPr>
            <w:tcW w:type="dxa" w:w="800"/>
            <w:tcMar>
              <w:top w:type="dxa" w:w="40"/>
              <w:left w:type="dxa" w:w="80"/>
              <w:bottom w:type="dxa" w:w="40"/>
              <w:right w:type="dxa" w:w="80"/>
            </w:tcMar>
            <w:vAlign w:val="center"/>
          </w:tcPr>
          <w:p>
            <w:pPr>
              <w:spacing w:after="20" w:before="20"/>
              <w:jc w:val="center"/>
            </w:pPr>
            <w:r>
              <w:rPr>
                <w:rFonts w:ascii="Calibri" w:cs="Calibri" w:eastAsia="Calibri" w:hAnsi="Calibri"/>
                <w:sz w:val="18"/>
                <w:szCs w:val="18"/>
              </w:rPr>
              <w:t xml:space="preserve">☒</w:t>
            </w:r>
          </w:p>
        </w:tc>
        <w:tc>
          <w:tcPr>
            <w:tcW w:type="dxa" w:w="800"/>
            <w:tcMar>
              <w:top w:type="dxa" w:w="40"/>
              <w:left w:type="dxa" w:w="80"/>
              <w:bottom w:type="dxa" w:w="40"/>
              <w:right w:type="dxa" w:w="80"/>
            </w:tcMar>
            <w:vAlign w:val="center"/>
          </w:tcPr>
          <w:p>
            <w:pPr>
              <w:spacing w:after="20" w:before="20"/>
              <w:jc w:val="center"/>
            </w:pPr>
            <w:r>
              <w:rPr>
                <w:rFonts w:ascii="Calibri" w:cs="Calibri" w:eastAsia="Calibri" w:hAnsi="Calibri"/>
                <w:sz w:val="18"/>
                <w:szCs w:val="18"/>
              </w:rPr>
              <w:t xml:space="preserve">☐</w:t>
            </w:r>
          </w:p>
        </w:tc>
      </w:tr>
      <w:tr>
        <w:tc>
          <w:tcPr>
            <w:tcW w:type="dxa" w:w="5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3.</w:t>
            </w:r>
          </w:p>
        </w:tc>
        <w:tc>
          <w:tcPr>
            <w:tcW w:type="dxa" w:w="6846"/>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Safeguarding of assets — physical access to inventory is restricted and goods leave the premises only with an approved, pre-numbered delivery note.</w:t>
            </w:r>
          </w:p>
        </w:tc>
        <w:tc>
          <w:tcPr>
            <w:tcW w:type="dxa" w:w="800"/>
            <w:tcMar>
              <w:top w:type="dxa" w:w="40"/>
              <w:left w:type="dxa" w:w="80"/>
              <w:bottom w:type="dxa" w:w="40"/>
              <w:right w:type="dxa" w:w="80"/>
            </w:tcMar>
            <w:vAlign w:val="center"/>
          </w:tcPr>
          <w:p>
            <w:pPr>
              <w:spacing w:after="20" w:before="20"/>
              <w:jc w:val="center"/>
            </w:pPr>
            <w:r>
              <w:rPr>
                <w:rFonts w:ascii="Calibri" w:cs="Calibri" w:eastAsia="Calibri" w:hAnsi="Calibri"/>
                <w:sz w:val="18"/>
                <w:szCs w:val="18"/>
              </w:rPr>
              <w:t xml:space="preserve">☒</w:t>
            </w:r>
          </w:p>
        </w:tc>
        <w:tc>
          <w:tcPr>
            <w:tcW w:type="dxa" w:w="800"/>
            <w:tcMar>
              <w:top w:type="dxa" w:w="40"/>
              <w:left w:type="dxa" w:w="80"/>
              <w:bottom w:type="dxa" w:w="40"/>
              <w:right w:type="dxa" w:w="80"/>
            </w:tcMar>
            <w:vAlign w:val="center"/>
          </w:tcPr>
          <w:p>
            <w:pPr>
              <w:spacing w:after="20" w:before="20"/>
              <w:jc w:val="center"/>
            </w:pPr>
            <w:r>
              <w:rPr>
                <w:rFonts w:ascii="Calibri" w:cs="Calibri" w:eastAsia="Calibri" w:hAnsi="Calibri"/>
                <w:sz w:val="18"/>
                <w:szCs w:val="18"/>
              </w:rPr>
              <w:t xml:space="preserve">☐</w:t>
            </w:r>
          </w:p>
        </w:tc>
        <w:tc>
          <w:tcPr>
            <w:tcW w:type="dxa" w:w="800"/>
            <w:tcMar>
              <w:top w:type="dxa" w:w="40"/>
              <w:left w:type="dxa" w:w="80"/>
              <w:bottom w:type="dxa" w:w="40"/>
              <w:right w:type="dxa" w:w="80"/>
            </w:tcMar>
            <w:vAlign w:val="center"/>
          </w:tcPr>
          <w:p>
            <w:pPr>
              <w:spacing w:after="20" w:before="20"/>
              <w:jc w:val="center"/>
            </w:pPr>
            <w:r>
              <w:rPr>
                <w:rFonts w:ascii="Calibri" w:cs="Calibri" w:eastAsia="Calibri" w:hAnsi="Calibri"/>
                <w:sz w:val="18"/>
                <w:szCs w:val="18"/>
              </w:rPr>
              <w:t xml:space="preserve">☐</w:t>
            </w:r>
          </w:p>
        </w:tc>
      </w:tr>
      <w:tr>
        <w:tc>
          <w:tcPr>
            <w:tcW w:type="dxa" w:w="5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4.</w:t>
            </w:r>
          </w:p>
        </w:tc>
        <w:tc>
          <w:tcPr>
            <w:tcW w:type="dxa" w:w="6846"/>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Monitoring of processes — management monitors the SCOT per period of processing (weekly unbilled-dispatch matching; monthly gross margin review by the managing director; monthly AR-to-GL reconciliation review).</w:t>
            </w:r>
          </w:p>
        </w:tc>
        <w:tc>
          <w:tcPr>
            <w:tcW w:type="dxa" w:w="800"/>
            <w:tcMar>
              <w:top w:type="dxa" w:w="40"/>
              <w:left w:type="dxa" w:w="80"/>
              <w:bottom w:type="dxa" w:w="40"/>
              <w:right w:type="dxa" w:w="80"/>
            </w:tcMar>
            <w:vAlign w:val="center"/>
          </w:tcPr>
          <w:p>
            <w:pPr>
              <w:spacing w:after="20" w:before="20"/>
              <w:jc w:val="center"/>
            </w:pPr>
            <w:r>
              <w:rPr>
                <w:rFonts w:ascii="Calibri" w:cs="Calibri" w:eastAsia="Calibri" w:hAnsi="Calibri"/>
                <w:sz w:val="18"/>
                <w:szCs w:val="18"/>
              </w:rPr>
              <w:t xml:space="preserve">☒</w:t>
            </w:r>
          </w:p>
        </w:tc>
        <w:tc>
          <w:tcPr>
            <w:tcW w:type="dxa" w:w="800"/>
            <w:tcMar>
              <w:top w:type="dxa" w:w="40"/>
              <w:left w:type="dxa" w:w="80"/>
              <w:bottom w:type="dxa" w:w="40"/>
              <w:right w:type="dxa" w:w="80"/>
            </w:tcMar>
            <w:vAlign w:val="center"/>
          </w:tcPr>
          <w:p>
            <w:pPr>
              <w:spacing w:after="20" w:before="20"/>
              <w:jc w:val="center"/>
            </w:pPr>
            <w:r>
              <w:rPr>
                <w:rFonts w:ascii="Calibri" w:cs="Calibri" w:eastAsia="Calibri" w:hAnsi="Calibri"/>
                <w:sz w:val="18"/>
                <w:szCs w:val="18"/>
              </w:rPr>
              <w:t xml:space="preserve">☐</w:t>
            </w:r>
          </w:p>
        </w:tc>
        <w:tc>
          <w:tcPr>
            <w:tcW w:type="dxa" w:w="800"/>
            <w:tcMar>
              <w:top w:type="dxa" w:w="40"/>
              <w:left w:type="dxa" w:w="80"/>
              <w:bottom w:type="dxa" w:w="40"/>
              <w:right w:type="dxa" w:w="80"/>
            </w:tcMar>
            <w:vAlign w:val="center"/>
          </w:tcPr>
          <w:p>
            <w:pPr>
              <w:spacing w:after="20" w:before="20"/>
              <w:jc w:val="center"/>
            </w:pPr>
            <w:r>
              <w:rPr>
                <w:rFonts w:ascii="Calibri" w:cs="Calibri" w:eastAsia="Calibri" w:hAnsi="Calibri"/>
                <w:sz w:val="18"/>
                <w:szCs w:val="18"/>
              </w:rPr>
              <w:t xml:space="preserve">☐</w:t>
            </w:r>
          </w:p>
        </w:tc>
      </w:tr>
      <w:tr>
        <w:tc>
          <w:tcPr>
            <w:tcW w:type="dxa" w:w="5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5.</w:t>
            </w:r>
          </w:p>
        </w:tc>
        <w:tc>
          <w:tcPr>
            <w:tcW w:type="dxa" w:w="6846"/>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Information processing — we understand how information is input into the application, the manual aspects that depend on computer functionality or computer-generated data (weekly Excel match prepared from the Sage dispatch report, including parameters entered when running the report), and the processing within the relevant IT applications (automated pricing, sequential numbering, nightly GL interface).</w:t>
            </w:r>
          </w:p>
        </w:tc>
        <w:tc>
          <w:tcPr>
            <w:tcW w:type="dxa" w:w="800"/>
            <w:tcMar>
              <w:top w:type="dxa" w:w="40"/>
              <w:left w:type="dxa" w:w="80"/>
              <w:bottom w:type="dxa" w:w="40"/>
              <w:right w:type="dxa" w:w="80"/>
            </w:tcMar>
            <w:vAlign w:val="center"/>
          </w:tcPr>
          <w:p>
            <w:pPr>
              <w:spacing w:after="20" w:before="20"/>
              <w:jc w:val="center"/>
            </w:pPr>
            <w:r>
              <w:rPr>
                <w:rFonts w:ascii="Calibri" w:cs="Calibri" w:eastAsia="Calibri" w:hAnsi="Calibri"/>
                <w:sz w:val="18"/>
                <w:szCs w:val="18"/>
              </w:rPr>
              <w:t xml:space="preserve">☒</w:t>
            </w:r>
          </w:p>
        </w:tc>
        <w:tc>
          <w:tcPr>
            <w:tcW w:type="dxa" w:w="800"/>
            <w:tcMar>
              <w:top w:type="dxa" w:w="40"/>
              <w:left w:type="dxa" w:w="80"/>
              <w:bottom w:type="dxa" w:w="40"/>
              <w:right w:type="dxa" w:w="80"/>
            </w:tcMar>
            <w:vAlign w:val="center"/>
          </w:tcPr>
          <w:p>
            <w:pPr>
              <w:spacing w:after="20" w:before="20"/>
              <w:jc w:val="center"/>
            </w:pPr>
            <w:r>
              <w:rPr>
                <w:rFonts w:ascii="Calibri" w:cs="Calibri" w:eastAsia="Calibri" w:hAnsi="Calibri"/>
                <w:sz w:val="18"/>
                <w:szCs w:val="18"/>
              </w:rPr>
              <w:t xml:space="preserve">☐</w:t>
            </w:r>
          </w:p>
        </w:tc>
        <w:tc>
          <w:tcPr>
            <w:tcW w:type="dxa" w:w="800"/>
            <w:tcMar>
              <w:top w:type="dxa" w:w="40"/>
              <w:left w:type="dxa" w:w="80"/>
              <w:bottom w:type="dxa" w:w="40"/>
              <w:right w:type="dxa" w:w="80"/>
            </w:tcMar>
            <w:vAlign w:val="center"/>
          </w:tcPr>
          <w:p>
            <w:pPr>
              <w:spacing w:after="20" w:before="20"/>
              <w:jc w:val="center"/>
            </w:pPr>
            <w:r>
              <w:rPr>
                <w:rFonts w:ascii="Calibri" w:cs="Calibri" w:eastAsia="Calibri" w:hAnsi="Calibri"/>
                <w:sz w:val="18"/>
                <w:szCs w:val="18"/>
              </w:rPr>
              <w:t xml:space="preserve">☐</w:t>
            </w:r>
          </w:p>
        </w:tc>
      </w:tr>
    </w:tbl>
    <w:p>
      <w:pPr>
        <w:spacing w:after="40" w:before="80"/>
      </w:pPr>
      <w:r>
        <w:rPr>
          <w:rFonts w:ascii="Calibri" w:cs="Calibri" w:eastAsia="Calibri" w:hAnsi="Calibri"/>
          <w:b/>
          <w:bCs/>
          <w:sz w:val="18"/>
          <w:szCs w:val="18"/>
        </w:rPr>
        <w:t xml:space="preserve">Explanation of “No” answers (e.g., description of the procedures performed per inquiry of management and/or other comments).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Mar>
              <w:top w:type="dxa" w:w="40"/>
              <w:left w:type="dxa" w:w="80"/>
              <w:bottom w:type="dxa" w:w="40"/>
              <w:right w:type="dxa" w:w="80"/>
            </w:tcMar>
            <w:vAlign w:val="center"/>
          </w:tcPr>
          <w:p>
            <w:pPr>
              <w:spacing w:after="40" w:before="40"/>
            </w:pPr>
            <w:r>
              <w:rPr>
                <w:rFonts w:ascii="Calibri" w:cs="Calibri" w:eastAsia="Calibri" w:hAnsi="Calibri"/>
                <w:i w:val="false"/>
                <w:iCs w:val="false"/>
                <w:sz w:val="18"/>
                <w:szCs w:val="18"/>
              </w:rPr>
              <w:t xml:space="preserve">Item 2 — The accounts assistant who posts cash receipts is also able to raise credit notes up to XAF 500,000 in Sage. This combination of access rights could allow misappropriated receipts to be concealed by crediting customer accounts. Identified as WCGW W6 in Part C. Compensating relevant control identified: the finance manager reviews all credit notes monthly against supporting documentation. Access rights change requested by management; follow up at year end.</w:t>
            </w:r>
          </w:p>
        </w:tc>
      </w:tr>
    </w:tbl>
    <w:p>
      <w:pPr>
        <w:keepNext/>
        <w:spacing w:after="80" w:before="200"/>
      </w:pPr>
      <w:r>
        <w:rPr>
          <w:rFonts w:ascii="Calibri" w:cs="Calibri" w:eastAsia="Calibri" w:hAnsi="Calibri"/>
          <w:b/>
          <w:bCs/>
          <w:color w:val="1F3864"/>
          <w:sz w:val="22"/>
          <w:szCs w:val="22"/>
        </w:rPr>
        <w:t xml:space="preserve">B3. How we obtained our understanding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shd w:fill="EDF0F5" w:color="auto" w:val="clear"/>
            <w:tcMar>
              <w:top w:type="dxa" w:w="40"/>
              <w:left w:type="dxa" w:w="80"/>
              <w:bottom w:type="dxa" w:w="40"/>
              <w:right w:type="dxa" w:w="80"/>
            </w:tcMar>
            <w:vAlign w:val="center"/>
          </w:tcPr>
          <w:p>
            <w:pPr>
              <w:spacing w:after="30" w:before="30"/>
            </w:pPr>
            <w:r>
              <w:rPr>
                <w:rFonts w:ascii="Calibri" w:cs="Calibri" w:eastAsia="Calibri" w:hAnsi="Calibri"/>
                <w:b/>
                <w:bCs/>
                <w:sz w:val="18"/>
                <w:szCs w:val="18"/>
              </w:rPr>
              <w:t xml:space="preserve">Methodology requirement — SCOTS 3: </w:t>
            </w:r>
            <w:r>
              <w:rPr>
                <w:rFonts w:ascii="Calibri" w:cs="Calibri" w:eastAsia="Calibri" w:hAnsi="Calibri"/>
                <w:i/>
                <w:iCs/>
                <w:sz w:val="18"/>
                <w:szCs w:val="18"/>
              </w:rPr>
              <w:t xml:space="preserve">To understand the SCOTs, we use a combination of inquiry, observation and inspection to obtain information that is likely to help in the identification of WCGWs.</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8246"/>
      </w:tblGrid>
      <w:tr>
        <w:tc>
          <w:tcPr>
            <w:tcW w:type="dxa" w:w="1500"/>
            <w:shd w:fill="D9D9D9" w:color="auto"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Procedure</w:t>
            </w:r>
          </w:p>
        </w:tc>
        <w:tc>
          <w:tcPr>
            <w:tcW w:type="dxa" w:w="8246"/>
            <w:shd w:fill="D9D9D9" w:color="auto"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Performed — details</w:t>
            </w:r>
          </w:p>
        </w:tc>
      </w:tr>
      <w:tr>
        <w:tc>
          <w:tcPr>
            <w:tcW w:type="dxa" w:w="15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Inquiry</w:t>
            </w:r>
          </w:p>
        </w:tc>
        <w:tc>
          <w:tcPr>
            <w:tcW w:type="dxa" w:w="8246"/>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  Sales administration officer (order entry and credit checks); credit controller (limits, overrides and blocked orders); warehouse supervisor (dispatch and delivery notes); financial accountant (matching, interface and reconciliations). Responses evaluated against documents inspected.</w:t>
            </w:r>
          </w:p>
        </w:tc>
      </w:tr>
      <w:tr>
        <w:tc>
          <w:tcPr>
            <w:tcW w:type="dxa" w:w="15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Observation</w:t>
            </w:r>
          </w:p>
        </w:tc>
        <w:tc>
          <w:tcPr>
            <w:tcW w:type="dxa" w:w="8246"/>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  Observed order entry, picking and dispatch, and invoice generation at the Douala plant on 12 November 2025, simultaneously with the walkthrough (Part F).</w:t>
            </w:r>
          </w:p>
        </w:tc>
      </w:tr>
      <w:tr>
        <w:tc>
          <w:tcPr>
            <w:tcW w:type="dxa" w:w="15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Inspection</w:t>
            </w:r>
          </w:p>
        </w:tc>
        <w:tc>
          <w:tcPr>
            <w:tcW w:type="dxa" w:w="8246"/>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  Sales and dispatch procedures manual v3.2; price list authorization memo (July 2025); sample sales orders, delivery notes, invoices, credit notes; weekly match reports; interface exception reports; AR-to-GL reconciliations.</w:t>
            </w:r>
          </w:p>
        </w:tc>
      </w:tr>
    </w:tbl>
    <w:p>
      <w:pPr>
        <w:keepNext/>
        <w:spacing w:after="100" w:before="280"/>
      </w:pPr>
      <w:r>
        <w:rPr>
          <w:rFonts w:ascii="Calibri" w:cs="Calibri" w:eastAsia="Calibri" w:hAnsi="Calibri"/>
          <w:b/>
          <w:bCs/>
          <w:color w:val="1F3864"/>
          <w:sz w:val="26"/>
          <w:szCs w:val="26"/>
        </w:rPr>
        <w:t xml:space="preserve">Part C: Identify WCGWs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shd w:fill="EDF0F5" w:color="auto" w:val="clear"/>
            <w:tcMar>
              <w:top w:type="dxa" w:w="40"/>
              <w:left w:type="dxa" w:w="80"/>
              <w:bottom w:type="dxa" w:w="40"/>
              <w:right w:type="dxa" w:w="80"/>
            </w:tcMar>
            <w:vAlign w:val="center"/>
          </w:tcPr>
          <w:p>
            <w:pPr>
              <w:spacing w:after="30" w:before="30"/>
            </w:pPr>
            <w:r>
              <w:rPr>
                <w:rFonts w:ascii="Calibri" w:cs="Calibri" w:eastAsia="Calibri" w:hAnsi="Calibri"/>
                <w:b/>
                <w:bCs/>
                <w:sz w:val="18"/>
                <w:szCs w:val="18"/>
              </w:rPr>
              <w:t xml:space="preserve">Methodology requirement — SCOTS 4: </w:t>
            </w:r>
            <w:r>
              <w:rPr>
                <w:rFonts w:ascii="Calibri" w:cs="Calibri" w:eastAsia="Calibri" w:hAnsi="Calibri"/>
                <w:i/>
                <w:iCs/>
                <w:sz w:val="18"/>
                <w:szCs w:val="18"/>
              </w:rPr>
              <w:t xml:space="preserve">As we obtain our understanding of the SCOT, we identify the points where information is, or ought to be, captured, transferred or modified, including how IT affects the SCOT, and consider what can go wrong. We focus on WCGWs where there is a likelihood of occurrence of misstatement and the potential misstatement can be material, and we link WCGWs to relevant assertions (SCOTS 4.1). We think through the entire SCOT, beginning at the reporting stage and working back to initiation.</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3746"/>
        <w:gridCol w:w="1500"/>
        <w:gridCol w:w="2500"/>
      </w:tblGrid>
      <w:tr>
        <w:tc>
          <w:tcPr>
            <w:tcW w:type="dxa" w:w="600"/>
            <w:shd w:fill="D9D9D9" w:color="auto"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Ref</w:t>
            </w:r>
          </w:p>
        </w:tc>
        <w:tc>
          <w:tcPr>
            <w:tcW w:type="dxa" w:w="1400"/>
            <w:shd w:fill="D9D9D9" w:color="auto"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Critical path phase</w:t>
            </w:r>
          </w:p>
        </w:tc>
        <w:tc>
          <w:tcPr>
            <w:tcW w:type="dxa" w:w="3746"/>
            <w:shd w:fill="D9D9D9" w:color="auto"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What can go wrong (WCGW)</w:t>
            </w:r>
          </w:p>
        </w:tc>
        <w:tc>
          <w:tcPr>
            <w:tcW w:type="dxa" w:w="1500"/>
            <w:shd w:fill="D9D9D9" w:color="auto"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Assertion(s) — account</w:t>
            </w:r>
          </w:p>
        </w:tc>
        <w:tc>
          <w:tcPr>
            <w:tcW w:type="dxa" w:w="2500"/>
            <w:shd w:fill="D9D9D9" w:color="auto"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Relevant control identified</w:t>
            </w:r>
          </w:p>
        </w:tc>
      </w:tr>
      <w:tr>
        <w:tc>
          <w:tcPr>
            <w:tcW w:type="dxa" w:w="6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W1</w:t>
            </w:r>
          </w:p>
        </w:tc>
        <w:tc>
          <w:tcPr>
            <w:tcW w:type="dxa" w:w="14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Initiation</w:t>
            </w:r>
          </w:p>
        </w:tc>
        <w:tc>
          <w:tcPr>
            <w:tcW w:type="dxa" w:w="3746"/>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Sales orders are accepted above approved credit limits, at unauthorized prices, or for customers that do not exist in the approved master file.</w:t>
            </w:r>
          </w:p>
        </w:tc>
        <w:tc>
          <w:tcPr>
            <w:tcW w:type="dxa" w:w="15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Valuation — receivables; Accuracy — revenue</w:t>
            </w:r>
          </w:p>
        </w:tc>
        <w:tc>
          <w:tcPr>
            <w:tcW w:type="dxa" w:w="25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Automated credit-limit block; customer and price master changes restricted and approved (IT-dependent).</w:t>
            </w:r>
          </w:p>
        </w:tc>
      </w:tr>
      <w:tr>
        <w:tc>
          <w:tcPr>
            <w:tcW w:type="dxa" w:w="6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W2</w:t>
            </w:r>
          </w:p>
        </w:tc>
        <w:tc>
          <w:tcPr>
            <w:tcW w:type="dxa" w:w="14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Recording</w:t>
            </w:r>
          </w:p>
        </w:tc>
        <w:tc>
          <w:tcPr>
            <w:tcW w:type="dxa" w:w="3746"/>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Goods are dispatched but no invoice is raised (including EUC risk of deleted or erroneous rows in the Excel match, and incorrect parameters entered when running the dispatch report).</w:t>
            </w:r>
          </w:p>
        </w:tc>
        <w:tc>
          <w:tcPr>
            <w:tcW w:type="dxa" w:w="15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Completeness — revenue, receivables</w:t>
            </w:r>
          </w:p>
        </w:tc>
        <w:tc>
          <w:tcPr>
            <w:tcW w:type="dxa" w:w="25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Weekly matching of dispatch report to invoices by the financial accountant; unmatched items investigated.</w:t>
            </w:r>
          </w:p>
        </w:tc>
      </w:tr>
      <w:tr>
        <w:tc>
          <w:tcPr>
            <w:tcW w:type="dxa" w:w="6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W3</w:t>
            </w:r>
          </w:p>
        </w:tc>
        <w:tc>
          <w:tcPr>
            <w:tcW w:type="dxa" w:w="14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Recording</w:t>
            </w:r>
          </w:p>
        </w:tc>
        <w:tc>
          <w:tcPr>
            <w:tcW w:type="dxa" w:w="3746"/>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Invoices are raised at prices different from the approved price list.</w:t>
            </w:r>
          </w:p>
        </w:tc>
        <w:tc>
          <w:tcPr>
            <w:tcW w:type="dxa" w:w="15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Accuracy — revenue</w:t>
            </w:r>
          </w:p>
        </w:tc>
        <w:tc>
          <w:tcPr>
            <w:tcW w:type="dxa" w:w="25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Automated pricing from the approved price master; overrides require sales manager approval.</w:t>
            </w:r>
          </w:p>
        </w:tc>
      </w:tr>
      <w:tr>
        <w:tc>
          <w:tcPr>
            <w:tcW w:type="dxa" w:w="6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W4</w:t>
            </w:r>
          </w:p>
        </w:tc>
        <w:tc>
          <w:tcPr>
            <w:tcW w:type="dxa" w:w="14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Processing</w:t>
            </w:r>
          </w:p>
        </w:tc>
        <w:tc>
          <w:tcPr>
            <w:tcW w:type="dxa" w:w="3746"/>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Fictitious or duplicate invoices, or unauthorized credit notes, are processed.</w:t>
            </w:r>
          </w:p>
        </w:tc>
        <w:tc>
          <w:tcPr>
            <w:tcW w:type="dxa" w:w="15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Occurrence — revenue; Existence — receivables</w:t>
            </w:r>
          </w:p>
        </w:tc>
        <w:tc>
          <w:tcPr>
            <w:tcW w:type="dxa" w:w="25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System-enforced sequential numbering; credit note approval; monthly credit note review by finance manager.</w:t>
            </w:r>
          </w:p>
        </w:tc>
      </w:tr>
      <w:tr>
        <w:tc>
          <w:tcPr>
            <w:tcW w:type="dxa" w:w="6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W5</w:t>
            </w:r>
          </w:p>
        </w:tc>
        <w:tc>
          <w:tcPr>
            <w:tcW w:type="dxa" w:w="14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Reporting</w:t>
            </w:r>
          </w:p>
        </w:tc>
        <w:tc>
          <w:tcPr>
            <w:tcW w:type="dxa" w:w="3746"/>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AR sub-ledger journals are not completely or accurately posted to the general ledger (interface failure or unprocessed batches).</w:t>
            </w:r>
          </w:p>
        </w:tc>
        <w:tc>
          <w:tcPr>
            <w:tcW w:type="dxa" w:w="15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Completeness, accuracy — revenue, receivables</w:t>
            </w:r>
          </w:p>
        </w:tc>
        <w:tc>
          <w:tcPr>
            <w:tcW w:type="dxa" w:w="25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Monthly review of interface exception report; monthly AR-to-GL reconciliation reviewed by finance manager.</w:t>
            </w:r>
          </w:p>
        </w:tc>
      </w:tr>
      <w:tr>
        <w:tc>
          <w:tcPr>
            <w:tcW w:type="dxa" w:w="6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W6</w:t>
            </w:r>
          </w:p>
        </w:tc>
        <w:tc>
          <w:tcPr>
            <w:tcW w:type="dxa" w:w="14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Processing</w:t>
            </w:r>
          </w:p>
        </w:tc>
        <w:tc>
          <w:tcPr>
            <w:tcW w:type="dxa" w:w="3746"/>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Credit notes are raised by the person who also receipts cash, to conceal misappropriation of customer payments (from B2 item 2).</w:t>
            </w:r>
          </w:p>
        </w:tc>
        <w:tc>
          <w:tcPr>
            <w:tcW w:type="dxa" w:w="15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Occurrence — revenue; Existence — receivables</w:t>
            </w:r>
          </w:p>
        </w:tc>
        <w:tc>
          <w:tcPr>
            <w:tcW w:type="dxa" w:w="25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Compensating: monthly finance-manager review of all credit notes against support.</w:t>
            </w:r>
          </w:p>
        </w:tc>
      </w:tr>
      <w:tr>
        <w:tc>
          <w:tcPr>
            <w:tcW w:type="dxa" w:w="6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W7</w:t>
            </w:r>
          </w:p>
        </w:tc>
        <w:tc>
          <w:tcPr>
            <w:tcW w:type="dxa" w:w="14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Recording / Reporting</w:t>
            </w:r>
          </w:p>
        </w:tc>
        <w:tc>
          <w:tcPr>
            <w:tcW w:type="dxa" w:w="3746"/>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Invoices for goods dispatched near the period end are recorded in the wrong period (significant risk — revenue recognition).</w:t>
            </w:r>
          </w:p>
        </w:tc>
        <w:tc>
          <w:tcPr>
            <w:tcW w:type="dxa" w:w="15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Cutoff — revenue</w:t>
            </w:r>
          </w:p>
        </w:tc>
        <w:tc>
          <w:tcPr>
            <w:tcW w:type="dxa" w:w="25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Year-end dispatch cutoff procedures; last delivery note number recorded and agreed to invoicing.</w:t>
            </w:r>
          </w:p>
        </w:tc>
      </w:tr>
    </w:tbl>
    <w:p>
      <w:pPr>
        <w:spacing w:after="40" w:before="80"/>
      </w:pPr>
      <w:r>
        <w:rPr>
          <w:rFonts w:ascii="Calibri" w:cs="Calibri" w:eastAsia="Calibri" w:hAnsi="Calibri"/>
          <w:i/>
          <w:iCs/>
          <w:sz w:val="18"/>
          <w:szCs w:val="18"/>
        </w:rPr>
        <w:t xml:space="preserve">WCGWs are identified for both manual and automated aspects of the SCOT (SCOTS 4.3). IT-related risks (inaccurate input, unauthorized access or master-file changes, interface routing and report parameters) are reflected in W1, W2, W3 and W5 above; remaining IT risks are addressed through the IT processes — refer to the IT workpapers.</w:t>
      </w:r>
    </w:p>
    <w:p>
      <w:pPr>
        <w:keepNext/>
        <w:spacing w:after="100" w:before="280"/>
      </w:pPr>
      <w:r>
        <w:rPr>
          <w:rFonts w:ascii="Calibri" w:cs="Calibri" w:eastAsia="Calibri" w:hAnsi="Calibri"/>
          <w:b/>
          <w:bCs/>
          <w:color w:val="1F3864"/>
          <w:sz w:val="26"/>
          <w:szCs w:val="26"/>
        </w:rPr>
        <w:t xml:space="preserve">Part D: Special circumstances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shd w:fill="EDF0F5" w:color="auto" w:val="clear"/>
            <w:tcMar>
              <w:top w:type="dxa" w:w="40"/>
              <w:left w:type="dxa" w:w="80"/>
              <w:bottom w:type="dxa" w:w="40"/>
              <w:right w:type="dxa" w:w="80"/>
            </w:tcMar>
            <w:vAlign w:val="center"/>
          </w:tcPr>
          <w:p>
            <w:pPr>
              <w:spacing w:after="30" w:before="30"/>
            </w:pPr>
            <w:r>
              <w:rPr>
                <w:rFonts w:ascii="Calibri" w:cs="Calibri" w:eastAsia="Calibri" w:hAnsi="Calibri"/>
                <w:b/>
                <w:bCs/>
                <w:sz w:val="18"/>
                <w:szCs w:val="18"/>
              </w:rPr>
              <w:t xml:space="preserve">Methodology requirement — SCOTS 5: </w:t>
            </w:r>
            <w:r>
              <w:rPr>
                <w:rFonts w:ascii="Calibri" w:cs="Calibri" w:eastAsia="Calibri" w:hAnsi="Calibri"/>
                <w:i/>
                <w:iCs/>
                <w:sz w:val="18"/>
                <w:szCs w:val="18"/>
              </w:rPr>
              <w:t xml:space="preserve">We take additional action as part of understanding the SCOTs for: highly-automated SCOTs; related party relationships and transactions; estimation SCOTs; significant risks; and journal entries, including those that post transactions from the sub-ledger to the general ledger.</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5046"/>
        <w:gridCol w:w="700"/>
        <w:gridCol w:w="700"/>
        <w:gridCol w:w="2800"/>
      </w:tblGrid>
      <w:tr>
        <w:tc>
          <w:tcPr>
            <w:tcW w:type="dxa" w:w="500"/>
            <w:shd w:fill="D9D9D9" w:color="auto" w:val="clear"/>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
            </w:r>
          </w:p>
        </w:tc>
        <w:tc>
          <w:tcPr>
            <w:tcW w:type="dxa" w:w="5046"/>
            <w:shd w:fill="D9D9D9" w:color="auto"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Does the SCOT have special circumstances?</w:t>
            </w:r>
          </w:p>
        </w:tc>
        <w:tc>
          <w:tcPr>
            <w:tcW w:type="dxa" w:w="700"/>
            <w:shd w:fill="D9D9D9" w:color="auto" w:val="clear"/>
            <w:tcMar>
              <w:top w:type="dxa" w:w="40"/>
              <w:left w:type="dxa" w:w="80"/>
              <w:bottom w:type="dxa" w:w="40"/>
              <w:right w:type="dxa" w:w="80"/>
            </w:tcMar>
            <w:vAlign w:val="center"/>
          </w:tcPr>
          <w:p>
            <w:pPr>
              <w:spacing w:after="20" w:before="20"/>
              <w:jc w:val="center"/>
            </w:pPr>
            <w:r>
              <w:rPr>
                <w:rFonts w:ascii="Calibri" w:cs="Calibri" w:eastAsia="Calibri" w:hAnsi="Calibri"/>
                <w:b/>
                <w:bCs/>
                <w:sz w:val="18"/>
                <w:szCs w:val="18"/>
              </w:rPr>
              <w:t xml:space="preserve">Yes</w:t>
            </w:r>
          </w:p>
        </w:tc>
        <w:tc>
          <w:tcPr>
            <w:tcW w:type="dxa" w:w="700"/>
            <w:shd w:fill="D9D9D9" w:color="auto" w:val="clear"/>
            <w:tcMar>
              <w:top w:type="dxa" w:w="40"/>
              <w:left w:type="dxa" w:w="80"/>
              <w:bottom w:type="dxa" w:w="40"/>
              <w:right w:type="dxa" w:w="80"/>
            </w:tcMar>
            <w:vAlign w:val="center"/>
          </w:tcPr>
          <w:p>
            <w:pPr>
              <w:spacing w:after="20" w:before="20"/>
              <w:jc w:val="center"/>
            </w:pPr>
            <w:r>
              <w:rPr>
                <w:rFonts w:ascii="Calibri" w:cs="Calibri" w:eastAsia="Calibri" w:hAnsi="Calibri"/>
                <w:b/>
                <w:bCs/>
                <w:sz w:val="18"/>
                <w:szCs w:val="18"/>
              </w:rPr>
              <w:t xml:space="preserve">No</w:t>
            </w:r>
          </w:p>
        </w:tc>
        <w:tc>
          <w:tcPr>
            <w:tcW w:type="dxa" w:w="2800"/>
            <w:shd w:fill="D9D9D9" w:color="auto"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If “Yes” — effect on our understanding and procedures</w:t>
            </w:r>
          </w:p>
        </w:tc>
      </w:tr>
      <w:tr>
        <w:tc>
          <w:tcPr>
            <w:tcW w:type="dxa" w:w="5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1.</w:t>
            </w:r>
          </w:p>
        </w:tc>
        <w:tc>
          <w:tcPr>
            <w:tcW w:type="dxa" w:w="5046"/>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Highly-automated SCOT — processing with little or no manual intervention or hard-copy documentation, such that sufficient evidence is available only in electronic form (SCOTS 5.1).</w:t>
            </w:r>
          </w:p>
        </w:tc>
        <w:tc>
          <w:tcPr>
            <w:tcW w:type="dxa" w:w="700"/>
            <w:tcMar>
              <w:top w:type="dxa" w:w="40"/>
              <w:left w:type="dxa" w:w="80"/>
              <w:bottom w:type="dxa" w:w="40"/>
              <w:right w:type="dxa" w:w="80"/>
            </w:tcMar>
            <w:vAlign w:val="center"/>
          </w:tcPr>
          <w:p>
            <w:pPr>
              <w:spacing w:after="20" w:before="20"/>
              <w:jc w:val="center"/>
            </w:pPr>
            <w:r>
              <w:rPr>
                <w:rFonts w:ascii="Calibri" w:cs="Calibri" w:eastAsia="Calibri" w:hAnsi="Calibri"/>
                <w:sz w:val="18"/>
                <w:szCs w:val="18"/>
              </w:rPr>
              <w:t xml:space="preserve">☐</w:t>
            </w:r>
          </w:p>
        </w:tc>
        <w:tc>
          <w:tcPr>
            <w:tcW w:type="dxa" w:w="700"/>
            <w:tcMar>
              <w:top w:type="dxa" w:w="40"/>
              <w:left w:type="dxa" w:w="80"/>
              <w:bottom w:type="dxa" w:w="40"/>
              <w:right w:type="dxa" w:w="80"/>
            </w:tcMar>
            <w:vAlign w:val="center"/>
          </w:tcPr>
          <w:p>
            <w:pPr>
              <w:spacing w:after="20" w:before="20"/>
              <w:jc w:val="center"/>
            </w:pPr>
            <w:r>
              <w:rPr>
                <w:rFonts w:ascii="Calibri" w:cs="Calibri" w:eastAsia="Calibri" w:hAnsi="Calibri"/>
                <w:sz w:val="18"/>
                <w:szCs w:val="18"/>
              </w:rPr>
              <w:t xml:space="preserve">☒</w:t>
            </w:r>
          </w:p>
        </w:tc>
        <w:tc>
          <w:tcPr>
            <w:tcW w:type="dxa" w:w="28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Not applicable — manual dispatch step and hard-copy delivery notes exist; substantive evidence is available.</w:t>
            </w:r>
          </w:p>
        </w:tc>
      </w:tr>
      <w:tr>
        <w:tc>
          <w:tcPr>
            <w:tcW w:type="dxa" w:w="5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2.</w:t>
            </w:r>
          </w:p>
        </w:tc>
        <w:tc>
          <w:tcPr>
            <w:tcW w:type="dxa" w:w="5046"/>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Related party relationships and transactions are processed within this SCOT (SCOTS 5.2).</w:t>
            </w:r>
          </w:p>
        </w:tc>
        <w:tc>
          <w:tcPr>
            <w:tcW w:type="dxa" w:w="700"/>
            <w:tcMar>
              <w:top w:type="dxa" w:w="40"/>
              <w:left w:type="dxa" w:w="80"/>
              <w:bottom w:type="dxa" w:w="40"/>
              <w:right w:type="dxa" w:w="80"/>
            </w:tcMar>
            <w:vAlign w:val="center"/>
          </w:tcPr>
          <w:p>
            <w:pPr>
              <w:spacing w:after="20" w:before="20"/>
              <w:jc w:val="center"/>
            </w:pPr>
            <w:r>
              <w:rPr>
                <w:rFonts w:ascii="Calibri" w:cs="Calibri" w:eastAsia="Calibri" w:hAnsi="Calibri"/>
                <w:sz w:val="18"/>
                <w:szCs w:val="18"/>
              </w:rPr>
              <w:t xml:space="preserve">☒</w:t>
            </w:r>
          </w:p>
        </w:tc>
        <w:tc>
          <w:tcPr>
            <w:tcW w:type="dxa" w:w="700"/>
            <w:tcMar>
              <w:top w:type="dxa" w:w="40"/>
              <w:left w:type="dxa" w:w="80"/>
              <w:bottom w:type="dxa" w:w="40"/>
              <w:right w:type="dxa" w:w="80"/>
            </w:tcMar>
            <w:vAlign w:val="center"/>
          </w:tcPr>
          <w:p>
            <w:pPr>
              <w:spacing w:after="20" w:before="20"/>
              <w:jc w:val="center"/>
            </w:pPr>
            <w:r>
              <w:rPr>
                <w:rFonts w:ascii="Calibri" w:cs="Calibri" w:eastAsia="Calibri" w:hAnsi="Calibri"/>
                <w:sz w:val="18"/>
                <w:szCs w:val="18"/>
              </w:rPr>
              <w:t xml:space="preserve">☐</w:t>
            </w:r>
          </w:p>
        </w:tc>
        <w:tc>
          <w:tcPr>
            <w:tcW w:type="dxa" w:w="28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Sales to ABC Trading SARL (common shareholder) are processed together with unrelated sales. High-level understanding of controls over identification, authorization and disclosure of related party transactions obtained and documented in the RPT workpaper.</w:t>
            </w:r>
          </w:p>
        </w:tc>
      </w:tr>
      <w:tr>
        <w:tc>
          <w:tcPr>
            <w:tcW w:type="dxa" w:w="5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3.</w:t>
            </w:r>
          </w:p>
        </w:tc>
        <w:tc>
          <w:tcPr>
            <w:tcW w:type="dxa" w:w="5046"/>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Estimation SCOT — the SCOT includes the development of accounting estimates subject to estimation uncertainty (SCOTS 5.3).</w:t>
            </w:r>
          </w:p>
        </w:tc>
        <w:tc>
          <w:tcPr>
            <w:tcW w:type="dxa" w:w="700"/>
            <w:tcMar>
              <w:top w:type="dxa" w:w="40"/>
              <w:left w:type="dxa" w:w="80"/>
              <w:bottom w:type="dxa" w:w="40"/>
              <w:right w:type="dxa" w:w="80"/>
            </w:tcMar>
            <w:vAlign w:val="center"/>
          </w:tcPr>
          <w:p>
            <w:pPr>
              <w:spacing w:after="20" w:before="20"/>
              <w:jc w:val="center"/>
            </w:pPr>
            <w:r>
              <w:rPr>
                <w:rFonts w:ascii="Calibri" w:cs="Calibri" w:eastAsia="Calibri" w:hAnsi="Calibri"/>
                <w:sz w:val="18"/>
                <w:szCs w:val="18"/>
              </w:rPr>
              <w:t xml:space="preserve">☐</w:t>
            </w:r>
          </w:p>
        </w:tc>
        <w:tc>
          <w:tcPr>
            <w:tcW w:type="dxa" w:w="700"/>
            <w:tcMar>
              <w:top w:type="dxa" w:w="40"/>
              <w:left w:type="dxa" w:w="80"/>
              <w:bottom w:type="dxa" w:w="40"/>
              <w:right w:type="dxa" w:w="80"/>
            </w:tcMar>
            <w:vAlign w:val="center"/>
          </w:tcPr>
          <w:p>
            <w:pPr>
              <w:spacing w:after="20" w:before="20"/>
              <w:jc w:val="center"/>
            </w:pPr>
            <w:r>
              <w:rPr>
                <w:rFonts w:ascii="Calibri" w:cs="Calibri" w:eastAsia="Calibri" w:hAnsi="Calibri"/>
                <w:sz w:val="18"/>
                <w:szCs w:val="18"/>
              </w:rPr>
              <w:t xml:space="preserve">☒</w:t>
            </w:r>
          </w:p>
        </w:tc>
        <w:tc>
          <w:tcPr>
            <w:tcW w:type="dxa" w:w="28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Not applicable. (The allowance for doubtful receivables is a separate estimation SCOT — refer to its own form.)</w:t>
            </w:r>
          </w:p>
        </w:tc>
      </w:tr>
      <w:tr>
        <w:tc>
          <w:tcPr>
            <w:tcW w:type="dxa" w:w="5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4.</w:t>
            </w:r>
          </w:p>
        </w:tc>
        <w:tc>
          <w:tcPr>
            <w:tcW w:type="dxa" w:w="5046"/>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The SCOT is affected by one or more significant risks (SCOTS 5.4).</w:t>
            </w:r>
          </w:p>
        </w:tc>
        <w:tc>
          <w:tcPr>
            <w:tcW w:type="dxa" w:w="700"/>
            <w:tcMar>
              <w:top w:type="dxa" w:w="40"/>
              <w:left w:type="dxa" w:w="80"/>
              <w:bottom w:type="dxa" w:w="40"/>
              <w:right w:type="dxa" w:w="80"/>
            </w:tcMar>
            <w:vAlign w:val="center"/>
          </w:tcPr>
          <w:p>
            <w:pPr>
              <w:spacing w:after="20" w:before="20"/>
              <w:jc w:val="center"/>
            </w:pPr>
            <w:r>
              <w:rPr>
                <w:rFonts w:ascii="Calibri" w:cs="Calibri" w:eastAsia="Calibri" w:hAnsi="Calibri"/>
                <w:sz w:val="18"/>
                <w:szCs w:val="18"/>
              </w:rPr>
              <w:t xml:space="preserve">☒</w:t>
            </w:r>
          </w:p>
        </w:tc>
        <w:tc>
          <w:tcPr>
            <w:tcW w:type="dxa" w:w="700"/>
            <w:tcMar>
              <w:top w:type="dxa" w:w="40"/>
              <w:left w:type="dxa" w:w="80"/>
              <w:bottom w:type="dxa" w:w="40"/>
              <w:right w:type="dxa" w:w="80"/>
            </w:tcMar>
            <w:vAlign w:val="center"/>
          </w:tcPr>
          <w:p>
            <w:pPr>
              <w:spacing w:after="20" w:before="20"/>
              <w:jc w:val="center"/>
            </w:pPr>
            <w:r>
              <w:rPr>
                <w:rFonts w:ascii="Calibri" w:cs="Calibri" w:eastAsia="Calibri" w:hAnsi="Calibri"/>
                <w:sz w:val="18"/>
                <w:szCs w:val="18"/>
              </w:rPr>
              <w:t xml:space="preserve">☐</w:t>
            </w:r>
          </w:p>
        </w:tc>
        <w:tc>
          <w:tcPr>
            <w:tcW w:type="dxa" w:w="28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Significant risk: revenue recognition — occurrence and cutoff (fraud risk presumption). We identified the relevant controls over W4 and W7 and assessed their design and implementation through the walkthrough (Part F). Operating effectiveness will be tested only under the controls-reliance strategy (Part E).</w:t>
            </w:r>
          </w:p>
        </w:tc>
      </w:tr>
      <w:tr>
        <w:tc>
          <w:tcPr>
            <w:tcW w:type="dxa" w:w="5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5.</w:t>
            </w:r>
          </w:p>
        </w:tc>
        <w:tc>
          <w:tcPr>
            <w:tcW w:type="dxa" w:w="5046"/>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Journal entries — relevant controls over the initiation, authorization and recording of journal entries are identified and understood, including automated postings from the sub-ledger to the general ledger (SCOTS 5.5).</w:t>
            </w:r>
          </w:p>
        </w:tc>
        <w:tc>
          <w:tcPr>
            <w:tcW w:type="dxa" w:w="700"/>
            <w:tcMar>
              <w:top w:type="dxa" w:w="40"/>
              <w:left w:type="dxa" w:w="80"/>
              <w:bottom w:type="dxa" w:w="40"/>
              <w:right w:type="dxa" w:w="80"/>
            </w:tcMar>
            <w:vAlign w:val="center"/>
          </w:tcPr>
          <w:p>
            <w:pPr>
              <w:spacing w:after="20" w:before="20"/>
              <w:jc w:val="center"/>
            </w:pPr>
            <w:r>
              <w:rPr>
                <w:rFonts w:ascii="Calibri" w:cs="Calibri" w:eastAsia="Calibri" w:hAnsi="Calibri"/>
                <w:sz w:val="18"/>
                <w:szCs w:val="18"/>
              </w:rPr>
              <w:t xml:space="preserve">☒</w:t>
            </w:r>
          </w:p>
        </w:tc>
        <w:tc>
          <w:tcPr>
            <w:tcW w:type="dxa" w:w="700"/>
            <w:tcMar>
              <w:top w:type="dxa" w:w="40"/>
              <w:left w:type="dxa" w:w="80"/>
              <w:bottom w:type="dxa" w:w="40"/>
              <w:right w:type="dxa" w:w="80"/>
            </w:tcMar>
            <w:vAlign w:val="center"/>
          </w:tcPr>
          <w:p>
            <w:pPr>
              <w:spacing w:after="20" w:before="20"/>
              <w:jc w:val="center"/>
            </w:pPr>
            <w:r>
              <w:rPr>
                <w:rFonts w:ascii="Calibri" w:cs="Calibri" w:eastAsia="Calibri" w:hAnsi="Calibri"/>
                <w:sz w:val="18"/>
                <w:szCs w:val="18"/>
              </w:rPr>
              <w:t xml:space="preserve">☐</w:t>
            </w:r>
          </w:p>
        </w:tc>
        <w:tc>
          <w:tcPr>
            <w:tcW w:type="dxa" w:w="28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Controls over manual journal entries are understood and documented in the FSCP workpaper. The automated nightly sub-ledger posting is addressed by W5 and the interface controls in this form.</w:t>
            </w:r>
          </w:p>
        </w:tc>
      </w:tr>
    </w:tbl>
    <w:p>
      <w:pPr>
        <w:keepNext/>
        <w:spacing w:after="100" w:before="280"/>
      </w:pPr>
      <w:r>
        <w:rPr>
          <w:rFonts w:ascii="Calibri" w:cs="Calibri" w:eastAsia="Calibri" w:hAnsi="Calibri"/>
          <w:b/>
          <w:bCs/>
          <w:color w:val="1F3864"/>
          <w:sz w:val="26"/>
          <w:szCs w:val="26"/>
        </w:rPr>
        <w:t xml:space="preserve">Part E: Preliminary audit strategy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shd w:fill="EDF0F5" w:color="auto" w:val="clear"/>
            <w:tcMar>
              <w:top w:type="dxa" w:w="40"/>
              <w:left w:type="dxa" w:w="80"/>
              <w:bottom w:type="dxa" w:w="40"/>
              <w:right w:type="dxa" w:w="80"/>
            </w:tcMar>
            <w:vAlign w:val="center"/>
          </w:tcPr>
          <w:p>
            <w:pPr>
              <w:spacing w:after="30" w:before="30"/>
            </w:pPr>
            <w:r>
              <w:rPr>
                <w:rFonts w:ascii="Calibri" w:cs="Calibri" w:eastAsia="Calibri" w:hAnsi="Calibri"/>
                <w:b/>
                <w:bCs/>
                <w:sz w:val="18"/>
                <w:szCs w:val="18"/>
              </w:rPr>
              <w:t xml:space="preserve">Methodology requirement — SCOTS 6: </w:t>
            </w:r>
            <w:r>
              <w:rPr>
                <w:rFonts w:ascii="Calibri" w:cs="Calibri" w:eastAsia="Calibri" w:hAnsi="Calibri"/>
                <w:i/>
                <w:iCs/>
                <w:sz w:val="18"/>
                <w:szCs w:val="18"/>
              </w:rPr>
              <w:t xml:space="preserve">Once we obtain an understanding of the SCOTs, we establish a preliminary audit strategy for each SCOT: a controls-reliance strategy or a substantive only strategy, or a combination. We assess the effect of the control environment on the SCOT.</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346"/>
      </w:tblGrid>
      <w:tr>
        <w:tc>
          <w:tcPr>
            <w:tcW w:type="dxa" w:w="2200"/>
            <w:shd w:fill="D9D9D9" w:color="auto"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Assertions — account</w:t>
            </w:r>
          </w:p>
        </w:tc>
        <w:tc>
          <w:tcPr>
            <w:tcW w:type="dxa" w:w="2200"/>
            <w:shd w:fill="D9D9D9" w:color="auto"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Preliminary strategy</w:t>
            </w:r>
          </w:p>
        </w:tc>
        <w:tc>
          <w:tcPr>
            <w:tcW w:type="dxa" w:w="5346"/>
            <w:shd w:fill="D9D9D9" w:color="auto"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Basis for the strategy</w:t>
            </w:r>
          </w:p>
        </w:tc>
      </w:tr>
      <w:tr>
        <w:tc>
          <w:tcPr>
            <w:tcW w:type="dxa" w:w="22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Occurrence, completeness, accuracy — revenue and receivables</w:t>
            </w:r>
          </w:p>
        </w:tc>
        <w:tc>
          <w:tcPr>
            <w:tcW w:type="dxa" w:w="22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 Controls-reliance</w:t>
            </w:r>
          </w:p>
        </w:tc>
        <w:tc>
          <w:tcPr>
            <w:tcW w:type="dxa" w:w="5346"/>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High volume of transactions (≈ 18,000 invoices per year); effective automated application controls (credit block, pricing, sequential numbering) and management review controls; controls tested effective in the prior period with no changes to systems or processes; reliance reduces the extent of substantive procedures.</w:t>
            </w:r>
          </w:p>
        </w:tc>
      </w:tr>
      <w:tr>
        <w:tc>
          <w:tcPr>
            <w:tcW w:type="dxa" w:w="22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Cutoff — revenue (significant risk)</w:t>
            </w:r>
          </w:p>
        </w:tc>
        <w:tc>
          <w:tcPr>
            <w:tcW w:type="dxa" w:w="22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 Substantive only</w:t>
            </w:r>
          </w:p>
        </w:tc>
        <w:tc>
          <w:tcPr>
            <w:tcW w:type="dxa" w:w="5346"/>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Design and implementation of cutoff controls assessed (walkthrough), but targeted substantive cutoff testing at the period end is the planned response to the significant risk; operating effectiveness of cutoff controls will not be relied upon.</w:t>
            </w:r>
          </w:p>
        </w:tc>
      </w:tr>
      <w:tr>
        <w:tc>
          <w:tcPr>
            <w:tcW w:type="dxa" w:w="22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Valuation — receivables</w:t>
            </w:r>
          </w:p>
        </w:tc>
        <w:tc>
          <w:tcPr>
            <w:tcW w:type="dxa" w:w="22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 Substantive only</w:t>
            </w:r>
          </w:p>
        </w:tc>
        <w:tc>
          <w:tcPr>
            <w:tcW w:type="dxa" w:w="5346"/>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Addressed with the estimation SCOT for the allowance for doubtful receivables and substantive procedures over ageing and subsequent receipts.</w:t>
            </w:r>
          </w:p>
        </w:tc>
      </w:tr>
    </w:tbl>
    <w:p>
      <w:pPr>
        <w:spacing w:after="40" w:before="80"/>
      </w:pPr>
      <w:r>
        <w:rPr>
          <w:rFonts w:ascii="Calibri" w:cs="Calibri" w:eastAsia="Calibri" w:hAnsi="Calibri"/>
          <w:sz w:val="18"/>
          <w:szCs w:val="18"/>
        </w:rPr>
        <w:t xml:space="preserve">Effect of the control environment: our understanding of entity-level controls did not identify negative factors affecting this SCOT; the control environment supports the effective operation of the SCOT, including the relevant controls (refer to the entity-level controls workpaper).</w:t>
      </w:r>
    </w:p>
    <w:p>
      <w:pPr>
        <w:keepNext/>
        <w:spacing w:after="100" w:before="280"/>
      </w:pPr>
      <w:r>
        <w:rPr>
          <w:rFonts w:ascii="Calibri" w:cs="Calibri" w:eastAsia="Calibri" w:hAnsi="Calibri"/>
          <w:b/>
          <w:bCs/>
          <w:color w:val="1F3864"/>
          <w:sz w:val="26"/>
          <w:szCs w:val="26"/>
        </w:rPr>
        <w:t xml:space="preserve">Part F: Confirm our understanding (walkthrough)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shd w:fill="EDF0F5" w:color="auto" w:val="clear"/>
            <w:tcMar>
              <w:top w:type="dxa" w:w="40"/>
              <w:left w:type="dxa" w:w="80"/>
              <w:bottom w:type="dxa" w:w="40"/>
              <w:right w:type="dxa" w:w="80"/>
            </w:tcMar>
            <w:vAlign w:val="center"/>
          </w:tcPr>
          <w:p>
            <w:pPr>
              <w:spacing w:after="30" w:before="30"/>
            </w:pPr>
            <w:r>
              <w:rPr>
                <w:rFonts w:ascii="Calibri" w:cs="Calibri" w:eastAsia="Calibri" w:hAnsi="Calibri"/>
                <w:b/>
                <w:bCs/>
                <w:sz w:val="18"/>
                <w:szCs w:val="18"/>
              </w:rPr>
              <w:t xml:space="preserve">Methodology requirement — SCOTS 7: </w:t>
            </w:r>
            <w:r>
              <w:rPr>
                <w:rFonts w:ascii="Calibri" w:cs="Calibri" w:eastAsia="Calibri" w:hAnsi="Calibri"/>
                <w:i/>
                <w:iCs/>
                <w:sz w:val="18"/>
                <w:szCs w:val="18"/>
              </w:rPr>
              <w:t xml:space="preserve">We confirm our understanding of the routine and non-routine SCOTs every period, regardless of our strategy, by selecting one transaction and tracing that transaction along its critical path — from initiation through to reporting in the general ledger, including how wrongly processed information is corrected. We select additional transactions if one is not sufficient. When there have been significant changes in the SCOT, we perform walkthroughs for transactions processed both before and after the changes.</w:t>
            </w:r>
          </w:p>
        </w:tc>
      </w:tr>
    </w:tbl>
    <w:p>
      <w:pPr>
        <w:keepNext/>
        <w:spacing w:after="80" w:before="200"/>
      </w:pPr>
      <w:r>
        <w:rPr>
          <w:rFonts w:ascii="Calibri" w:cs="Calibri" w:eastAsia="Calibri" w:hAnsi="Calibri"/>
          <w:b/>
          <w:bCs/>
          <w:color w:val="1F3864"/>
          <w:sz w:val="22"/>
          <w:szCs w:val="22"/>
        </w:rPr>
        <w:t xml:space="preserve">F1. Transaction selected for the walkthrough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c>
          <w:tcPr>
            <w:tcW w:type="dxa" w:w="3200"/>
            <w:shd w:fill="F2F2F2" w:color="auto"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Transaction selected</w:t>
            </w:r>
          </w:p>
        </w:tc>
        <w:tc>
          <w:tcPr>
            <w:tcW w:type="dxa" w:w="6546"/>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Sales invoice INV-2025-04387 — Socada SARL — XAF 14,632,500 — goods dispatched 14 November 2025</w:t>
            </w:r>
          </w:p>
        </w:tc>
      </w:tr>
      <w:tr>
        <w:tc>
          <w:tcPr>
            <w:tcW w:type="dxa" w:w="3200"/>
            <w:shd w:fill="F2F2F2" w:color="auto"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Significant changes in the SCOT or supporting IT during the period?</w:t>
            </w:r>
          </w:p>
        </w:tc>
        <w:tc>
          <w:tcPr>
            <w:tcW w:type="dxa" w:w="6546"/>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 No — one transaction is sufficient to confirm our understanding. (If yes, walk through transactions processed both before and after the change.)</w:t>
            </w:r>
          </w:p>
        </w:tc>
      </w:tr>
      <w:tr>
        <w:tc>
          <w:tcPr>
            <w:tcW w:type="dxa" w:w="3200"/>
            <w:shd w:fill="F2F2F2" w:color="auto"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Source documents and screens used</w:t>
            </w:r>
          </w:p>
        </w:tc>
        <w:tc>
          <w:tcPr>
            <w:tcW w:type="dxa" w:w="6546"/>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Same source documents and Sage screens that entity personnel typically use in the SCOT (customer PO, sales order, delivery note, invoice, AR sub-ledger, batch posting log).</w:t>
            </w:r>
          </w:p>
        </w:tc>
      </w:tr>
    </w:tbl>
    <w:p>
      <w:pPr>
        <w:keepNext/>
        <w:spacing w:after="80" w:before="200"/>
      </w:pPr>
      <w:r>
        <w:rPr>
          <w:rFonts w:ascii="Calibri" w:cs="Calibri" w:eastAsia="Calibri" w:hAnsi="Calibri"/>
          <w:b/>
          <w:bCs/>
          <w:color w:val="1F3864"/>
          <w:sz w:val="22"/>
          <w:szCs w:val="22"/>
        </w:rPr>
        <w:t xml:space="preserve">F2. Individuals with whom we confirmed our understanding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346"/>
      </w:tblGrid>
      <w:tr>
        <w:tc>
          <w:tcPr>
            <w:tcW w:type="dxa" w:w="2400"/>
            <w:shd w:fill="D9D9D9" w:color="auto"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Name</w:t>
            </w:r>
          </w:p>
        </w:tc>
        <w:tc>
          <w:tcPr>
            <w:tcW w:type="dxa" w:w="3000"/>
            <w:shd w:fill="D9D9D9" w:color="auto"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Position</w:t>
            </w:r>
          </w:p>
        </w:tc>
        <w:tc>
          <w:tcPr>
            <w:tcW w:type="dxa" w:w="4346"/>
            <w:shd w:fill="D9D9D9" w:color="auto"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Aspects of the critical path confirmed</w:t>
            </w:r>
          </w:p>
        </w:tc>
      </w:tr>
      <w:tr>
        <w:tc>
          <w:tcPr>
            <w:tcW w:type="dxa" w:w="24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S. Etonde</w:t>
            </w:r>
          </w:p>
        </w:tc>
        <w:tc>
          <w:tcPr>
            <w:tcW w:type="dxa" w:w="30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Sales Administration Officer</w:t>
            </w:r>
          </w:p>
        </w:tc>
        <w:tc>
          <w:tcPr>
            <w:tcW w:type="dxa" w:w="4346"/>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Order entry, automated credit check, handling of blocked orders and price overrides.</w:t>
            </w:r>
          </w:p>
        </w:tc>
      </w:tr>
      <w:tr>
        <w:tc>
          <w:tcPr>
            <w:tcW w:type="dxa" w:w="24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P. Ngassa</w:t>
            </w:r>
          </w:p>
        </w:tc>
        <w:tc>
          <w:tcPr>
            <w:tcW w:type="dxa" w:w="30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Credit Controller</w:t>
            </w:r>
          </w:p>
        </w:tc>
        <w:tc>
          <w:tcPr>
            <w:tcW w:type="dxa" w:w="4346"/>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Credit limits, approval of overrides, release of blocked orders.</w:t>
            </w:r>
          </w:p>
        </w:tc>
      </w:tr>
      <w:tr>
        <w:tc>
          <w:tcPr>
            <w:tcW w:type="dxa" w:w="24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M. Fouda</w:t>
            </w:r>
          </w:p>
        </w:tc>
        <w:tc>
          <w:tcPr>
            <w:tcW w:type="dxa" w:w="30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Warehouse Supervisor</w:t>
            </w:r>
          </w:p>
        </w:tc>
        <w:tc>
          <w:tcPr>
            <w:tcW w:type="dxa" w:w="4346"/>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Picking, dispatch, signing and control of pre-numbered delivery notes.</w:t>
            </w:r>
          </w:p>
        </w:tc>
      </w:tr>
      <w:tr>
        <w:tc>
          <w:tcPr>
            <w:tcW w:type="dxa" w:w="24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J. Abena</w:t>
            </w:r>
          </w:p>
        </w:tc>
        <w:tc>
          <w:tcPr>
            <w:tcW w:type="dxa" w:w="30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Financial Accountant</w:t>
            </w:r>
          </w:p>
        </w:tc>
        <w:tc>
          <w:tcPr>
            <w:tcW w:type="dxa" w:w="4346"/>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Invoice posting, weekly dispatch matching, credit notes, interface exception report, AR-to-GL reconciliation, error correction.</w:t>
            </w:r>
          </w:p>
        </w:tc>
      </w:tr>
    </w:tbl>
    <w:p>
      <w:pPr>
        <w:keepNext/>
        <w:spacing w:after="80" w:before="200"/>
      </w:pPr>
      <w:r>
        <w:rPr>
          <w:rFonts w:ascii="Calibri" w:cs="Calibri" w:eastAsia="Calibri" w:hAnsi="Calibri"/>
          <w:b/>
          <w:bCs/>
          <w:color w:val="1F3864"/>
          <w:sz w:val="22"/>
          <w:szCs w:val="22"/>
        </w:rPr>
        <w:t xml:space="preserve">F3. Walkthrough of the critical path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5546"/>
        <w:gridCol w:w="2800"/>
      </w:tblGrid>
      <w:tr>
        <w:tc>
          <w:tcPr>
            <w:tcW w:type="dxa" w:w="1400"/>
            <w:shd w:fill="D9D9D9" w:color="auto"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Phase</w:t>
            </w:r>
          </w:p>
        </w:tc>
        <w:tc>
          <w:tcPr>
            <w:tcW w:type="dxa" w:w="5546"/>
            <w:shd w:fill="D9D9D9" w:color="auto"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Procedures performed and evidence inspected</w:t>
            </w:r>
          </w:p>
        </w:tc>
        <w:tc>
          <w:tcPr>
            <w:tcW w:type="dxa" w:w="2800"/>
            <w:shd w:fill="D9D9D9" w:color="auto"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Result / exceptions</w:t>
            </w:r>
          </w:p>
        </w:tc>
      </w:tr>
      <w:tr>
        <w:tc>
          <w:tcPr>
            <w:tcW w:type="dxa" w:w="14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Initiation</w:t>
            </w:r>
          </w:p>
        </w:tc>
        <w:tc>
          <w:tcPr>
            <w:tcW w:type="dxa" w:w="5546"/>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Inspected customer purchase order SC-1189 and agreed details to sales order SO-8842. Observed the automated credit check performed on order entry; order was within the approved credit limit — no override required. Inquired how blocked orders are released (credit controller only).</w:t>
            </w:r>
          </w:p>
        </w:tc>
        <w:tc>
          <w:tcPr>
            <w:tcW w:type="dxa" w:w="28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No exceptions.</w:t>
            </w:r>
          </w:p>
        </w:tc>
      </w:tr>
      <w:tr>
        <w:tc>
          <w:tcPr>
            <w:tcW w:type="dxa" w:w="14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Recording</w:t>
            </w:r>
          </w:p>
        </w:tc>
        <w:tc>
          <w:tcPr>
            <w:tcW w:type="dxa" w:w="5546"/>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Inspected pre-numbered delivery note DN-11276 signed by the customer’s driver; agreed quantities to the picking list and sales order. Inspected invoice INV-2025-04387 generated automatically on the dispatch date; agreed prices to approved price list v2025-3.</w:t>
            </w:r>
          </w:p>
        </w:tc>
        <w:tc>
          <w:tcPr>
            <w:tcW w:type="dxa" w:w="28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No exceptions.</w:t>
            </w:r>
          </w:p>
        </w:tc>
      </w:tr>
      <w:tr>
        <w:tc>
          <w:tcPr>
            <w:tcW w:type="dxa" w:w="14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Processing</w:t>
            </w:r>
          </w:p>
        </w:tc>
        <w:tc>
          <w:tcPr>
            <w:tcW w:type="dxa" w:w="5546"/>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Traced the invoice to the AR sub-ledger. Inspected the week 46 dispatch-to-invoice match report showing DN-11276 matched. Inquired of the financial accountant about errors found through matching, the types encountered, and how they were resolved (credit note or correcting entry, with approval).</w:t>
            </w:r>
          </w:p>
        </w:tc>
        <w:tc>
          <w:tcPr>
            <w:tcW w:type="dxa" w:w="28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No exceptions.</w:t>
            </w:r>
          </w:p>
        </w:tc>
      </w:tr>
      <w:tr>
        <w:tc>
          <w:tcPr>
            <w:tcW w:type="dxa" w:w="14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Reporting</w:t>
            </w:r>
          </w:p>
        </w:tc>
        <w:tc>
          <w:tcPr>
            <w:tcW w:type="dxa" w:w="5546"/>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Traced sub-ledger journal batch B-1147 to general ledger revenue account 701100 through the nightly interface posting log. Inspected the November interface exception report (nil exceptions) and the November AR-to-GL reconciliation, reviewed by the finance manager on 5 December 2025.</w:t>
            </w:r>
          </w:p>
        </w:tc>
        <w:tc>
          <w:tcPr>
            <w:tcW w:type="dxa" w:w="28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No exceptions.</w:t>
            </w:r>
          </w:p>
        </w:tc>
      </w:tr>
    </w:tbl>
    <w:p>
      <w:pPr>
        <w:keepNext/>
        <w:spacing w:after="80" w:before="200"/>
      </w:pPr>
      <w:r>
        <w:rPr>
          <w:rFonts w:ascii="Calibri" w:cs="Calibri" w:eastAsia="Calibri" w:hAnsi="Calibri"/>
          <w:b/>
          <w:bCs/>
          <w:color w:val="1F3864"/>
          <w:sz w:val="22"/>
          <w:szCs w:val="22"/>
        </w:rPr>
        <w:t xml:space="preserve">F4. Matters addressed during the walkthrough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6846"/>
        <w:gridCol w:w="800"/>
        <w:gridCol w:w="800"/>
        <w:gridCol w:w="800"/>
      </w:tblGrid>
      <w:tr>
        <w:tc>
          <w:tcPr>
            <w:tcW w:type="dxa" w:w="500"/>
            <w:shd w:fill="D9D9D9" w:color="auto" w:val="clear"/>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
            </w:r>
          </w:p>
        </w:tc>
        <w:tc>
          <w:tcPr>
            <w:tcW w:type="dxa" w:w="6846"/>
            <w:shd w:fill="D9D9D9" w:color="auto"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When confirming our understanding, determine the following.</w:t>
            </w:r>
          </w:p>
        </w:tc>
        <w:tc>
          <w:tcPr>
            <w:tcW w:type="dxa" w:w="800"/>
            <w:shd w:fill="D9D9D9" w:color="auto" w:val="clear"/>
            <w:tcMar>
              <w:top w:type="dxa" w:w="40"/>
              <w:left w:type="dxa" w:w="80"/>
              <w:bottom w:type="dxa" w:w="40"/>
              <w:right w:type="dxa" w:w="80"/>
            </w:tcMar>
            <w:vAlign w:val="center"/>
          </w:tcPr>
          <w:p>
            <w:pPr>
              <w:spacing w:after="20" w:before="20"/>
              <w:jc w:val="center"/>
            </w:pPr>
            <w:r>
              <w:rPr>
                <w:rFonts w:ascii="Calibri" w:cs="Calibri" w:eastAsia="Calibri" w:hAnsi="Calibri"/>
                <w:b/>
                <w:bCs/>
                <w:sz w:val="18"/>
                <w:szCs w:val="18"/>
              </w:rPr>
              <w:t xml:space="preserve">Yes</w:t>
            </w:r>
          </w:p>
        </w:tc>
        <w:tc>
          <w:tcPr>
            <w:tcW w:type="dxa" w:w="800"/>
            <w:shd w:fill="D9D9D9" w:color="auto" w:val="clear"/>
            <w:tcMar>
              <w:top w:type="dxa" w:w="40"/>
              <w:left w:type="dxa" w:w="80"/>
              <w:bottom w:type="dxa" w:w="40"/>
              <w:right w:type="dxa" w:w="80"/>
            </w:tcMar>
            <w:vAlign w:val="center"/>
          </w:tcPr>
          <w:p>
            <w:pPr>
              <w:spacing w:after="20" w:before="20"/>
              <w:jc w:val="center"/>
            </w:pPr>
            <w:r>
              <w:rPr>
                <w:rFonts w:ascii="Calibri" w:cs="Calibri" w:eastAsia="Calibri" w:hAnsi="Calibri"/>
                <w:b/>
                <w:bCs/>
                <w:sz w:val="18"/>
                <w:szCs w:val="18"/>
              </w:rPr>
              <w:t xml:space="preserve">No</w:t>
            </w:r>
          </w:p>
        </w:tc>
        <w:tc>
          <w:tcPr>
            <w:tcW w:type="dxa" w:w="800"/>
            <w:shd w:fill="D9D9D9" w:color="auto" w:val="clear"/>
            <w:tcMar>
              <w:top w:type="dxa" w:w="40"/>
              <w:left w:type="dxa" w:w="80"/>
              <w:bottom w:type="dxa" w:w="40"/>
              <w:right w:type="dxa" w:w="80"/>
            </w:tcMar>
            <w:vAlign w:val="center"/>
          </w:tcPr>
          <w:p>
            <w:pPr>
              <w:spacing w:after="20" w:before="20"/>
              <w:jc w:val="center"/>
            </w:pPr>
            <w:r>
              <w:rPr>
                <w:rFonts w:ascii="Calibri" w:cs="Calibri" w:eastAsia="Calibri" w:hAnsi="Calibri"/>
                <w:b/>
                <w:bCs/>
                <w:sz w:val="18"/>
                <w:szCs w:val="18"/>
              </w:rPr>
              <w:t xml:space="preserve">N/A</w:t>
            </w:r>
          </w:p>
        </w:tc>
      </w:tr>
      <w:tr>
        <w:tc>
          <w:tcPr>
            <w:tcW w:type="dxa" w:w="5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1.</w:t>
            </w:r>
          </w:p>
        </w:tc>
        <w:tc>
          <w:tcPr>
            <w:tcW w:type="dxa" w:w="6846"/>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Entity personnel are performing the relevant processing procedures in the way we expect, based on our understanding of the critical path, and no additional critical paths or SCOTs were indicated by our inquiries.</w:t>
            </w:r>
          </w:p>
        </w:tc>
        <w:tc>
          <w:tcPr>
            <w:tcW w:type="dxa" w:w="800"/>
            <w:tcMar>
              <w:top w:type="dxa" w:w="40"/>
              <w:left w:type="dxa" w:w="80"/>
              <w:bottom w:type="dxa" w:w="40"/>
              <w:right w:type="dxa" w:w="80"/>
            </w:tcMar>
            <w:vAlign w:val="center"/>
          </w:tcPr>
          <w:p>
            <w:pPr>
              <w:spacing w:after="20" w:before="20"/>
              <w:jc w:val="center"/>
            </w:pPr>
            <w:r>
              <w:rPr>
                <w:rFonts w:ascii="Calibri" w:cs="Calibri" w:eastAsia="Calibri" w:hAnsi="Calibri"/>
                <w:sz w:val="18"/>
                <w:szCs w:val="18"/>
              </w:rPr>
              <w:t xml:space="preserve">☒</w:t>
            </w:r>
          </w:p>
        </w:tc>
        <w:tc>
          <w:tcPr>
            <w:tcW w:type="dxa" w:w="800"/>
            <w:tcMar>
              <w:top w:type="dxa" w:w="40"/>
              <w:left w:type="dxa" w:w="80"/>
              <w:bottom w:type="dxa" w:w="40"/>
              <w:right w:type="dxa" w:w="80"/>
            </w:tcMar>
            <w:vAlign w:val="center"/>
          </w:tcPr>
          <w:p>
            <w:pPr>
              <w:spacing w:after="20" w:before="20"/>
              <w:jc w:val="center"/>
            </w:pPr>
            <w:r>
              <w:rPr>
                <w:rFonts w:ascii="Calibri" w:cs="Calibri" w:eastAsia="Calibri" w:hAnsi="Calibri"/>
                <w:sz w:val="18"/>
                <w:szCs w:val="18"/>
              </w:rPr>
              <w:t xml:space="preserve">☐</w:t>
            </w:r>
          </w:p>
        </w:tc>
        <w:tc>
          <w:tcPr>
            <w:tcW w:type="dxa" w:w="800"/>
            <w:tcMar>
              <w:top w:type="dxa" w:w="40"/>
              <w:left w:type="dxa" w:w="80"/>
              <w:bottom w:type="dxa" w:w="40"/>
              <w:right w:type="dxa" w:w="80"/>
            </w:tcMar>
            <w:vAlign w:val="center"/>
          </w:tcPr>
          <w:p>
            <w:pPr>
              <w:spacing w:after="20" w:before="20"/>
              <w:jc w:val="center"/>
            </w:pPr>
            <w:r>
              <w:rPr>
                <w:rFonts w:ascii="Calibri" w:cs="Calibri" w:eastAsia="Calibri" w:hAnsi="Calibri"/>
                <w:sz w:val="18"/>
                <w:szCs w:val="18"/>
              </w:rPr>
              <w:t xml:space="preserve">☐</w:t>
            </w:r>
          </w:p>
        </w:tc>
      </w:tr>
      <w:tr>
        <w:tc>
          <w:tcPr>
            <w:tcW w:type="dxa" w:w="5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2.</w:t>
            </w:r>
          </w:p>
        </w:tc>
        <w:tc>
          <w:tcPr>
            <w:tcW w:type="dxa" w:w="6846"/>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We were alert for exceptions to the processing procedures, and our inquiries included follow-up questions about errors found, the types of errors encountered, what happened after they were found and how they were resolved.</w:t>
            </w:r>
          </w:p>
        </w:tc>
        <w:tc>
          <w:tcPr>
            <w:tcW w:type="dxa" w:w="800"/>
            <w:tcMar>
              <w:top w:type="dxa" w:w="40"/>
              <w:left w:type="dxa" w:w="80"/>
              <w:bottom w:type="dxa" w:w="40"/>
              <w:right w:type="dxa" w:w="80"/>
            </w:tcMar>
            <w:vAlign w:val="center"/>
          </w:tcPr>
          <w:p>
            <w:pPr>
              <w:spacing w:after="20" w:before="20"/>
              <w:jc w:val="center"/>
            </w:pPr>
            <w:r>
              <w:rPr>
                <w:rFonts w:ascii="Calibri" w:cs="Calibri" w:eastAsia="Calibri" w:hAnsi="Calibri"/>
                <w:sz w:val="18"/>
                <w:szCs w:val="18"/>
              </w:rPr>
              <w:t xml:space="preserve">☒</w:t>
            </w:r>
          </w:p>
        </w:tc>
        <w:tc>
          <w:tcPr>
            <w:tcW w:type="dxa" w:w="800"/>
            <w:tcMar>
              <w:top w:type="dxa" w:w="40"/>
              <w:left w:type="dxa" w:w="80"/>
              <w:bottom w:type="dxa" w:w="40"/>
              <w:right w:type="dxa" w:w="80"/>
            </w:tcMar>
            <w:vAlign w:val="center"/>
          </w:tcPr>
          <w:p>
            <w:pPr>
              <w:spacing w:after="20" w:before="20"/>
              <w:jc w:val="center"/>
            </w:pPr>
            <w:r>
              <w:rPr>
                <w:rFonts w:ascii="Calibri" w:cs="Calibri" w:eastAsia="Calibri" w:hAnsi="Calibri"/>
                <w:sz w:val="18"/>
                <w:szCs w:val="18"/>
              </w:rPr>
              <w:t xml:space="preserve">☐</w:t>
            </w:r>
          </w:p>
        </w:tc>
        <w:tc>
          <w:tcPr>
            <w:tcW w:type="dxa" w:w="800"/>
            <w:tcMar>
              <w:top w:type="dxa" w:w="40"/>
              <w:left w:type="dxa" w:w="80"/>
              <w:bottom w:type="dxa" w:w="40"/>
              <w:right w:type="dxa" w:w="80"/>
            </w:tcMar>
            <w:vAlign w:val="center"/>
          </w:tcPr>
          <w:p>
            <w:pPr>
              <w:spacing w:after="20" w:before="20"/>
              <w:jc w:val="center"/>
            </w:pPr>
            <w:r>
              <w:rPr>
                <w:rFonts w:ascii="Calibri" w:cs="Calibri" w:eastAsia="Calibri" w:hAnsi="Calibri"/>
                <w:sz w:val="18"/>
                <w:szCs w:val="18"/>
              </w:rPr>
              <w:t xml:space="preserve">☐</w:t>
            </w:r>
          </w:p>
        </w:tc>
      </w:tr>
      <w:tr>
        <w:tc>
          <w:tcPr>
            <w:tcW w:type="dxa" w:w="5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3.</w:t>
            </w:r>
          </w:p>
        </w:tc>
        <w:tc>
          <w:tcPr>
            <w:tcW w:type="dxa" w:w="6846"/>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Management has designed appropriate segregation of duties, and entity personnel performing the processing procedures have no conflicting duties.</w:t>
            </w:r>
          </w:p>
        </w:tc>
        <w:tc>
          <w:tcPr>
            <w:tcW w:type="dxa" w:w="800"/>
            <w:tcMar>
              <w:top w:type="dxa" w:w="40"/>
              <w:left w:type="dxa" w:w="80"/>
              <w:bottom w:type="dxa" w:w="40"/>
              <w:right w:type="dxa" w:w="80"/>
            </w:tcMar>
            <w:vAlign w:val="center"/>
          </w:tcPr>
          <w:p>
            <w:pPr>
              <w:spacing w:after="20" w:before="20"/>
              <w:jc w:val="center"/>
            </w:pPr>
            <w:r>
              <w:rPr>
                <w:rFonts w:ascii="Calibri" w:cs="Calibri" w:eastAsia="Calibri" w:hAnsi="Calibri"/>
                <w:sz w:val="18"/>
                <w:szCs w:val="18"/>
              </w:rPr>
              <w:t xml:space="preserve">☐</w:t>
            </w:r>
          </w:p>
        </w:tc>
        <w:tc>
          <w:tcPr>
            <w:tcW w:type="dxa" w:w="800"/>
            <w:tcMar>
              <w:top w:type="dxa" w:w="40"/>
              <w:left w:type="dxa" w:w="80"/>
              <w:bottom w:type="dxa" w:w="40"/>
              <w:right w:type="dxa" w:w="80"/>
            </w:tcMar>
            <w:vAlign w:val="center"/>
          </w:tcPr>
          <w:p>
            <w:pPr>
              <w:spacing w:after="20" w:before="20"/>
              <w:jc w:val="center"/>
            </w:pPr>
            <w:r>
              <w:rPr>
                <w:rFonts w:ascii="Calibri" w:cs="Calibri" w:eastAsia="Calibri" w:hAnsi="Calibri"/>
                <w:sz w:val="18"/>
                <w:szCs w:val="18"/>
              </w:rPr>
              <w:t xml:space="preserve">☒</w:t>
            </w:r>
          </w:p>
        </w:tc>
        <w:tc>
          <w:tcPr>
            <w:tcW w:type="dxa" w:w="800"/>
            <w:tcMar>
              <w:top w:type="dxa" w:w="40"/>
              <w:left w:type="dxa" w:w="80"/>
              <w:bottom w:type="dxa" w:w="40"/>
              <w:right w:type="dxa" w:w="80"/>
            </w:tcMar>
            <w:vAlign w:val="center"/>
          </w:tcPr>
          <w:p>
            <w:pPr>
              <w:spacing w:after="20" w:before="20"/>
              <w:jc w:val="center"/>
            </w:pPr>
            <w:r>
              <w:rPr>
                <w:rFonts w:ascii="Calibri" w:cs="Calibri" w:eastAsia="Calibri" w:hAnsi="Calibri"/>
                <w:sz w:val="18"/>
                <w:szCs w:val="18"/>
              </w:rPr>
              <w:t xml:space="preserve">☐</w:t>
            </w:r>
          </w:p>
        </w:tc>
      </w:tr>
      <w:tr>
        <w:tc>
          <w:tcPr>
            <w:tcW w:type="dxa" w:w="5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4.</w:t>
            </w:r>
          </w:p>
        </w:tc>
        <w:tc>
          <w:tcPr>
            <w:tcW w:type="dxa" w:w="6846"/>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Management has implemented appropriate procedures for the authorization of transactions.</w:t>
            </w:r>
          </w:p>
        </w:tc>
        <w:tc>
          <w:tcPr>
            <w:tcW w:type="dxa" w:w="800"/>
            <w:tcMar>
              <w:top w:type="dxa" w:w="40"/>
              <w:left w:type="dxa" w:w="80"/>
              <w:bottom w:type="dxa" w:w="40"/>
              <w:right w:type="dxa" w:w="80"/>
            </w:tcMar>
            <w:vAlign w:val="center"/>
          </w:tcPr>
          <w:p>
            <w:pPr>
              <w:spacing w:after="20" w:before="20"/>
              <w:jc w:val="center"/>
            </w:pPr>
            <w:r>
              <w:rPr>
                <w:rFonts w:ascii="Calibri" w:cs="Calibri" w:eastAsia="Calibri" w:hAnsi="Calibri"/>
                <w:sz w:val="18"/>
                <w:szCs w:val="18"/>
              </w:rPr>
              <w:t xml:space="preserve">☒</w:t>
            </w:r>
          </w:p>
        </w:tc>
        <w:tc>
          <w:tcPr>
            <w:tcW w:type="dxa" w:w="800"/>
            <w:tcMar>
              <w:top w:type="dxa" w:w="40"/>
              <w:left w:type="dxa" w:w="80"/>
              <w:bottom w:type="dxa" w:w="40"/>
              <w:right w:type="dxa" w:w="80"/>
            </w:tcMar>
            <w:vAlign w:val="center"/>
          </w:tcPr>
          <w:p>
            <w:pPr>
              <w:spacing w:after="20" w:before="20"/>
              <w:jc w:val="center"/>
            </w:pPr>
            <w:r>
              <w:rPr>
                <w:rFonts w:ascii="Calibri" w:cs="Calibri" w:eastAsia="Calibri" w:hAnsi="Calibri"/>
                <w:sz w:val="18"/>
                <w:szCs w:val="18"/>
              </w:rPr>
              <w:t xml:space="preserve">☐</w:t>
            </w:r>
          </w:p>
        </w:tc>
        <w:tc>
          <w:tcPr>
            <w:tcW w:type="dxa" w:w="800"/>
            <w:tcMar>
              <w:top w:type="dxa" w:w="40"/>
              <w:left w:type="dxa" w:w="80"/>
              <w:bottom w:type="dxa" w:w="40"/>
              <w:right w:type="dxa" w:w="80"/>
            </w:tcMar>
            <w:vAlign w:val="center"/>
          </w:tcPr>
          <w:p>
            <w:pPr>
              <w:spacing w:after="20" w:before="20"/>
              <w:jc w:val="center"/>
            </w:pPr>
            <w:r>
              <w:rPr>
                <w:rFonts w:ascii="Calibri" w:cs="Calibri" w:eastAsia="Calibri" w:hAnsi="Calibri"/>
                <w:sz w:val="18"/>
                <w:szCs w:val="18"/>
              </w:rPr>
              <w:t xml:space="preserve">☐</w:t>
            </w:r>
          </w:p>
        </w:tc>
      </w:tr>
      <w:tr>
        <w:tc>
          <w:tcPr>
            <w:tcW w:type="dxa" w:w="5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5.</w:t>
            </w:r>
          </w:p>
        </w:tc>
        <w:tc>
          <w:tcPr>
            <w:tcW w:type="dxa" w:w="6846"/>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We followed the information through the automated processes, in addition to following the physical flow of documents and forms (observed processing at the terminal; read output reports).</w:t>
            </w:r>
          </w:p>
        </w:tc>
        <w:tc>
          <w:tcPr>
            <w:tcW w:type="dxa" w:w="800"/>
            <w:tcMar>
              <w:top w:type="dxa" w:w="40"/>
              <w:left w:type="dxa" w:w="80"/>
              <w:bottom w:type="dxa" w:w="40"/>
              <w:right w:type="dxa" w:w="80"/>
            </w:tcMar>
            <w:vAlign w:val="center"/>
          </w:tcPr>
          <w:p>
            <w:pPr>
              <w:spacing w:after="20" w:before="20"/>
              <w:jc w:val="center"/>
            </w:pPr>
            <w:r>
              <w:rPr>
                <w:rFonts w:ascii="Calibri" w:cs="Calibri" w:eastAsia="Calibri" w:hAnsi="Calibri"/>
                <w:sz w:val="18"/>
                <w:szCs w:val="18"/>
              </w:rPr>
              <w:t xml:space="preserve">☒</w:t>
            </w:r>
          </w:p>
        </w:tc>
        <w:tc>
          <w:tcPr>
            <w:tcW w:type="dxa" w:w="800"/>
            <w:tcMar>
              <w:top w:type="dxa" w:w="40"/>
              <w:left w:type="dxa" w:w="80"/>
              <w:bottom w:type="dxa" w:w="40"/>
              <w:right w:type="dxa" w:w="80"/>
            </w:tcMar>
            <w:vAlign w:val="center"/>
          </w:tcPr>
          <w:p>
            <w:pPr>
              <w:spacing w:after="20" w:before="20"/>
              <w:jc w:val="center"/>
            </w:pPr>
            <w:r>
              <w:rPr>
                <w:rFonts w:ascii="Calibri" w:cs="Calibri" w:eastAsia="Calibri" w:hAnsi="Calibri"/>
                <w:sz w:val="18"/>
                <w:szCs w:val="18"/>
              </w:rPr>
              <w:t xml:space="preserve">☐</w:t>
            </w:r>
          </w:p>
        </w:tc>
        <w:tc>
          <w:tcPr>
            <w:tcW w:type="dxa" w:w="800"/>
            <w:tcMar>
              <w:top w:type="dxa" w:w="40"/>
              <w:left w:type="dxa" w:w="80"/>
              <w:bottom w:type="dxa" w:w="40"/>
              <w:right w:type="dxa" w:w="80"/>
            </w:tcMar>
            <w:vAlign w:val="center"/>
          </w:tcPr>
          <w:p>
            <w:pPr>
              <w:spacing w:after="20" w:before="20"/>
              <w:jc w:val="center"/>
            </w:pPr>
            <w:r>
              <w:rPr>
                <w:rFonts w:ascii="Calibri" w:cs="Calibri" w:eastAsia="Calibri" w:hAnsi="Calibri"/>
                <w:sz w:val="18"/>
                <w:szCs w:val="18"/>
              </w:rPr>
              <w:t xml:space="preserve">☐</w:t>
            </w:r>
          </w:p>
        </w:tc>
      </w:tr>
      <w:tr>
        <w:tc>
          <w:tcPr>
            <w:tcW w:type="dxa" w:w="5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6.</w:t>
            </w:r>
          </w:p>
        </w:tc>
        <w:tc>
          <w:tcPr>
            <w:tcW w:type="dxa" w:w="6846"/>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Our understanding of the controls relevant to the significant risk (W4, W7) was confirmed, including the assessment of their design and implementation.</w:t>
            </w:r>
          </w:p>
        </w:tc>
        <w:tc>
          <w:tcPr>
            <w:tcW w:type="dxa" w:w="800"/>
            <w:tcMar>
              <w:top w:type="dxa" w:w="40"/>
              <w:left w:type="dxa" w:w="80"/>
              <w:bottom w:type="dxa" w:w="40"/>
              <w:right w:type="dxa" w:w="80"/>
            </w:tcMar>
            <w:vAlign w:val="center"/>
          </w:tcPr>
          <w:p>
            <w:pPr>
              <w:spacing w:after="20" w:before="20"/>
              <w:jc w:val="center"/>
            </w:pPr>
            <w:r>
              <w:rPr>
                <w:rFonts w:ascii="Calibri" w:cs="Calibri" w:eastAsia="Calibri" w:hAnsi="Calibri"/>
                <w:sz w:val="18"/>
                <w:szCs w:val="18"/>
              </w:rPr>
              <w:t xml:space="preserve">☒</w:t>
            </w:r>
          </w:p>
        </w:tc>
        <w:tc>
          <w:tcPr>
            <w:tcW w:type="dxa" w:w="800"/>
            <w:tcMar>
              <w:top w:type="dxa" w:w="40"/>
              <w:left w:type="dxa" w:w="80"/>
              <w:bottom w:type="dxa" w:w="40"/>
              <w:right w:type="dxa" w:w="80"/>
            </w:tcMar>
            <w:vAlign w:val="center"/>
          </w:tcPr>
          <w:p>
            <w:pPr>
              <w:spacing w:after="20" w:before="20"/>
              <w:jc w:val="center"/>
            </w:pPr>
            <w:r>
              <w:rPr>
                <w:rFonts w:ascii="Calibri" w:cs="Calibri" w:eastAsia="Calibri" w:hAnsi="Calibri"/>
                <w:sz w:val="18"/>
                <w:szCs w:val="18"/>
              </w:rPr>
              <w:t xml:space="preserve">☐</w:t>
            </w:r>
          </w:p>
        </w:tc>
        <w:tc>
          <w:tcPr>
            <w:tcW w:type="dxa" w:w="800"/>
            <w:tcMar>
              <w:top w:type="dxa" w:w="40"/>
              <w:left w:type="dxa" w:w="80"/>
              <w:bottom w:type="dxa" w:w="40"/>
              <w:right w:type="dxa" w:w="80"/>
            </w:tcMar>
            <w:vAlign w:val="center"/>
          </w:tcPr>
          <w:p>
            <w:pPr>
              <w:spacing w:after="20" w:before="20"/>
              <w:jc w:val="center"/>
            </w:pPr>
            <w:r>
              <w:rPr>
                <w:rFonts w:ascii="Calibri" w:cs="Calibri" w:eastAsia="Calibri" w:hAnsi="Calibri"/>
                <w:sz w:val="18"/>
                <w:szCs w:val="18"/>
              </w:rPr>
              <w:t xml:space="preserve">☐</w:t>
            </w:r>
          </w:p>
        </w:tc>
      </w:tr>
      <w:tr>
        <w:tc>
          <w:tcPr>
            <w:tcW w:type="dxa" w:w="5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7.</w:t>
            </w:r>
          </w:p>
        </w:tc>
        <w:tc>
          <w:tcPr>
            <w:tcW w:type="dxa" w:w="6846"/>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Our understanding of controls over journal entries that post transactions from the sub-ledger to the general ledger was confirmed.</w:t>
            </w:r>
          </w:p>
        </w:tc>
        <w:tc>
          <w:tcPr>
            <w:tcW w:type="dxa" w:w="800"/>
            <w:tcMar>
              <w:top w:type="dxa" w:w="40"/>
              <w:left w:type="dxa" w:w="80"/>
              <w:bottom w:type="dxa" w:w="40"/>
              <w:right w:type="dxa" w:w="80"/>
            </w:tcMar>
            <w:vAlign w:val="center"/>
          </w:tcPr>
          <w:p>
            <w:pPr>
              <w:spacing w:after="20" w:before="20"/>
              <w:jc w:val="center"/>
            </w:pPr>
            <w:r>
              <w:rPr>
                <w:rFonts w:ascii="Calibri" w:cs="Calibri" w:eastAsia="Calibri" w:hAnsi="Calibri"/>
                <w:sz w:val="18"/>
                <w:szCs w:val="18"/>
              </w:rPr>
              <w:t xml:space="preserve">☒</w:t>
            </w:r>
          </w:p>
        </w:tc>
        <w:tc>
          <w:tcPr>
            <w:tcW w:type="dxa" w:w="800"/>
            <w:tcMar>
              <w:top w:type="dxa" w:w="40"/>
              <w:left w:type="dxa" w:w="80"/>
              <w:bottom w:type="dxa" w:w="40"/>
              <w:right w:type="dxa" w:w="80"/>
            </w:tcMar>
            <w:vAlign w:val="center"/>
          </w:tcPr>
          <w:p>
            <w:pPr>
              <w:spacing w:after="20" w:before="20"/>
              <w:jc w:val="center"/>
            </w:pPr>
            <w:r>
              <w:rPr>
                <w:rFonts w:ascii="Calibri" w:cs="Calibri" w:eastAsia="Calibri" w:hAnsi="Calibri"/>
                <w:sz w:val="18"/>
                <w:szCs w:val="18"/>
              </w:rPr>
              <w:t xml:space="preserve">☐</w:t>
            </w:r>
          </w:p>
        </w:tc>
        <w:tc>
          <w:tcPr>
            <w:tcW w:type="dxa" w:w="800"/>
            <w:tcMar>
              <w:top w:type="dxa" w:w="40"/>
              <w:left w:type="dxa" w:w="80"/>
              <w:bottom w:type="dxa" w:w="40"/>
              <w:right w:type="dxa" w:w="80"/>
            </w:tcMar>
            <w:vAlign w:val="center"/>
          </w:tcPr>
          <w:p>
            <w:pPr>
              <w:spacing w:after="20" w:before="20"/>
              <w:jc w:val="center"/>
            </w:pPr>
            <w:r>
              <w:rPr>
                <w:rFonts w:ascii="Calibri" w:cs="Calibri" w:eastAsia="Calibri" w:hAnsi="Calibri"/>
                <w:sz w:val="18"/>
                <w:szCs w:val="18"/>
              </w:rPr>
              <w:t xml:space="preserve">☐</w:t>
            </w:r>
          </w:p>
        </w:tc>
      </w:tr>
      <w:tr>
        <w:tc>
          <w:tcPr>
            <w:tcW w:type="dxa" w:w="5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8.</w:t>
            </w:r>
          </w:p>
        </w:tc>
        <w:tc>
          <w:tcPr>
            <w:tcW w:type="dxa" w:w="6846"/>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Nothing came to our attention during our procedures indicating issues related to authorization or segregation of duties other than those documented in this form.</w:t>
            </w:r>
          </w:p>
        </w:tc>
        <w:tc>
          <w:tcPr>
            <w:tcW w:type="dxa" w:w="800"/>
            <w:tcMar>
              <w:top w:type="dxa" w:w="40"/>
              <w:left w:type="dxa" w:w="80"/>
              <w:bottom w:type="dxa" w:w="40"/>
              <w:right w:type="dxa" w:w="80"/>
            </w:tcMar>
            <w:vAlign w:val="center"/>
          </w:tcPr>
          <w:p>
            <w:pPr>
              <w:spacing w:after="20" w:before="20"/>
              <w:jc w:val="center"/>
            </w:pPr>
            <w:r>
              <w:rPr>
                <w:rFonts w:ascii="Calibri" w:cs="Calibri" w:eastAsia="Calibri" w:hAnsi="Calibri"/>
                <w:sz w:val="18"/>
                <w:szCs w:val="18"/>
              </w:rPr>
              <w:t xml:space="preserve">☒</w:t>
            </w:r>
          </w:p>
        </w:tc>
        <w:tc>
          <w:tcPr>
            <w:tcW w:type="dxa" w:w="800"/>
            <w:tcMar>
              <w:top w:type="dxa" w:w="40"/>
              <w:left w:type="dxa" w:w="80"/>
              <w:bottom w:type="dxa" w:w="40"/>
              <w:right w:type="dxa" w:w="80"/>
            </w:tcMar>
            <w:vAlign w:val="center"/>
          </w:tcPr>
          <w:p>
            <w:pPr>
              <w:spacing w:after="20" w:before="20"/>
              <w:jc w:val="center"/>
            </w:pPr>
            <w:r>
              <w:rPr>
                <w:rFonts w:ascii="Calibri" w:cs="Calibri" w:eastAsia="Calibri" w:hAnsi="Calibri"/>
                <w:sz w:val="18"/>
                <w:szCs w:val="18"/>
              </w:rPr>
              <w:t xml:space="preserve">☐</w:t>
            </w:r>
          </w:p>
        </w:tc>
        <w:tc>
          <w:tcPr>
            <w:tcW w:type="dxa" w:w="800"/>
            <w:tcMar>
              <w:top w:type="dxa" w:w="40"/>
              <w:left w:type="dxa" w:w="80"/>
              <w:bottom w:type="dxa" w:w="40"/>
              <w:right w:type="dxa" w:w="80"/>
            </w:tcMar>
            <w:vAlign w:val="center"/>
          </w:tcPr>
          <w:p>
            <w:pPr>
              <w:spacing w:after="20" w:before="20"/>
              <w:jc w:val="center"/>
            </w:pPr>
            <w:r>
              <w:rPr>
                <w:rFonts w:ascii="Calibri" w:cs="Calibri" w:eastAsia="Calibri" w:hAnsi="Calibri"/>
                <w:sz w:val="18"/>
                <w:szCs w:val="18"/>
              </w:rPr>
              <w:t xml:space="preserve">☐</w:t>
            </w:r>
          </w:p>
        </w:tc>
      </w:tr>
      <w:tr>
        <w:tc>
          <w:tcPr>
            <w:tcW w:type="dxa" w:w="5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9.</w:t>
            </w:r>
          </w:p>
        </w:tc>
        <w:tc>
          <w:tcPr>
            <w:tcW w:type="dxa" w:w="6846"/>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Nothing came to our attention during our procedures indicating the potential for management override of controls or other risks of material misstatement due to fraud in this SCOT.</w:t>
            </w:r>
          </w:p>
        </w:tc>
        <w:tc>
          <w:tcPr>
            <w:tcW w:type="dxa" w:w="800"/>
            <w:tcMar>
              <w:top w:type="dxa" w:w="40"/>
              <w:left w:type="dxa" w:w="80"/>
              <w:bottom w:type="dxa" w:w="40"/>
              <w:right w:type="dxa" w:w="80"/>
            </w:tcMar>
            <w:vAlign w:val="center"/>
          </w:tcPr>
          <w:p>
            <w:pPr>
              <w:spacing w:after="20" w:before="20"/>
              <w:jc w:val="center"/>
            </w:pPr>
            <w:r>
              <w:rPr>
                <w:rFonts w:ascii="Calibri" w:cs="Calibri" w:eastAsia="Calibri" w:hAnsi="Calibri"/>
                <w:sz w:val="18"/>
                <w:szCs w:val="18"/>
              </w:rPr>
              <w:t xml:space="preserve">☒</w:t>
            </w:r>
          </w:p>
        </w:tc>
        <w:tc>
          <w:tcPr>
            <w:tcW w:type="dxa" w:w="800"/>
            <w:tcMar>
              <w:top w:type="dxa" w:w="40"/>
              <w:left w:type="dxa" w:w="80"/>
              <w:bottom w:type="dxa" w:w="40"/>
              <w:right w:type="dxa" w:w="80"/>
            </w:tcMar>
            <w:vAlign w:val="center"/>
          </w:tcPr>
          <w:p>
            <w:pPr>
              <w:spacing w:after="20" w:before="20"/>
              <w:jc w:val="center"/>
            </w:pPr>
            <w:r>
              <w:rPr>
                <w:rFonts w:ascii="Calibri" w:cs="Calibri" w:eastAsia="Calibri" w:hAnsi="Calibri"/>
                <w:sz w:val="18"/>
                <w:szCs w:val="18"/>
              </w:rPr>
              <w:t xml:space="preserve">☐</w:t>
            </w:r>
          </w:p>
        </w:tc>
        <w:tc>
          <w:tcPr>
            <w:tcW w:type="dxa" w:w="800"/>
            <w:tcMar>
              <w:top w:type="dxa" w:w="40"/>
              <w:left w:type="dxa" w:w="80"/>
              <w:bottom w:type="dxa" w:w="40"/>
              <w:right w:type="dxa" w:w="80"/>
            </w:tcMar>
            <w:vAlign w:val="center"/>
          </w:tcPr>
          <w:p>
            <w:pPr>
              <w:spacing w:after="20" w:before="20"/>
              <w:jc w:val="center"/>
            </w:pPr>
            <w:r>
              <w:rPr>
                <w:rFonts w:ascii="Calibri" w:cs="Calibri" w:eastAsia="Calibri" w:hAnsi="Calibri"/>
                <w:sz w:val="18"/>
                <w:szCs w:val="18"/>
              </w:rPr>
              <w:t xml:space="preserve">☐</w:t>
            </w:r>
          </w:p>
        </w:tc>
      </w:tr>
      <w:tr>
        <w:tc>
          <w:tcPr>
            <w:tcW w:type="dxa" w:w="5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10.</w:t>
            </w:r>
          </w:p>
        </w:tc>
        <w:tc>
          <w:tcPr>
            <w:tcW w:type="dxa" w:w="6846"/>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Additional transactions were selected where one transaction was not sufficient to confirm our understanding.</w:t>
            </w:r>
          </w:p>
        </w:tc>
        <w:tc>
          <w:tcPr>
            <w:tcW w:type="dxa" w:w="800"/>
            <w:tcMar>
              <w:top w:type="dxa" w:w="40"/>
              <w:left w:type="dxa" w:w="80"/>
              <w:bottom w:type="dxa" w:w="40"/>
              <w:right w:type="dxa" w:w="80"/>
            </w:tcMar>
            <w:vAlign w:val="center"/>
          </w:tcPr>
          <w:p>
            <w:pPr>
              <w:spacing w:after="20" w:before="20"/>
              <w:jc w:val="center"/>
            </w:pPr>
            <w:r>
              <w:rPr>
                <w:rFonts w:ascii="Calibri" w:cs="Calibri" w:eastAsia="Calibri" w:hAnsi="Calibri"/>
                <w:sz w:val="18"/>
                <w:szCs w:val="18"/>
              </w:rPr>
              <w:t xml:space="preserve">☐</w:t>
            </w:r>
          </w:p>
        </w:tc>
        <w:tc>
          <w:tcPr>
            <w:tcW w:type="dxa" w:w="800"/>
            <w:tcMar>
              <w:top w:type="dxa" w:w="40"/>
              <w:left w:type="dxa" w:w="80"/>
              <w:bottom w:type="dxa" w:w="40"/>
              <w:right w:type="dxa" w:w="80"/>
            </w:tcMar>
            <w:vAlign w:val="center"/>
          </w:tcPr>
          <w:p>
            <w:pPr>
              <w:spacing w:after="20" w:before="20"/>
              <w:jc w:val="center"/>
            </w:pPr>
            <w:r>
              <w:rPr>
                <w:rFonts w:ascii="Calibri" w:cs="Calibri" w:eastAsia="Calibri" w:hAnsi="Calibri"/>
                <w:sz w:val="18"/>
                <w:szCs w:val="18"/>
              </w:rPr>
              <w:t xml:space="preserve">☐</w:t>
            </w:r>
          </w:p>
        </w:tc>
        <w:tc>
          <w:tcPr>
            <w:tcW w:type="dxa" w:w="800"/>
            <w:tcMar>
              <w:top w:type="dxa" w:w="40"/>
              <w:left w:type="dxa" w:w="80"/>
              <w:bottom w:type="dxa" w:w="40"/>
              <w:right w:type="dxa" w:w="80"/>
            </w:tcMar>
            <w:vAlign w:val="center"/>
          </w:tcPr>
          <w:p>
            <w:pPr>
              <w:spacing w:after="20" w:before="20"/>
              <w:jc w:val="center"/>
            </w:pPr>
            <w:r>
              <w:rPr>
                <w:rFonts w:ascii="Calibri" w:cs="Calibri" w:eastAsia="Calibri" w:hAnsi="Calibri"/>
                <w:sz w:val="18"/>
                <w:szCs w:val="18"/>
              </w:rPr>
              <w:t xml:space="preserve">☒</w:t>
            </w:r>
          </w:p>
        </w:tc>
      </w:tr>
    </w:tbl>
    <w:p>
      <w:pPr>
        <w:spacing w:after="40" w:before="80"/>
      </w:pPr>
      <w:r>
        <w:rPr>
          <w:rFonts w:ascii="Calibri" w:cs="Calibri" w:eastAsia="Calibri" w:hAnsi="Calibri"/>
          <w:b/>
          <w:bCs/>
          <w:sz w:val="18"/>
          <w:szCs w:val="18"/>
        </w:rPr>
        <w:t xml:space="preserve">Explanation of “No” answers (e.g., description of the procedures performed and/or other comments).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Mar>
              <w:top w:type="dxa" w:w="40"/>
              <w:left w:type="dxa" w:w="80"/>
              <w:bottom w:type="dxa" w:w="40"/>
              <w:right w:type="dxa" w:w="80"/>
            </w:tcMar>
            <w:vAlign w:val="center"/>
          </w:tcPr>
          <w:p>
            <w:pPr>
              <w:spacing w:after="40" w:before="40"/>
            </w:pPr>
            <w:r>
              <w:rPr>
                <w:rFonts w:ascii="Calibri" w:cs="Calibri" w:eastAsia="Calibri" w:hAnsi="Calibri"/>
                <w:i w:val="false"/>
                <w:iCs w:val="false"/>
                <w:sz w:val="18"/>
                <w:szCs w:val="18"/>
              </w:rPr>
              <w:t xml:space="preserve">Item 3 — Conflicting duties identified in Part B2 item 2 (accounts assistant can post cash receipts and raise credit notes up to XAF 500,000). WCGW W6 identified; compensating monthly credit note review by the finance manager assessed as designed and implemented. Considered in the combined risk assessment for occurrence of revenue and existence of receivables.</w:t>
            </w:r>
          </w:p>
        </w:tc>
      </w:tr>
    </w:tbl>
    <w:p>
      <w:pPr>
        <w:keepNext/>
        <w:spacing w:after="80" w:before="200"/>
      </w:pPr>
      <w:r>
        <w:rPr>
          <w:rFonts w:ascii="Calibri" w:cs="Calibri" w:eastAsia="Calibri" w:hAnsi="Calibri"/>
          <w:b/>
          <w:bCs/>
          <w:color w:val="1F3864"/>
          <w:sz w:val="22"/>
          <w:szCs w:val="22"/>
        </w:rPr>
        <w:t xml:space="preserve">F5. Concluding on our procedures to confirm our understanding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shd w:fill="EDF0F5" w:color="auto" w:val="clear"/>
            <w:tcMar>
              <w:top w:type="dxa" w:w="40"/>
              <w:left w:type="dxa" w:w="80"/>
              <w:bottom w:type="dxa" w:w="40"/>
              <w:right w:type="dxa" w:w="80"/>
            </w:tcMar>
            <w:vAlign w:val="center"/>
          </w:tcPr>
          <w:p>
            <w:pPr>
              <w:spacing w:after="30" w:before="30"/>
            </w:pPr>
            <w:r>
              <w:rPr>
                <w:rFonts w:ascii="Calibri" w:cs="Calibri" w:eastAsia="Calibri" w:hAnsi="Calibri"/>
                <w:b/>
                <w:bCs/>
                <w:sz w:val="18"/>
                <w:szCs w:val="18"/>
              </w:rPr>
              <w:t xml:space="preserve">Methodology requirement — SCOTS 7.1: </w:t>
            </w:r>
            <w:r>
              <w:rPr>
                <w:rFonts w:ascii="Calibri" w:cs="Calibri" w:eastAsia="Calibri" w:hAnsi="Calibri"/>
                <w:i/>
                <w:iCs/>
                <w:sz w:val="18"/>
                <w:szCs w:val="18"/>
              </w:rPr>
              <w:t xml:space="preserve">We revise our process documentation of the SCOTs, as necessary, when our procedures highlight exceptions to our understanding, including, when applicable, the identified relevant controls.</w:t>
            </w:r>
          </w:p>
        </w:tc>
      </w:tr>
    </w:tbl>
    <w:p>
      <w:pPr>
        <w:spacing w:after="40" w:before="40"/>
      </w:pPr>
      <w:r>
        <w:rPr>
          <w:rFonts w:ascii="Calibri" w:cs="Calibri" w:eastAsia="Calibri" w:hAnsi="Calibri"/>
          <w:sz w:val="18"/>
          <w:szCs w:val="18"/>
        </w:rPr>
        <w:t xml:space="preserve">No exceptions to our documented understanding were identified. One price override (invoice INV-2025-04102, not the walkthrough transaction) was observed during our attendance; it was approved by the sales manager in accordance with the entity’s policy and required no revision to our documentation. Our documentation of the critical path, the WCGWs and the relevant controls accurately describes the operation of the SCOT.</w:t>
      </w:r>
    </w:p>
    <w:p>
      <w:pPr>
        <w:keepNext/>
        <w:spacing w:after="100" w:before="280"/>
      </w:pPr>
      <w:r>
        <w:rPr>
          <w:rFonts w:ascii="Calibri" w:cs="Calibri" w:eastAsia="Calibri" w:hAnsi="Calibri"/>
          <w:b/>
          <w:bCs/>
          <w:color w:val="1F3864"/>
          <w:sz w:val="26"/>
          <w:szCs w:val="26"/>
        </w:rPr>
        <w:t xml:space="preserve">Preparation and review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shd w:fill="D9D9D9" w:color="auto"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Prepared by</w:t>
            </w:r>
          </w:p>
        </w:tc>
        <w:tc>
          <w:tcPr>
            <w:tcW w:type="dxa" w:w="4873"/>
            <w:shd w:fill="D9D9D9" w:color="auto"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Reviewed by</w:t>
            </w:r>
          </w:p>
        </w:tc>
      </w:tr>
      <w:tr>
        <w:tc>
          <w:tcPr>
            <w:tcW w:type="dxa" w:w="4873"/>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E. Kamdem — Audit Senior — 18 November 2025</w:t>
            </w:r>
          </w:p>
        </w:tc>
        <w:tc>
          <w:tcPr>
            <w:tcW w:type="dxa" w:w="4873"/>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R. Tchoua — Engagement Manager — 21 November 2025</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6"/>
        <w:szCs w:val="16"/>
      </w:rPr>
      <w:t xml:space="preserve">ABC Manufacturing Ltd — 31 December 2025  |  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595959"/>
        <w:sz w:val="16"/>
        <w:szCs w:val="16"/>
      </w:rPr>
      <w:t xml:space="preserve">Form 280EA — Significant classes of transactions: understanding and walkthrough (illustrative example)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2026-08-07T22:46:04.072Z</dcterms:created>
  <dcterms:modified xsi:type="dcterms:W3CDTF">2026-08-07T22:46:04.076Z</dcterms:modified>
</cp:coreProperties>
</file>

<file path=docProps/custom.xml><?xml version="1.0" encoding="utf-8"?>
<Properties xmlns="http://schemas.openxmlformats.org/officeDocument/2006/custom-properties" xmlns:vt="http://schemas.openxmlformats.org/officeDocument/2006/docPropsVTypes"/>
</file>