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26"/>
          <w:szCs w:val="26"/>
        </w:rPr>
      </w:pPr>
      <w:r>
        <w:rPr>
          <w:rFonts w:cs="Times New Roman" w:ascii="Times New Roman" w:hAnsi="Times New Roman"/>
          <w:b/>
          <w:bCs/>
          <w:sz w:val="26"/>
          <w:szCs w:val="26"/>
        </w:rPr>
        <w:t xml:space="preserve">«Санкт-Петербургский государственный электротехнический университет </w:t>
      </w:r>
    </w:p>
    <w:p>
      <w:pPr>
        <w:pStyle w:val="Normal"/>
        <w:jc w:val="center"/>
        <w:rPr>
          <w:rFonts w:ascii="Times New Roman" w:hAnsi="Times New Roman" w:cs="Times New Roman"/>
          <w:b/>
          <w:bCs/>
          <w:sz w:val="26"/>
          <w:szCs w:val="26"/>
        </w:rPr>
      </w:pPr>
      <w:r>
        <w:rPr>
          <w:rFonts w:cs="Times New Roman" w:ascii="Times New Roman" w:hAnsi="Times New Roman"/>
          <w:b/>
          <w:bCs/>
          <w:sz w:val="26"/>
          <w:szCs w:val="26"/>
        </w:rPr>
        <w:t>«ЛЭТИ» им. В.И.Ульянова (Ленина)»</w:t>
      </w:r>
    </w:p>
    <w:p>
      <w:pPr>
        <w:pStyle w:val="Normal"/>
        <w:jc w:val="center"/>
        <w:rPr>
          <w:rFonts w:ascii="Times New Roman" w:hAnsi="Times New Roman" w:cs="Times New Roman"/>
          <w:b/>
          <w:bCs/>
          <w:sz w:val="26"/>
          <w:szCs w:val="26"/>
        </w:rPr>
      </w:pPr>
      <w:r>
        <w:rPr>
          <w:rFonts w:cs="Times New Roman" w:ascii="Times New Roman" w:hAnsi="Times New Roman"/>
          <w:b/>
          <w:bCs/>
          <w:sz w:val="26"/>
          <w:szCs w:val="26"/>
        </w:rPr>
        <w:t>(СПбГЭТУ «ЛЭТИ»)</w:t>
      </w:r>
    </w:p>
    <w:p>
      <w:pPr>
        <w:pStyle w:val="Normal"/>
        <w:spacing w:lineRule="auto" w:line="336"/>
        <w:jc w:val="center"/>
        <w:rPr>
          <w:rFonts w:ascii="Times New Roman" w:hAnsi="Times New Roman" w:cs="Times New Roman"/>
          <w:b/>
          <w:bCs/>
          <w:caps/>
          <w:sz w:val="28"/>
          <w:szCs w:val="28"/>
        </w:rPr>
      </w:pPr>
      <w:r>
        <w:rPr>
          <w:rFonts w:cs="Times New Roman" w:ascii="Times New Roman" w:hAnsi="Times New Roman"/>
          <w:b/>
          <w:bCs/>
          <w:caps/>
          <w:sz w:val="28"/>
          <w:szCs w:val="28"/>
        </w:rPr>
      </w:r>
    </w:p>
    <w:tbl>
      <w:tblPr>
        <w:tblW w:w="5000" w:type="pct"/>
        <w:jc w:val="start"/>
        <w:tblInd w:w="-108" w:type="dxa"/>
        <w:tblLayout w:type="fixed"/>
        <w:tblCellMar>
          <w:top w:w="0" w:type="dxa"/>
          <w:start w:w="108" w:type="dxa"/>
          <w:bottom w:w="0" w:type="dxa"/>
          <w:end w:w="108" w:type="dxa"/>
        </w:tblCellMar>
        <w:tblLook w:val="0000" w:noHBand="0" w:noVBand="0" w:firstColumn="0" w:lastRow="0" w:lastColumn="0" w:firstRow="0"/>
      </w:tblPr>
      <w:tblGrid>
        <w:gridCol w:w="4066"/>
        <w:gridCol w:w="2631"/>
        <w:gridCol w:w="2658"/>
      </w:tblGrid>
      <w:tr>
        <w:trPr/>
        <w:tc>
          <w:tcPr>
            <w:tcW w:w="4066" w:type="dxa"/>
            <w:tcBorders/>
          </w:tcPr>
          <w:p>
            <w:pPr>
              <w:pStyle w:val="Normal"/>
              <w:spacing w:lineRule="auto" w:line="336"/>
              <w:rPr>
                <w:rFonts w:ascii="Times New Roman" w:hAnsi="Times New Roman" w:cs="Times New Roman"/>
                <w:b/>
                <w:sz w:val="28"/>
                <w:szCs w:val="28"/>
              </w:rPr>
            </w:pPr>
            <w:r>
              <w:rPr>
                <w:rFonts w:cs="Times New Roman" w:ascii="Times New Roman" w:hAnsi="Times New Roman"/>
                <w:b/>
                <w:sz w:val="28"/>
                <w:szCs w:val="28"/>
              </w:rPr>
              <w:t>Направление</w:t>
            </w:r>
          </w:p>
        </w:tc>
        <w:tc>
          <w:tcPr>
            <w:tcW w:w="5289" w:type="dxa"/>
            <w:gridSpan w:val="2"/>
            <w:tcBorders/>
          </w:tcPr>
          <w:p>
            <w:pPr>
              <w:pStyle w:val="Normal"/>
              <w:spacing w:lineRule="auto" w:line="336"/>
              <w:rPr>
                <w:rFonts w:ascii="Times New Roman" w:hAnsi="Times New Roman" w:cs="Times New Roman"/>
                <w:color w:themeColor="text1" w:val="000000"/>
              </w:rPr>
            </w:pPr>
            <w:r>
              <w:rPr>
                <w:rFonts w:cs="Times New Roman" w:ascii="Times New Roman" w:hAnsi="Times New Roman"/>
                <w:color w:themeColor="text1" w:val="000000"/>
                <w:sz w:val="28"/>
                <w:szCs w:val="28"/>
              </w:rPr>
              <w:t>01.03.02 Прикладная математика и информатика</w:t>
            </w:r>
          </w:p>
        </w:tc>
      </w:tr>
      <w:tr>
        <w:trPr/>
        <w:tc>
          <w:tcPr>
            <w:tcW w:w="4066" w:type="dxa"/>
            <w:tcBorders/>
          </w:tcPr>
          <w:p>
            <w:pPr>
              <w:pStyle w:val="Normal"/>
              <w:spacing w:lineRule="auto" w:line="336"/>
              <w:rPr>
                <w:rFonts w:ascii="Times New Roman" w:hAnsi="Times New Roman" w:cs="Times New Roman"/>
                <w:b/>
                <w:sz w:val="28"/>
                <w:szCs w:val="28"/>
              </w:rPr>
            </w:pPr>
            <w:r>
              <w:rPr>
                <w:rFonts w:cs="Times New Roman" w:ascii="Times New Roman" w:hAnsi="Times New Roman"/>
                <w:b/>
                <w:sz w:val="28"/>
                <w:szCs w:val="28"/>
              </w:rPr>
              <w:t>Профиль</w:t>
            </w:r>
          </w:p>
        </w:tc>
        <w:tc>
          <w:tcPr>
            <w:tcW w:w="5289" w:type="dxa"/>
            <w:gridSpan w:val="2"/>
            <w:tcBorders/>
          </w:tcPr>
          <w:p>
            <w:pPr>
              <w:pStyle w:val="Normal"/>
              <w:spacing w:lineRule="auto" w:line="336"/>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Математическое обеспечение программно-информационных систем</w:t>
            </w:r>
          </w:p>
        </w:tc>
      </w:tr>
      <w:tr>
        <w:trPr/>
        <w:tc>
          <w:tcPr>
            <w:tcW w:w="4066" w:type="dxa"/>
            <w:tcBorders/>
            <w:vAlign w:val="center"/>
          </w:tcPr>
          <w:p>
            <w:pPr>
              <w:pStyle w:val="Normal"/>
              <w:spacing w:lineRule="auto" w:line="336"/>
              <w:rPr>
                <w:rFonts w:ascii="Times New Roman" w:hAnsi="Times New Roman" w:cs="Times New Roman"/>
                <w:b/>
                <w:sz w:val="28"/>
                <w:szCs w:val="28"/>
              </w:rPr>
            </w:pPr>
            <w:r>
              <w:rPr>
                <w:rFonts w:cs="Times New Roman" w:ascii="Times New Roman" w:hAnsi="Times New Roman"/>
                <w:b/>
                <w:sz w:val="28"/>
                <w:szCs w:val="28"/>
              </w:rPr>
              <w:t>Факультет</w:t>
            </w:r>
          </w:p>
        </w:tc>
        <w:tc>
          <w:tcPr>
            <w:tcW w:w="5289" w:type="dxa"/>
            <w:gridSpan w:val="2"/>
            <w:tcBorders/>
            <w:vAlign w:val="center"/>
          </w:tcPr>
          <w:p>
            <w:pPr>
              <w:pStyle w:val="Normal"/>
              <w:spacing w:lineRule="auto" w:line="336"/>
              <w:rPr>
                <w:rFonts w:ascii="Times New Roman" w:hAnsi="Times New Roman" w:cs="Times New Roman"/>
              </w:rPr>
            </w:pPr>
            <w:r>
              <w:rPr>
                <w:rFonts w:cs="Times New Roman" w:ascii="Times New Roman" w:hAnsi="Times New Roman"/>
                <w:sz w:val="28"/>
                <w:szCs w:val="28"/>
              </w:rPr>
              <w:t>КТИ</w:t>
            </w:r>
          </w:p>
        </w:tc>
      </w:tr>
      <w:tr>
        <w:trPr/>
        <w:tc>
          <w:tcPr>
            <w:tcW w:w="4066" w:type="dxa"/>
            <w:tcBorders/>
            <w:vAlign w:val="center"/>
          </w:tcPr>
          <w:p>
            <w:pPr>
              <w:pStyle w:val="Normal"/>
              <w:spacing w:lineRule="auto" w:line="336"/>
              <w:rPr>
                <w:rFonts w:ascii="Times New Roman" w:hAnsi="Times New Roman" w:cs="Times New Roman"/>
                <w:b/>
                <w:sz w:val="28"/>
                <w:szCs w:val="28"/>
              </w:rPr>
            </w:pPr>
            <w:r>
              <w:rPr>
                <w:rFonts w:cs="Times New Roman" w:ascii="Times New Roman" w:hAnsi="Times New Roman"/>
                <w:b/>
                <w:sz w:val="28"/>
                <w:szCs w:val="28"/>
              </w:rPr>
              <w:t>Кафедра</w:t>
            </w:r>
          </w:p>
        </w:tc>
        <w:tc>
          <w:tcPr>
            <w:tcW w:w="5289" w:type="dxa"/>
            <w:gridSpan w:val="2"/>
            <w:tcBorders/>
            <w:vAlign w:val="center"/>
          </w:tcPr>
          <w:p>
            <w:pPr>
              <w:pStyle w:val="Normal"/>
              <w:spacing w:lineRule="auto" w:line="336"/>
              <w:rPr>
                <w:rFonts w:ascii="Times New Roman" w:hAnsi="Times New Roman" w:cs="Times New Roman"/>
              </w:rPr>
            </w:pPr>
            <w:r>
              <w:rPr>
                <w:rFonts w:cs="Times New Roman" w:ascii="Times New Roman" w:hAnsi="Times New Roman"/>
                <w:sz w:val="28"/>
                <w:szCs w:val="28"/>
              </w:rPr>
              <w:t>МО ЭВМ</w:t>
            </w:r>
          </w:p>
        </w:tc>
      </w:tr>
      <w:tr>
        <w:trPr>
          <w:trHeight w:val="737" w:hRule="atLeast"/>
        </w:trPr>
        <w:tc>
          <w:tcPr>
            <w:tcW w:w="4066" w:type="dxa"/>
            <w:tcBorders/>
            <w:vAlign w:val="bottom"/>
          </w:tcPr>
          <w:p>
            <w:pPr>
              <w:pStyle w:val="Normal"/>
              <w:spacing w:lineRule="auto" w:line="336"/>
              <w:rPr>
                <w:rFonts w:ascii="Times New Roman" w:hAnsi="Times New Roman" w:cs="Times New Roman"/>
                <w:i/>
                <w:sz w:val="28"/>
                <w:szCs w:val="28"/>
              </w:rPr>
            </w:pPr>
            <w:r>
              <w:rPr>
                <w:rFonts w:cs="Times New Roman" w:ascii="Times New Roman" w:hAnsi="Times New Roman"/>
                <w:i/>
                <w:sz w:val="28"/>
                <w:szCs w:val="28"/>
              </w:rPr>
              <w:t>К защите допустить</w:t>
            </w:r>
          </w:p>
        </w:tc>
        <w:tc>
          <w:tcPr>
            <w:tcW w:w="5289" w:type="dxa"/>
            <w:gridSpan w:val="2"/>
            <w:tcBorders/>
            <w:vAlign w:val="bottom"/>
          </w:tcPr>
          <w:p>
            <w:pPr>
              <w:pStyle w:val="Normal"/>
              <w:snapToGrid w:val="false"/>
              <w:spacing w:lineRule="auto" w:line="336"/>
              <w:rPr>
                <w:rFonts w:ascii="Times New Roman" w:hAnsi="Times New Roman" w:cs="Times New Roman"/>
                <w:i/>
                <w:sz w:val="28"/>
                <w:szCs w:val="28"/>
              </w:rPr>
            </w:pPr>
            <w:r>
              <w:rPr>
                <w:rFonts w:cs="Times New Roman" w:ascii="Times New Roman" w:hAnsi="Times New Roman"/>
                <w:i/>
                <w:sz w:val="28"/>
                <w:szCs w:val="28"/>
              </w:rPr>
            </w:r>
          </w:p>
        </w:tc>
      </w:tr>
      <w:tr>
        <w:trPr/>
        <w:tc>
          <w:tcPr>
            <w:tcW w:w="4066" w:type="dxa"/>
            <w:tcBorders/>
            <w:vAlign w:val="center"/>
          </w:tcPr>
          <w:p>
            <w:pPr>
              <w:pStyle w:val="Normal"/>
              <w:spacing w:lineRule="auto" w:line="336"/>
              <w:rPr>
                <w:rFonts w:ascii="Times New Roman" w:hAnsi="Times New Roman" w:cs="Times New Roman"/>
                <w:i/>
                <w:sz w:val="28"/>
                <w:szCs w:val="28"/>
              </w:rPr>
            </w:pPr>
            <w:r>
              <w:rPr>
                <w:rFonts w:cs="Times New Roman" w:ascii="Times New Roman" w:hAnsi="Times New Roman"/>
                <w:sz w:val="28"/>
                <w:szCs w:val="28"/>
              </w:rPr>
              <w:t>Зав. кафедрой</w:t>
            </w:r>
          </w:p>
        </w:tc>
        <w:tc>
          <w:tcPr>
            <w:tcW w:w="2631" w:type="dxa"/>
            <w:tcBorders/>
            <w:vAlign w:val="center"/>
          </w:tcPr>
          <w:p>
            <w:pPr>
              <w:pStyle w:val="Normal"/>
              <w:snapToGrid w:val="false"/>
              <w:spacing w:lineRule="auto" w:line="336"/>
              <w:rPr>
                <w:rFonts w:ascii="Times New Roman" w:hAnsi="Times New Roman" w:cs="Times New Roman"/>
                <w:i/>
                <w:sz w:val="28"/>
                <w:szCs w:val="28"/>
              </w:rPr>
            </w:pPr>
            <w:r>
              <w:rPr>
                <w:rFonts w:cs="Times New Roman" w:ascii="Times New Roman" w:hAnsi="Times New Roman"/>
                <w:i/>
                <w:sz w:val="28"/>
                <w:szCs w:val="28"/>
              </w:rPr>
            </w:r>
          </w:p>
        </w:tc>
        <w:tc>
          <w:tcPr>
            <w:tcW w:w="2658" w:type="dxa"/>
            <w:tcBorders/>
            <w:vAlign w:val="center"/>
          </w:tcPr>
          <w:p>
            <w:pPr>
              <w:pStyle w:val="Normal"/>
              <w:spacing w:lineRule="auto" w:line="336"/>
              <w:rPr>
                <w:rFonts w:ascii="Times New Roman" w:hAnsi="Times New Roman" w:cs="Times New Roman"/>
                <w:sz w:val="28"/>
                <w:szCs w:val="28"/>
              </w:rPr>
            </w:pPr>
            <w:r>
              <w:rPr>
                <w:rFonts w:cs="Times New Roman" w:ascii="Times New Roman" w:hAnsi="Times New Roman"/>
                <w:sz w:val="28"/>
                <w:szCs w:val="28"/>
              </w:rPr>
              <w:t xml:space="preserve">А.А. Лисс </w:t>
            </w:r>
          </w:p>
        </w:tc>
      </w:tr>
    </w:tbl>
    <w:p>
      <w:pPr>
        <w:pStyle w:val="Normal"/>
        <w:spacing w:lineRule="auto" w:line="336"/>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36"/>
        <w:jc w:val="center"/>
        <w:rPr>
          <w:rFonts w:ascii="Times New Roman" w:hAnsi="Times New Roman" w:cs="Times New Roman"/>
        </w:rPr>
      </w:pPr>
      <w:r>
        <w:rPr>
          <w:rStyle w:val="BookTitle"/>
          <w:rFonts w:cs="Times New Roman" w:ascii="Times New Roman" w:hAnsi="Times New Roman"/>
          <w:caps/>
          <w:sz w:val="36"/>
          <w:szCs w:val="28"/>
        </w:rPr>
        <w:t>ВЫПУСКНАЯ КВАЛИФИКАЦИОННАЯ РАБОТА</w:t>
      </w:r>
    </w:p>
    <w:p>
      <w:pPr>
        <w:pStyle w:val="Normal"/>
        <w:spacing w:lineRule="auto" w:line="336"/>
        <w:jc w:val="center"/>
        <w:rPr>
          <w:rStyle w:val="BookTitle"/>
          <w:rFonts w:ascii="Times New Roman" w:hAnsi="Times New Roman" w:cs="Times New Roman"/>
          <w:caps/>
          <w:color w:val="FF0000"/>
          <w:sz w:val="36"/>
          <w:szCs w:val="28"/>
          <w:lang w:val="en-US"/>
        </w:rPr>
      </w:pPr>
      <w:r>
        <w:rPr>
          <w:rStyle w:val="BookTitle"/>
          <w:rFonts w:cs="Times New Roman" w:ascii="Times New Roman" w:hAnsi="Times New Roman"/>
          <w:caps/>
          <w:sz w:val="36"/>
          <w:szCs w:val="28"/>
        </w:rPr>
        <w:t>БАКАЛАВРА</w:t>
      </w:r>
    </w:p>
    <w:p>
      <w:pPr>
        <w:pStyle w:val="Normal"/>
        <w:spacing w:lineRule="auto" w:line="336"/>
        <w:jc w:val="center"/>
        <w:rPr>
          <w:rStyle w:val="BookTitle"/>
          <w:rFonts w:ascii="Times New Roman" w:hAnsi="Times New Roman" w:cs="Times New Roman"/>
          <w:caps/>
          <w:color w:val="FF0000"/>
          <w:szCs w:val="28"/>
        </w:rPr>
      </w:pPr>
      <w:r>
        <w:rPr>
          <w:rFonts w:cs="Times New Roman" w:ascii="Times New Roman" w:hAnsi="Times New Roman"/>
          <w:caps/>
          <w:color w:val="FF0000"/>
          <w:szCs w:val="28"/>
        </w:rPr>
      </w:r>
    </w:p>
    <w:p>
      <w:pPr>
        <w:pStyle w:val="Normal"/>
        <w:jc w:val="center"/>
        <w:rPr>
          <w:rStyle w:val="BookTitle"/>
          <w:rFonts w:ascii="Times New Roman" w:hAnsi="Times New Roman" w:cs="Times New Roman"/>
          <w:caps w:val="false"/>
          <w:smallCaps w:val="false"/>
          <w:color w:themeColor="text1" w:val="000000"/>
          <w:sz w:val="28"/>
          <w:szCs w:val="28"/>
        </w:rPr>
      </w:pPr>
      <w:r>
        <w:rPr>
          <w:rStyle w:val="BookTitle"/>
          <w:rFonts w:cs="Times New Roman" w:ascii="Times New Roman" w:hAnsi="Times New Roman"/>
          <w:caps w:val="false"/>
          <w:smallCaps w:val="false"/>
          <w:sz w:val="28"/>
          <w:szCs w:val="28"/>
        </w:rPr>
        <w:t xml:space="preserve">Тема: </w:t>
      </w:r>
      <w:r>
        <w:rPr>
          <w:rStyle w:val="BookTitle"/>
          <w:rFonts w:cs="Times New Roman" w:ascii="Times New Roman" w:hAnsi="Times New Roman"/>
          <w:caps/>
          <w:color w:themeColor="text1" w:val="000000"/>
          <w:sz w:val="28"/>
          <w:szCs w:val="28"/>
        </w:rPr>
        <w:t>Модуль механизма внимания на основе меры сходства Тверски для повышения параметрической эффективности языковых моделей</w:t>
      </w:r>
    </w:p>
    <w:p>
      <w:pPr>
        <w:pStyle w:val="Normal"/>
        <w:spacing w:lineRule="auto" w:line="336"/>
        <w:jc w:val="center"/>
        <w:rPr>
          <w:rStyle w:val="BookTitle"/>
          <w:rFonts w:ascii="Times New Roman" w:hAnsi="Times New Roman" w:cs="Times New Roman"/>
          <w:caps w:val="false"/>
          <w:smallCaps w:val="false"/>
          <w:sz w:val="28"/>
          <w:szCs w:val="28"/>
        </w:rPr>
      </w:pPr>
      <w:r>
        <w:rPr>
          <w:rFonts w:cs="Times New Roman" w:ascii="Times New Roman" w:hAnsi="Times New Roman"/>
          <w:caps w:val="false"/>
          <w:smallCaps w:val="false"/>
          <w:sz w:val="28"/>
          <w:szCs w:val="28"/>
        </w:rPr>
      </w:r>
    </w:p>
    <w:p>
      <w:pPr>
        <w:pStyle w:val="Normal"/>
        <w:spacing w:lineRule="auto" w:line="336"/>
        <w:jc w:val="center"/>
        <w:rPr>
          <w:rFonts w:ascii="Times New Roman" w:hAnsi="Times New Roman" w:cs="Times New Roman"/>
          <w:sz w:val="28"/>
          <w:szCs w:val="28"/>
        </w:rPr>
      </w:pPr>
      <w:r>
        <w:rPr>
          <w:rFonts w:cs="Times New Roman" w:ascii="Times New Roman" w:hAnsi="Times New Roman"/>
          <w:sz w:val="28"/>
          <w:szCs w:val="28"/>
        </w:rPr>
      </w:r>
    </w:p>
    <w:tbl>
      <w:tblPr>
        <w:tblW w:w="9659"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252"/>
        <w:gridCol w:w="2377"/>
        <w:gridCol w:w="2213"/>
        <w:gridCol w:w="257"/>
        <w:gridCol w:w="2560"/>
      </w:tblGrid>
      <w:tr>
        <w:trPr>
          <w:trHeight w:val="397" w:hRule="atLeast"/>
        </w:trPr>
        <w:tc>
          <w:tcPr>
            <w:tcW w:w="2252" w:type="dxa"/>
            <w:tcBorders/>
            <w:vAlign w:val="bottom"/>
          </w:tcPr>
          <w:p>
            <w:pPr>
              <w:pStyle w:val="Normal"/>
              <w:rPr>
                <w:rFonts w:ascii="Times New Roman" w:hAnsi="Times New Roman" w:cs="Times New Roman"/>
                <w:sz w:val="28"/>
              </w:rPr>
            </w:pPr>
            <w:r>
              <w:rPr>
                <w:rFonts w:cs="Times New Roman" w:ascii="Times New Roman" w:hAnsi="Times New Roman"/>
                <w:sz w:val="28"/>
              </w:rPr>
              <w:t>Студент</w:t>
            </w:r>
          </w:p>
        </w:tc>
        <w:tc>
          <w:tcPr>
            <w:tcW w:w="2377" w:type="dxa"/>
            <w:tcBorders/>
          </w:tcPr>
          <w:p>
            <w:pPr>
              <w:pStyle w:val="Normal"/>
              <w:snapToGrid w:val="false"/>
              <w:jc w:val="center"/>
              <w:rPr>
                <w:rFonts w:ascii="Times New Roman" w:hAnsi="Times New Roman" w:cs="Times New Roman"/>
                <w:i/>
                <w:sz w:val="28"/>
              </w:rPr>
            </w:pPr>
            <w:r>
              <w:rPr>
                <w:rFonts w:cs="Times New Roman" w:ascii="Times New Roman" w:hAnsi="Times New Roman"/>
                <w:i/>
                <w:sz w:val="28"/>
              </w:rPr>
            </w:r>
          </w:p>
        </w:tc>
        <w:tc>
          <w:tcPr>
            <w:tcW w:w="2213" w:type="dxa"/>
            <w:tcBorders>
              <w:bottom w:val="single" w:sz="4" w:space="0" w:color="000000"/>
            </w:tcBorders>
            <w:vAlign w:val="bottom"/>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vAlign w:val="bottom"/>
          </w:tcPr>
          <w:p>
            <w:pPr>
              <w:pStyle w:val="Normal"/>
              <w:rPr>
                <w:rFonts w:ascii="Times New Roman" w:hAnsi="Times New Roman" w:cs="Times New Roman"/>
                <w:color w:themeColor="text1" w:val="000000"/>
                <w:sz w:val="28"/>
              </w:rPr>
            </w:pPr>
            <w:r>
              <w:rPr>
                <w:rFonts w:cs="Times New Roman" w:ascii="Times New Roman" w:hAnsi="Times New Roman"/>
                <w:color w:themeColor="text1" w:val="000000"/>
                <w:sz w:val="28"/>
                <w:szCs w:val="28"/>
              </w:rPr>
              <w:t xml:space="preserve">Н.В. Поглазов </w:t>
            </w:r>
          </w:p>
        </w:tc>
      </w:tr>
      <w:tr>
        <w:trPr>
          <w:trHeight w:val="211" w:hRule="atLeast"/>
        </w:trPr>
        <w:tc>
          <w:tcPr>
            <w:tcW w:w="2252" w:type="dxa"/>
            <w:tcBorders/>
            <w:vAlign w:val="bottom"/>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377" w:type="dxa"/>
            <w:tcBorders/>
          </w:tcPr>
          <w:p>
            <w:pPr>
              <w:pStyle w:val="Normal"/>
              <w:snapToGrid w:val="false"/>
              <w:jc w:val="center"/>
              <w:rPr>
                <w:rFonts w:ascii="Times New Roman" w:hAnsi="Times New Roman" w:cs="Times New Roman"/>
                <w:i/>
                <w:sz w:val="28"/>
                <w:vertAlign w:val="superscript"/>
              </w:rPr>
            </w:pPr>
            <w:r>
              <w:rPr>
                <w:rFonts w:cs="Times New Roman" w:ascii="Times New Roman" w:hAnsi="Times New Roman"/>
                <w:i/>
                <w:sz w:val="28"/>
                <w:vertAlign w:val="superscript"/>
              </w:rPr>
            </w:r>
          </w:p>
        </w:tc>
        <w:tc>
          <w:tcPr>
            <w:tcW w:w="2213" w:type="dxa"/>
            <w:tcBorders>
              <w:top w:val="single" w:sz="4" w:space="0" w:color="000000"/>
            </w:tcBorders>
          </w:tcPr>
          <w:p>
            <w:pPr>
              <w:pStyle w:val="Normal"/>
              <w:jc w:val="center"/>
              <w:rPr>
                <w:rFonts w:ascii="Times New Roman" w:hAnsi="Times New Roman" w:cs="Times New Roman"/>
                <w:i/>
                <w:sz w:val="28"/>
              </w:rPr>
            </w:pPr>
            <w:r>
              <w:rPr>
                <w:rFonts w:cs="Times New Roman" w:ascii="Times New Roman" w:hAnsi="Times New Roman"/>
                <w:i/>
                <w:sz w:val="16"/>
              </w:rPr>
              <w:t>подпись</w:t>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tcPr>
          <w:p>
            <w:pPr>
              <w:pStyle w:val="Normal"/>
              <w:snapToGrid w:val="false"/>
              <w:rPr>
                <w:rFonts w:ascii="Times New Roman" w:hAnsi="Times New Roman" w:cs="Times New Roman"/>
                <w:i/>
                <w:sz w:val="16"/>
              </w:rPr>
            </w:pPr>
            <w:r>
              <w:rPr>
                <w:rFonts w:cs="Times New Roman" w:ascii="Times New Roman" w:hAnsi="Times New Roman"/>
                <w:i/>
                <w:sz w:val="16"/>
              </w:rPr>
            </w:r>
          </w:p>
        </w:tc>
      </w:tr>
      <w:tr>
        <w:trPr>
          <w:trHeight w:val="397" w:hRule="atLeast"/>
        </w:trPr>
        <w:tc>
          <w:tcPr>
            <w:tcW w:w="2252" w:type="dxa"/>
            <w:tcBorders/>
            <w:vAlign w:val="bottom"/>
          </w:tcPr>
          <w:p>
            <w:pPr>
              <w:pStyle w:val="Normal"/>
              <w:rPr>
                <w:rFonts w:ascii="Times New Roman" w:hAnsi="Times New Roman" w:cs="Times New Roman"/>
                <w:sz w:val="28"/>
              </w:rPr>
            </w:pPr>
            <w:commentRangeStart w:id="0"/>
            <w:r>
              <w:rPr>
                <w:rFonts w:cs="Times New Roman" w:ascii="Times New Roman" w:hAnsi="Times New Roman"/>
                <w:sz w:val="28"/>
              </w:rPr>
              <w:t>Руководитель</w:t>
            </w:r>
            <w:commentRangeEnd w:id="0"/>
            <w:r>
              <w:commentReference w:id="0"/>
            </w:r>
            <w:r>
              <w:rPr>
                <w:rFonts w:cs="Times New Roman" w:ascii="Times New Roman" w:hAnsi="Times New Roman"/>
                <w:sz w:val="28"/>
              </w:rPr>
            </w:r>
          </w:p>
        </w:tc>
        <w:tc>
          <w:tcPr>
            <w:tcW w:w="2377" w:type="dxa"/>
            <w:tcBorders/>
            <w:vAlign w:val="bottom"/>
          </w:tcPr>
          <w:p>
            <w:pPr>
              <w:pStyle w:val="Normal"/>
              <w:snapToGrid w:val="false"/>
              <w:jc w:val="center"/>
              <w:rPr>
                <w:rFonts w:ascii="Times New Roman" w:hAnsi="Times New Roman" w:cs="Times New Roman"/>
                <w:sz w:val="28"/>
              </w:rPr>
            </w:pPr>
            <w:r>
              <w:rPr>
                <w:rFonts w:cs="Times New Roman" w:ascii="Times New Roman" w:hAnsi="Times New Roman"/>
                <w:sz w:val="28"/>
              </w:rPr>
              <w:t>к.ф.-м.н., доцент</w:t>
            </w:r>
          </w:p>
        </w:tc>
        <w:tc>
          <w:tcPr>
            <w:tcW w:w="2213" w:type="dxa"/>
            <w:tcBorders>
              <w:bottom w:val="single" w:sz="4" w:space="0" w:color="000000"/>
            </w:tcBorders>
            <w:vAlign w:val="bottom"/>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vAlign w:val="bottom"/>
          </w:tcPr>
          <w:p>
            <w:pPr>
              <w:pStyle w:val="Normal"/>
              <w:rPr>
                <w:rFonts w:ascii="Times New Roman" w:hAnsi="Times New Roman" w:cs="Times New Roman"/>
                <w:color w:themeColor="text1" w:val="000000"/>
                <w:sz w:val="28"/>
              </w:rPr>
            </w:pPr>
            <w:r>
              <w:rPr>
                <w:rFonts w:cs="Times New Roman" w:ascii="Times New Roman" w:hAnsi="Times New Roman"/>
                <w:color w:themeColor="text1" w:val="000000"/>
                <w:sz w:val="28"/>
                <w:szCs w:val="28"/>
              </w:rPr>
              <w:t>А.Н. Медведев</w:t>
            </w:r>
          </w:p>
        </w:tc>
      </w:tr>
      <w:tr>
        <w:trPr>
          <w:trHeight w:val="168" w:hRule="atLeast"/>
        </w:trPr>
        <w:tc>
          <w:tcPr>
            <w:tcW w:w="2252" w:type="dxa"/>
            <w:tcBorders/>
            <w:vAlign w:val="bottom"/>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377" w:type="dxa"/>
            <w:tcBorders/>
          </w:tcPr>
          <w:p>
            <w:pPr>
              <w:pStyle w:val="Normal"/>
              <w:rPr>
                <w:rFonts w:ascii="Times New Roman" w:hAnsi="Times New Roman" w:cs="Times New Roman"/>
                <w:i/>
                <w:vertAlign w:val="superscript"/>
              </w:rPr>
            </w:pPr>
            <w:r>
              <w:rPr>
                <w:rFonts w:cs="Times New Roman" w:ascii="Times New Roman" w:hAnsi="Times New Roman"/>
                <w:i/>
                <w:vertAlign w:val="superscript"/>
              </w:rPr>
            </w:r>
          </w:p>
        </w:tc>
        <w:tc>
          <w:tcPr>
            <w:tcW w:w="2213" w:type="dxa"/>
            <w:tcBorders>
              <w:top w:val="single" w:sz="4" w:space="0" w:color="000000"/>
            </w:tcBorders>
          </w:tcPr>
          <w:p>
            <w:pPr>
              <w:pStyle w:val="Normal"/>
              <w:jc w:val="center"/>
              <w:rPr>
                <w:rFonts w:ascii="Times New Roman" w:hAnsi="Times New Roman" w:cs="Times New Roman"/>
                <w:i/>
                <w:sz w:val="28"/>
              </w:rPr>
            </w:pPr>
            <w:r>
              <w:rPr>
                <w:rFonts w:cs="Times New Roman" w:ascii="Times New Roman" w:hAnsi="Times New Roman"/>
                <w:i/>
                <w:sz w:val="16"/>
              </w:rPr>
              <w:t>подпись</w:t>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tcPr>
          <w:p>
            <w:pPr>
              <w:pStyle w:val="Normal"/>
              <w:snapToGrid w:val="false"/>
              <w:rPr>
                <w:rFonts w:ascii="Times New Roman" w:hAnsi="Times New Roman" w:cs="Times New Roman"/>
                <w:i/>
                <w:sz w:val="16"/>
              </w:rPr>
            </w:pPr>
            <w:r>
              <w:rPr>
                <w:rFonts w:cs="Times New Roman" w:ascii="Times New Roman" w:hAnsi="Times New Roman"/>
                <w:i/>
                <w:sz w:val="16"/>
              </w:rPr>
            </w:r>
          </w:p>
        </w:tc>
      </w:tr>
      <w:tr>
        <w:trPr>
          <w:trHeight w:val="397" w:hRule="atLeast"/>
        </w:trPr>
        <w:tc>
          <w:tcPr>
            <w:tcW w:w="2252" w:type="dxa"/>
            <w:tcBorders/>
            <w:vAlign w:val="bottom"/>
          </w:tcPr>
          <w:p>
            <w:pPr>
              <w:pStyle w:val="Normal"/>
              <w:rPr>
                <w:rFonts w:ascii="Times New Roman" w:hAnsi="Times New Roman" w:cs="Times New Roman"/>
                <w:sz w:val="28"/>
                <w:vertAlign w:val="superscript"/>
              </w:rPr>
            </w:pPr>
            <w:r>
              <w:rPr>
                <w:rFonts w:cs="Times New Roman" w:ascii="Times New Roman" w:hAnsi="Times New Roman"/>
                <w:sz w:val="28"/>
              </w:rPr>
              <w:t>Консультанты</w:t>
            </w:r>
          </w:p>
        </w:tc>
        <w:tc>
          <w:tcPr>
            <w:tcW w:w="2377" w:type="dxa"/>
            <w:tcBorders/>
            <w:vAlign w:val="bottom"/>
          </w:tcPr>
          <w:p>
            <w:pPr>
              <w:pStyle w:val="Normal"/>
              <w:snapToGrid w:val="false"/>
              <w:jc w:val="center"/>
              <w:rPr>
                <w:rFonts w:ascii="Times New Roman" w:hAnsi="Times New Roman" w:cs="Times New Roman"/>
                <w:sz w:val="28"/>
              </w:rPr>
            </w:pPr>
            <w:r>
              <w:rPr>
                <w:rFonts w:cs="Times New Roman" w:ascii="Times New Roman" w:hAnsi="Times New Roman"/>
                <w:sz w:val="28"/>
              </w:rPr>
              <w:t>к.т.н., доцент</w:t>
            </w:r>
          </w:p>
        </w:tc>
        <w:tc>
          <w:tcPr>
            <w:tcW w:w="2213" w:type="dxa"/>
            <w:tcBorders>
              <w:bottom w:val="single" w:sz="4" w:space="0" w:color="000000"/>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vAlign w:val="bottom"/>
          </w:tcPr>
          <w:p>
            <w:pPr>
              <w:pStyle w:val="Normal"/>
              <w:rPr>
                <w:rFonts w:ascii="Times New Roman" w:hAnsi="Times New Roman" w:cs="Times New Roman"/>
                <w:sz w:val="28"/>
              </w:rPr>
            </w:pPr>
            <w:commentRangeStart w:id="1"/>
            <w:r>
              <w:rPr>
                <w:rFonts w:cs="Times New Roman" w:ascii="Times New Roman" w:hAnsi="Times New Roman"/>
                <w:sz w:val="28"/>
                <w:szCs w:val="28"/>
              </w:rPr>
              <w:t>М.М. Заславский</w:t>
            </w:r>
            <w:commentRangeEnd w:id="1"/>
            <w:r>
              <w:commentReference w:id="1"/>
            </w:r>
            <w:r>
              <w:rPr>
                <w:rFonts w:cs="Times New Roman" w:ascii="Times New Roman" w:hAnsi="Times New Roman"/>
                <w:sz w:val="28"/>
                <w:szCs w:val="28"/>
              </w:rPr>
            </w:r>
          </w:p>
        </w:tc>
      </w:tr>
      <w:tr>
        <w:trPr>
          <w:trHeight w:val="124" w:hRule="atLeast"/>
        </w:trPr>
        <w:tc>
          <w:tcPr>
            <w:tcW w:w="2252" w:type="dxa"/>
            <w:tcBorders/>
            <w:vAlign w:val="bottom"/>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377" w:type="dxa"/>
            <w:tcBorders/>
          </w:tcPr>
          <w:p>
            <w:pPr>
              <w:pStyle w:val="Normal"/>
              <w:jc w:val="center"/>
              <w:rPr>
                <w:rFonts w:ascii="Times New Roman" w:hAnsi="Times New Roman" w:cs="Times New Roman"/>
                <w:i/>
                <w:vertAlign w:val="superscript"/>
              </w:rPr>
            </w:pPr>
            <w:r>
              <w:rPr>
                <w:rFonts w:cs="Times New Roman" w:ascii="Times New Roman" w:hAnsi="Times New Roman"/>
                <w:i/>
                <w:vertAlign w:val="superscript"/>
              </w:rPr>
            </w:r>
          </w:p>
        </w:tc>
        <w:tc>
          <w:tcPr>
            <w:tcW w:w="2213" w:type="dxa"/>
            <w:tcBorders>
              <w:top w:val="single" w:sz="4" w:space="0" w:color="000000"/>
            </w:tcBorders>
          </w:tcPr>
          <w:p>
            <w:pPr>
              <w:pStyle w:val="Normal"/>
              <w:jc w:val="center"/>
              <w:rPr>
                <w:rFonts w:ascii="Times New Roman" w:hAnsi="Times New Roman" w:cs="Times New Roman"/>
                <w:i/>
                <w:sz w:val="28"/>
              </w:rPr>
            </w:pPr>
            <w:r>
              <w:rPr>
                <w:rFonts w:cs="Times New Roman" w:ascii="Times New Roman" w:hAnsi="Times New Roman"/>
                <w:i/>
                <w:sz w:val="16"/>
              </w:rPr>
              <w:t>подпись</w:t>
            </w:r>
          </w:p>
        </w:tc>
        <w:tc>
          <w:tcPr>
            <w:tcW w:w="257" w:type="dxa"/>
            <w:tcBorders/>
          </w:tcPr>
          <w:p>
            <w:pPr>
              <w:pStyle w:val="Normal"/>
              <w:snapToGrid w:val="false"/>
              <w:rPr>
                <w:rFonts w:ascii="Times New Roman" w:hAnsi="Times New Roman" w:cs="Times New Roman"/>
                <w:i/>
                <w:sz w:val="28"/>
              </w:rPr>
            </w:pPr>
            <w:r>
              <w:rPr>
                <w:rFonts w:cs="Times New Roman" w:ascii="Times New Roman" w:hAnsi="Times New Roman"/>
                <w:i/>
                <w:sz w:val="28"/>
              </w:rPr>
            </w:r>
          </w:p>
        </w:tc>
        <w:tc>
          <w:tcPr>
            <w:tcW w:w="2560" w:type="dxa"/>
            <w:tcBorders/>
          </w:tcPr>
          <w:p>
            <w:pPr>
              <w:pStyle w:val="Normal"/>
              <w:snapToGrid w:val="false"/>
              <w:rPr>
                <w:rFonts w:ascii="Times New Roman" w:hAnsi="Times New Roman" w:cs="Times New Roman"/>
                <w:i/>
                <w:sz w:val="16"/>
              </w:rPr>
            </w:pPr>
            <w:r>
              <w:rPr>
                <w:rFonts w:cs="Times New Roman" w:ascii="Times New Roman" w:hAnsi="Times New Roman"/>
                <w:i/>
                <w:sz w:val="16"/>
              </w:rPr>
            </w:r>
          </w:p>
        </w:tc>
      </w:tr>
    </w:tbl>
    <w:p>
      <w:pPr>
        <w:pStyle w:val="Normal"/>
        <w:spacing w:lineRule="auto" w:line="336"/>
        <w:jc w:val="center"/>
        <w:rPr>
          <w:rFonts w:ascii="Times New Roman" w:hAnsi="Times New Roman" w:cs="Times New Roman"/>
          <w:bCs/>
          <w:sz w:val="28"/>
          <w:szCs w:val="28"/>
        </w:rPr>
      </w:pPr>
      <w:r>
        <w:rPr>
          <w:rFonts w:cs="Times New Roman" w:ascii="Times New Roman" w:hAnsi="Times New Roman"/>
          <w:bCs/>
          <w:sz w:val="28"/>
          <w:szCs w:val="28"/>
        </w:rPr>
      </w:r>
    </w:p>
    <w:p>
      <w:pPr>
        <w:pStyle w:val="Normal"/>
        <w:spacing w:lineRule="auto" w:line="336"/>
        <w:jc w:val="center"/>
        <w:rPr>
          <w:rFonts w:ascii="Times New Roman" w:hAnsi="Times New Roman" w:cs="Times New Roman"/>
          <w:bCs/>
          <w:sz w:val="28"/>
          <w:szCs w:val="28"/>
        </w:rPr>
      </w:pPr>
      <w:r>
        <w:rPr>
          <w:rFonts w:cs="Times New Roman" w:ascii="Times New Roman" w:hAnsi="Times New Roman"/>
          <w:bCs/>
          <w:sz w:val="28"/>
          <w:szCs w:val="28"/>
        </w:rPr>
      </w:r>
    </w:p>
    <w:p>
      <w:pPr>
        <w:pStyle w:val="Normal"/>
        <w:spacing w:lineRule="auto" w:line="336"/>
        <w:jc w:val="center"/>
        <w:rPr>
          <w:rFonts w:ascii="Times New Roman" w:hAnsi="Times New Roman" w:cs="Times New Roman"/>
          <w:bCs/>
          <w:sz w:val="28"/>
          <w:szCs w:val="28"/>
        </w:rPr>
      </w:pPr>
      <w:r>
        <w:rPr>
          <w:rFonts w:cs="Times New Roman" w:ascii="Times New Roman" w:hAnsi="Times New Roman"/>
          <w:bCs/>
          <w:sz w:val="28"/>
          <w:szCs w:val="28"/>
        </w:rPr>
        <w:t>Санкт-Петербург</w:t>
      </w:r>
    </w:p>
    <w:p>
      <w:pPr>
        <w:pStyle w:val="Normal"/>
        <w:spacing w:lineRule="auto" w:line="336"/>
        <w:jc w:val="center"/>
        <w:rPr>
          <w:rFonts w:ascii="Times New Roman" w:hAnsi="Times New Roman" w:cs="Times New Roman"/>
          <w:b/>
          <w:caps/>
          <w:color w:themeColor="text1" w:val="000000"/>
          <w:sz w:val="28"/>
          <w:szCs w:val="28"/>
          <w:highlight w:val="yellow"/>
        </w:rPr>
      </w:pPr>
      <w:r>
        <w:rPr>
          <w:rFonts w:cs="Times New Roman" w:ascii="Times New Roman" w:hAnsi="Times New Roman"/>
          <w:bCs/>
          <w:color w:themeColor="text1" w:val="000000"/>
          <w:sz w:val="28"/>
          <w:szCs w:val="28"/>
        </w:rPr>
        <w:t>2025</w:t>
      </w:r>
      <w:r>
        <w:br w:type="page"/>
      </w:r>
    </w:p>
    <w:p>
      <w:pPr>
        <w:pStyle w:val="Normal"/>
        <w:spacing w:lineRule="auto" w:line="336" w:before="0" w:after="0"/>
        <w:jc w:val="center"/>
        <w:rPr>
          <w:rFonts w:ascii="Times New Roman" w:hAnsi="Times New Roman" w:cs="Times New Roman"/>
          <w:b/>
          <w:caps/>
          <w:sz w:val="28"/>
          <w:szCs w:val="28"/>
        </w:rPr>
      </w:pPr>
      <w:commentRangeStart w:id="2"/>
      <w:r>
        <w:rPr>
          <w:rFonts w:cs="Times New Roman" w:ascii="Times New Roman" w:hAnsi="Times New Roman"/>
          <w:b/>
          <w:caps/>
          <w:sz w:val="28"/>
          <w:szCs w:val="28"/>
        </w:rPr>
        <w:t>ЗАДАНИЕ</w:t>
      </w:r>
      <w:commentRangeEnd w:id="2"/>
      <w:r>
        <w:commentReference w:id="2"/>
      </w:r>
      <w:r>
        <w:rPr>
          <w:rFonts w:cs="Times New Roman" w:ascii="Times New Roman" w:hAnsi="Times New Roman"/>
          <w:b/>
          <w:caps/>
          <w:sz w:val="28"/>
          <w:szCs w:val="28"/>
        </w:rPr>
      </w:r>
    </w:p>
    <w:p>
      <w:pPr>
        <w:pStyle w:val="Normal"/>
        <w:spacing w:lineRule="auto" w:line="360"/>
        <w:jc w:val="center"/>
        <w:rPr>
          <w:rFonts w:ascii="Times New Roman" w:hAnsi="Times New Roman" w:cs="Times New Roman"/>
        </w:rPr>
      </w:pPr>
      <w:r>
        <w:rPr>
          <w:rFonts w:cs="Times New Roman" w:ascii="Times New Roman" w:hAnsi="Times New Roman"/>
          <w:b/>
          <w:caps/>
          <w:sz w:val="28"/>
          <w:szCs w:val="28"/>
        </w:rPr>
        <w:t>на выпускную квалификационную работу</w:t>
      </w:r>
    </w:p>
    <w:p>
      <w:pPr>
        <w:pStyle w:val="Normal"/>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bl>
      <w:tblPr>
        <w:tblW w:w="9464"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3417"/>
        <w:gridCol w:w="6047"/>
      </w:tblGrid>
      <w:tr>
        <w:trPr/>
        <w:tc>
          <w:tcPr>
            <w:tcW w:w="3417"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047"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Утверждаю</w:t>
            </w:r>
          </w:p>
        </w:tc>
      </w:tr>
      <w:tr>
        <w:trPr/>
        <w:tc>
          <w:tcPr>
            <w:tcW w:w="3417"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047"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Зав. кафедрой МО ЭВМ</w:t>
            </w:r>
          </w:p>
        </w:tc>
      </w:tr>
      <w:tr>
        <w:trPr/>
        <w:tc>
          <w:tcPr>
            <w:tcW w:w="3417"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047"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____________ А.А. Лисс</w:t>
            </w:r>
          </w:p>
        </w:tc>
      </w:tr>
      <w:tr>
        <w:trPr/>
        <w:tc>
          <w:tcPr>
            <w:tcW w:w="3417"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047" w:type="dxa"/>
            <w:tcBorders/>
          </w:tcPr>
          <w:p>
            <w:pPr>
              <w:pStyle w:val="Normal"/>
              <w:spacing w:lineRule="auto" w:line="360"/>
              <w:jc w:val="end"/>
              <w:rPr>
                <w:rFonts w:ascii="Times New Roman" w:hAnsi="Times New Roman" w:cs="Times New Roman"/>
                <w:color w:val="FF0000"/>
                <w:sz w:val="28"/>
                <w:szCs w:val="28"/>
              </w:rPr>
            </w:pPr>
            <w:r>
              <w:rPr>
                <w:rFonts w:cs="Times New Roman" w:ascii="Times New Roman" w:hAnsi="Times New Roman"/>
                <w:sz w:val="28"/>
                <w:szCs w:val="28"/>
              </w:rPr>
              <w:t>«___»______________20___ г.</w:t>
            </w:r>
          </w:p>
        </w:tc>
      </w:tr>
    </w:tbl>
    <w:p>
      <w:pPr>
        <w:pStyle w:val="Normal"/>
        <w:spacing w:lineRule="auto" w:line="360"/>
        <w:jc w:val="center"/>
        <w:rPr>
          <w:rFonts w:ascii="Times New Roman" w:hAnsi="Times New Roman" w:cs="Times New Roman"/>
          <w:b/>
          <w:caps/>
          <w:color w:themeColor="text1" w:val="000000"/>
          <w:sz w:val="28"/>
          <w:szCs w:val="28"/>
        </w:rPr>
      </w:pPr>
      <w:r>
        <w:rPr>
          <w:rFonts w:cs="Times New Roman" w:ascii="Times New Roman" w:hAnsi="Times New Roman"/>
          <w:b/>
          <w:caps/>
          <w:color w:themeColor="text1" w:val="000000"/>
          <w:sz w:val="28"/>
          <w:szCs w:val="28"/>
        </w:rPr>
      </w:r>
    </w:p>
    <w:tbl>
      <w:tblPr>
        <w:tblW w:w="9430"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240"/>
        <w:gridCol w:w="2241"/>
        <w:gridCol w:w="2185"/>
        <w:gridCol w:w="1259"/>
        <w:gridCol w:w="1505"/>
      </w:tblGrid>
      <w:tr>
        <w:trPr>
          <w:trHeight w:val="567" w:hRule="atLeast"/>
        </w:trPr>
        <w:tc>
          <w:tcPr>
            <w:tcW w:w="2240" w:type="dxa"/>
            <w:tcBorders/>
            <w:vAlign w:val="center"/>
          </w:tcPr>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Студент</w:t>
            </w:r>
          </w:p>
        </w:tc>
        <w:tc>
          <w:tcPr>
            <w:tcW w:w="4426" w:type="dxa"/>
            <w:gridSpan w:val="2"/>
            <w:tcBorders/>
            <w:vAlign w:val="center"/>
          </w:tcPr>
          <w:p>
            <w:pPr>
              <w:pStyle w:val="Normal"/>
              <w:rPr>
                <w:rFonts w:ascii="Times New Roman" w:hAnsi="Times New Roman" w:cs="Times New Roman"/>
                <w:i/>
                <w:color w:themeColor="text1" w:val="000000"/>
                <w:sz w:val="28"/>
                <w:szCs w:val="28"/>
              </w:rPr>
            </w:pPr>
            <w:r>
              <w:rPr>
                <w:rFonts w:cs="Times New Roman" w:ascii="Times New Roman" w:hAnsi="Times New Roman"/>
                <w:color w:themeColor="text1" w:val="000000"/>
                <w:sz w:val="28"/>
                <w:szCs w:val="28"/>
              </w:rPr>
              <w:t>Поглазов Н.В.</w:t>
            </w:r>
          </w:p>
        </w:tc>
        <w:tc>
          <w:tcPr>
            <w:tcW w:w="1259" w:type="dxa"/>
            <w:tcBorders/>
            <w:vAlign w:val="center"/>
          </w:tcPr>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Группа</w:t>
            </w:r>
          </w:p>
        </w:tc>
        <w:tc>
          <w:tcPr>
            <w:tcW w:w="1505" w:type="dxa"/>
            <w:tcBorders/>
            <w:vAlign w:val="center"/>
          </w:tcPr>
          <w:p>
            <w:pPr>
              <w:pStyle w:val="Normal"/>
              <w:rPr>
                <w:rFonts w:ascii="Times New Roman" w:hAnsi="Times New Roman" w:cs="Times New Roman"/>
                <w:b/>
                <w:color w:themeColor="text1" w:val="000000"/>
                <w:sz w:val="28"/>
                <w:szCs w:val="28"/>
              </w:rPr>
            </w:pPr>
            <w:r>
              <w:rPr>
                <w:rFonts w:cs="Times New Roman" w:ascii="Times New Roman" w:hAnsi="Times New Roman"/>
                <w:color w:themeColor="text1" w:val="000000"/>
                <w:sz w:val="28"/>
                <w:szCs w:val="28"/>
              </w:rPr>
              <w:t>2384</w:t>
            </w:r>
          </w:p>
        </w:tc>
      </w:tr>
      <w:tr>
        <w:trPr>
          <w:trHeight w:val="563" w:hRule="atLeast"/>
        </w:trPr>
        <w:tc>
          <w:tcPr>
            <w:tcW w:w="9430" w:type="dxa"/>
            <w:gridSpan w:val="5"/>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Тема работы: Модуль механизма внимания на основе меры сходства Тверски для повышения параметрической эффективности языковых моделей</w:t>
            </w:r>
          </w:p>
        </w:tc>
      </w:tr>
      <w:tr>
        <w:trPr>
          <w:trHeight w:val="557" w:hRule="atLeast"/>
        </w:trPr>
        <w:tc>
          <w:tcPr>
            <w:tcW w:w="9430" w:type="dxa"/>
            <w:gridSpan w:val="5"/>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Место выполнения ВКР: СПбГЭТУ «ЛЭТИ» кафедра МО ЭВМ</w:t>
            </w:r>
          </w:p>
        </w:tc>
      </w:tr>
      <w:tr>
        <w:trPr>
          <w:trHeight w:val="1376" w:hRule="atLeast"/>
        </w:trPr>
        <w:tc>
          <w:tcPr>
            <w:tcW w:w="9430" w:type="dxa"/>
            <w:gridSpan w:val="5"/>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Исходные данные (технические требования): </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Разработка модуля механизма внимания на основе меры сходства Тверски, интегрируемого в архитектуру GPT, для сравнительного анализа параметрической эффективности модифицированной модели относительно модели с базовой реализацией механизма внимания.</w:t>
            </w:r>
          </w:p>
        </w:tc>
      </w:tr>
      <w:tr>
        <w:trPr>
          <w:trHeight w:val="1871" w:hRule="atLeast"/>
        </w:trPr>
        <w:tc>
          <w:tcPr>
            <w:tcW w:w="9430" w:type="dxa"/>
            <w:gridSpan w:val="5"/>
            <w:tcBorders/>
          </w:tcPr>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Содержание ВКР: </w:t>
            </w:r>
          </w:p>
          <w:p>
            <w:pPr>
              <w:pStyle w:val="Normal"/>
              <w:spacing w:lineRule="auto" w:line="36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Введение, Обзор предметной области, Выбор метода решения,  Заключение</w:t>
            </w:r>
          </w:p>
        </w:tc>
      </w:tr>
      <w:tr>
        <w:trPr>
          <w:trHeight w:val="1044" w:hRule="atLeast"/>
        </w:trPr>
        <w:tc>
          <w:tcPr>
            <w:tcW w:w="9430" w:type="dxa"/>
            <w:gridSpan w:val="5"/>
            <w:tcBorders/>
          </w:tcPr>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Перечень отчетных материалов: пояснительная записка, иллюстративный материал.</w:t>
            </w:r>
          </w:p>
        </w:tc>
      </w:tr>
      <w:tr>
        <w:trPr>
          <w:trHeight w:val="549" w:hRule="atLeast"/>
        </w:trPr>
        <w:tc>
          <w:tcPr>
            <w:tcW w:w="9430" w:type="dxa"/>
            <w:gridSpan w:val="5"/>
            <w:tcBorders/>
          </w:tcPr>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 xml:space="preserve">Дополнительные разделы: </w:t>
            </w:r>
            <w:r>
              <w:rPr>
                <w:rFonts w:cs="Times New Roman" w:ascii="Times New Roman" w:hAnsi="Times New Roman"/>
                <w:color w:themeColor="text1" w:val="000000"/>
                <w:sz w:val="28"/>
                <w:szCs w:val="28"/>
              </w:rPr>
              <w:t>безопасность жизнедеятельности</w:t>
            </w:r>
          </w:p>
        </w:tc>
      </w:tr>
      <w:tr>
        <w:trPr>
          <w:trHeight w:val="227" w:hRule="atLeast"/>
        </w:trPr>
        <w:tc>
          <w:tcPr>
            <w:tcW w:w="9430" w:type="dxa"/>
            <w:gridSpan w:val="5"/>
            <w:tcBorders/>
          </w:tcPr>
          <w:p>
            <w:pPr>
              <w:pStyle w:val="Normal"/>
              <w:snapToGrid w:val="false"/>
              <w:rPr>
                <w:rFonts w:ascii="Times New Roman" w:hAnsi="Times New Roman" w:cs="Times New Roman"/>
                <w:sz w:val="16"/>
                <w:szCs w:val="16"/>
              </w:rPr>
            </w:pPr>
            <w:r>
              <w:rPr>
                <w:rFonts w:cs="Times New Roman" w:ascii="Times New Roman" w:hAnsi="Times New Roman"/>
                <w:sz w:val="16"/>
                <w:szCs w:val="16"/>
              </w:rPr>
            </w:r>
          </w:p>
        </w:tc>
      </w:tr>
      <w:tr>
        <w:trPr>
          <w:trHeight w:val="247" w:hRule="atLeast"/>
        </w:trPr>
        <w:tc>
          <w:tcPr>
            <w:tcW w:w="4481" w:type="dxa"/>
            <w:gridSpan w:val="2"/>
            <w:tcBorders/>
          </w:tcPr>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Дата выдачи задания</w:t>
            </w:r>
          </w:p>
        </w:tc>
        <w:tc>
          <w:tcPr>
            <w:tcW w:w="4949" w:type="dxa"/>
            <w:gridSpan w:val="3"/>
            <w:tcBorders/>
          </w:tcPr>
          <w:p>
            <w:pPr>
              <w:pStyle w:val="Normal"/>
              <w:spacing w:lineRule="auto" w:line="360"/>
              <w:rPr>
                <w:rFonts w:ascii="Times New Roman" w:hAnsi="Times New Roman" w:cs="Times New Roman"/>
                <w:sz w:val="28"/>
                <w:szCs w:val="28"/>
              </w:rPr>
            </w:pPr>
            <w:r>
              <w:rPr>
                <w:rFonts w:cs="Times New Roman" w:ascii="Times New Roman" w:hAnsi="Times New Roman"/>
                <w:sz w:val="28"/>
                <w:szCs w:val="28"/>
              </w:rPr>
              <w:t>Дата представления ВКР к защите</w:t>
            </w:r>
          </w:p>
        </w:tc>
      </w:tr>
      <w:tr>
        <w:trPr>
          <w:trHeight w:val="247" w:hRule="atLeast"/>
        </w:trPr>
        <w:tc>
          <w:tcPr>
            <w:tcW w:w="4481" w:type="dxa"/>
            <w:gridSpan w:val="2"/>
            <w:tcBorders/>
          </w:tcPr>
          <w:p>
            <w:pPr>
              <w:pStyle w:val="Normal"/>
              <w:spacing w:lineRule="auto" w:line="360"/>
              <w:rPr>
                <w:rFonts w:ascii="Times New Roman" w:hAnsi="Times New Roman" w:cs="Times New Roman"/>
              </w:rPr>
            </w:pPr>
            <w:commentRangeStart w:id="3"/>
            <w:r>
              <w:rPr>
                <w:rFonts w:cs="Times New Roman" w:ascii="Times New Roman" w:hAnsi="Times New Roman"/>
                <w:sz w:val="28"/>
                <w:szCs w:val="28"/>
              </w:rPr>
              <w:t>«15» апреля 2026 г.</w:t>
            </w:r>
            <w:commentRangeEnd w:id="3"/>
            <w:r>
              <w:commentReference w:id="3"/>
            </w:r>
            <w:r>
              <w:rPr>
                <w:rFonts w:cs="Times New Roman" w:ascii="Times New Roman" w:hAnsi="Times New Roman"/>
                <w:sz w:val="28"/>
                <w:szCs w:val="28"/>
              </w:rPr>
            </w:r>
          </w:p>
        </w:tc>
        <w:tc>
          <w:tcPr>
            <w:tcW w:w="4949" w:type="dxa"/>
            <w:gridSpan w:val="3"/>
            <w:tcBorders/>
          </w:tcPr>
          <w:p>
            <w:pPr>
              <w:pStyle w:val="Normal"/>
              <w:spacing w:lineRule="auto" w:line="360"/>
              <w:rPr>
                <w:rFonts w:ascii="Times New Roman" w:hAnsi="Times New Roman" w:cs="Times New Roman"/>
              </w:rPr>
            </w:pPr>
            <w:commentRangeStart w:id="4"/>
            <w:r>
              <w:rPr>
                <w:rFonts w:cs="Times New Roman" w:ascii="Times New Roman" w:hAnsi="Times New Roman"/>
                <w:sz w:val="28"/>
                <w:szCs w:val="28"/>
              </w:rPr>
              <w:t>«1» июня 2026 г.</w:t>
            </w:r>
            <w:commentRangeEnd w:id="4"/>
            <w:r>
              <w:commentReference w:id="4"/>
            </w:r>
            <w:r>
              <w:rPr>
                <w:rFonts w:cs="Times New Roman" w:ascii="Times New Roman" w:hAnsi="Times New Roman"/>
                <w:sz w:val="28"/>
                <w:szCs w:val="28"/>
              </w:rPr>
            </w:r>
          </w:p>
        </w:tc>
      </w:tr>
      <w:tr>
        <w:trPr>
          <w:trHeight w:val="234" w:hRule="exact"/>
          <w:cantSplit w:val="true"/>
        </w:trPr>
        <w:tc>
          <w:tcPr>
            <w:tcW w:w="9430" w:type="dxa"/>
            <w:gridSpan w:val="5"/>
            <w:tcBorders/>
          </w:tcPr>
          <w:p>
            <w:pPr>
              <w:pStyle w:val="Normal"/>
              <w:snapToGrid w:val="false"/>
              <w:spacing w:lineRule="auto" w:line="360"/>
              <w:rPr>
                <w:rFonts w:ascii="Times New Roman" w:hAnsi="Times New Roman" w:cs="Times New Roman"/>
                <w:sz w:val="16"/>
                <w:szCs w:val="16"/>
              </w:rPr>
            </w:pPr>
            <w:r>
              <w:rPr>
                <w:rFonts w:cs="Times New Roman" w:ascii="Times New Roman" w:hAnsi="Times New Roman"/>
                <w:sz w:val="16"/>
                <w:szCs w:val="16"/>
              </w:rPr>
            </w:r>
          </w:p>
        </w:tc>
      </w:tr>
      <w:tr>
        <w:trPr>
          <w:trHeight w:val="284" w:hRule="atLeast"/>
        </w:trPr>
        <w:tc>
          <w:tcPr>
            <w:tcW w:w="2240" w:type="dxa"/>
            <w:tcBorders/>
            <w:vAlign w:val="bottom"/>
          </w:tcPr>
          <w:p>
            <w:pPr>
              <w:pStyle w:val="Normal"/>
              <w:rPr>
                <w:rFonts w:ascii="Times New Roman" w:hAnsi="Times New Roman" w:cs="Times New Roman"/>
                <w:sz w:val="28"/>
                <w:szCs w:val="28"/>
              </w:rPr>
            </w:pPr>
            <w:r>
              <w:rPr>
                <w:rFonts w:cs="Times New Roman" w:ascii="Times New Roman" w:hAnsi="Times New Roman"/>
                <w:sz w:val="28"/>
                <w:szCs w:val="28"/>
              </w:rPr>
              <w:t>Студент</w:t>
            </w:r>
          </w:p>
        </w:tc>
        <w:tc>
          <w:tcPr>
            <w:tcW w:w="2241" w:type="dxa"/>
            <w:tcBorders/>
            <w:vAlign w:val="bottom"/>
          </w:tcPr>
          <w:p>
            <w:pPr>
              <w:pStyle w:val="Normal"/>
              <w:rPr>
                <w:rFonts w:ascii="Times New Roman" w:hAnsi="Times New Roman" w:cs="Times New Roman"/>
                <w:sz w:val="28"/>
                <w:szCs w:val="28"/>
              </w:rPr>
            </w:pPr>
            <w:r>
              <w:rPr>
                <w:rFonts w:cs="Times New Roman" w:ascii="Times New Roman" w:hAnsi="Times New Roman"/>
                <w:sz w:val="28"/>
                <w:szCs w:val="28"/>
              </w:rPr>
            </w:r>
          </w:p>
        </w:tc>
        <w:tc>
          <w:tcPr>
            <w:tcW w:w="2185" w:type="dxa"/>
            <w:tcBorders>
              <w:bottom w:val="single" w:sz="4" w:space="0" w:color="000000"/>
            </w:tcBorders>
            <w:vAlign w:val="bottom"/>
          </w:tcPr>
          <w:p>
            <w:pPr>
              <w:pStyle w:val="Normal"/>
              <w:snapToGrid w:val="false"/>
              <w:rPr>
                <w:rFonts w:ascii="Times New Roman" w:hAnsi="Times New Roman" w:cs="Times New Roman"/>
                <w:sz w:val="28"/>
                <w:szCs w:val="28"/>
              </w:rPr>
            </w:pPr>
            <w:r>
              <w:rPr>
                <w:rFonts w:cs="Times New Roman" w:ascii="Times New Roman" w:hAnsi="Times New Roman"/>
                <w:sz w:val="28"/>
                <w:szCs w:val="28"/>
              </w:rPr>
            </w:r>
          </w:p>
        </w:tc>
        <w:tc>
          <w:tcPr>
            <w:tcW w:w="2764" w:type="dxa"/>
            <w:gridSpan w:val="2"/>
            <w:tcBorders/>
            <w:vAlign w:val="bottom"/>
          </w:tcPr>
          <w:p>
            <w:pPr>
              <w:pStyle w:val="Normal"/>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Н.В. Поглазов</w:t>
            </w:r>
          </w:p>
        </w:tc>
      </w:tr>
      <w:tr>
        <w:trPr>
          <w:trHeight w:val="454" w:hRule="atLeast"/>
        </w:trPr>
        <w:tc>
          <w:tcPr>
            <w:tcW w:w="2240" w:type="dxa"/>
            <w:tcBorders/>
            <w:vAlign w:val="bottom"/>
          </w:tcPr>
          <w:p>
            <w:pPr>
              <w:pStyle w:val="Normal"/>
              <w:rPr>
                <w:rFonts w:ascii="Times New Roman" w:hAnsi="Times New Roman" w:cs="Times New Roman"/>
                <w:sz w:val="28"/>
                <w:szCs w:val="28"/>
              </w:rPr>
            </w:pPr>
            <w:r>
              <w:rPr>
                <w:rFonts w:cs="Times New Roman" w:ascii="Times New Roman" w:hAnsi="Times New Roman"/>
                <w:sz w:val="28"/>
              </w:rPr>
              <w:t>Руководитель</w:t>
            </w:r>
          </w:p>
        </w:tc>
        <w:tc>
          <w:tcPr>
            <w:tcW w:w="2241" w:type="dxa"/>
            <w:tcBorders/>
            <w:vAlign w:val="bottom"/>
          </w:tcPr>
          <w:p>
            <w:pPr>
              <w:pStyle w:val="Normal"/>
              <w:rPr>
                <w:rFonts w:ascii="Times New Roman" w:hAnsi="Times New Roman" w:cs="Times New Roman"/>
                <w:sz w:val="28"/>
                <w:szCs w:val="28"/>
              </w:rPr>
            </w:pPr>
            <w:r>
              <w:rPr>
                <w:rFonts w:cs="Times New Roman" w:ascii="Times New Roman" w:hAnsi="Times New Roman"/>
                <w:sz w:val="28"/>
                <w:szCs w:val="28"/>
              </w:rPr>
              <w:t xml:space="preserve">к.ф.-м.н., </w:t>
            </w:r>
            <w:r>
              <w:rPr>
                <w:rStyle w:val="BodyTextChar"/>
              </w:rPr>
              <w:t>доцент</w:t>
            </w:r>
          </w:p>
        </w:tc>
        <w:tc>
          <w:tcPr>
            <w:tcW w:w="2185" w:type="dxa"/>
            <w:tcBorders>
              <w:top w:val="single" w:sz="4" w:space="0" w:color="000000"/>
              <w:bottom w:val="single" w:sz="4" w:space="0" w:color="000000"/>
            </w:tcBorders>
            <w:vAlign w:val="bottom"/>
          </w:tcPr>
          <w:p>
            <w:pPr>
              <w:pStyle w:val="Normal"/>
              <w:snapToGrid w:val="false"/>
              <w:rPr>
                <w:rFonts w:ascii="Times New Roman" w:hAnsi="Times New Roman" w:cs="Times New Roman"/>
                <w:sz w:val="28"/>
                <w:szCs w:val="28"/>
              </w:rPr>
            </w:pPr>
            <w:r>
              <w:rPr>
                <w:rFonts w:cs="Times New Roman" w:ascii="Times New Roman" w:hAnsi="Times New Roman"/>
                <w:sz w:val="28"/>
                <w:szCs w:val="28"/>
              </w:rPr>
            </w:r>
          </w:p>
        </w:tc>
        <w:tc>
          <w:tcPr>
            <w:tcW w:w="2764" w:type="dxa"/>
            <w:gridSpan w:val="2"/>
            <w:tcBorders/>
            <w:vAlign w:val="bottom"/>
          </w:tcPr>
          <w:p>
            <w:pPr>
              <w:pStyle w:val="Normal"/>
              <w:jc w:val="center"/>
              <w:rPr>
                <w:rFonts w:ascii="Times New Roman" w:hAnsi="Times New Roman" w:cs="Times New Roman"/>
                <w:color w:themeColor="text1" w:val="000000"/>
              </w:rPr>
            </w:pPr>
            <w:r>
              <w:rPr>
                <w:rFonts w:cs="Times New Roman" w:ascii="Times New Roman" w:hAnsi="Times New Roman"/>
                <w:color w:themeColor="text1" w:val="000000"/>
                <w:sz w:val="28"/>
                <w:szCs w:val="28"/>
              </w:rPr>
              <w:t>А.Н. Медведев</w:t>
            </w:r>
          </w:p>
        </w:tc>
      </w:tr>
    </w:tbl>
    <w:p>
      <w:pPr>
        <w:pStyle w:val="Normal"/>
        <w:spacing w:lineRule="auto" w:line="360" w:before="0" w:after="0"/>
        <w:jc w:val="center"/>
        <w:rPr>
          <w:rFonts w:ascii="Times New Roman" w:hAnsi="Times New Roman" w:cs="Times New Roman"/>
          <w:b/>
          <w:caps/>
          <w:sz w:val="28"/>
          <w:szCs w:val="28"/>
        </w:rPr>
      </w:pPr>
      <w:r>
        <w:br w:type="page"/>
      </w:r>
      <w:commentRangeStart w:id="5"/>
      <w:r>
        <w:rPr>
          <w:rFonts w:cs="Times New Roman" w:ascii="Times New Roman" w:hAnsi="Times New Roman"/>
          <w:b/>
          <w:caps/>
          <w:sz w:val="28"/>
          <w:szCs w:val="28"/>
        </w:rPr>
        <w:t xml:space="preserve">календарный план выполнения </w:t>
      </w:r>
      <w:commentRangeEnd w:id="5"/>
      <w:r>
        <w:commentReference w:id="5"/>
      </w:r>
      <w:r>
        <w:rPr>
          <w:rFonts w:cs="Times New Roman" w:ascii="Times New Roman" w:hAnsi="Times New Roman"/>
          <w:b/>
          <w:caps/>
          <w:sz w:val="28"/>
          <w:szCs w:val="28"/>
        </w:rPr>
      </w:r>
    </w:p>
    <w:p>
      <w:pPr>
        <w:pStyle w:val="Normal"/>
        <w:suppressAutoHyphens w:val="tru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t>выпускной квалификационной работы</w:t>
      </w:r>
    </w:p>
    <w:p>
      <w:pPr>
        <w:pStyle w:val="Normal"/>
        <w:spacing w:lineRule="auto" w:line="360"/>
        <w:ind w:firstLine="1985"/>
        <w:jc w:val="center"/>
        <w:rPr>
          <w:rFonts w:ascii="Times New Roman" w:hAnsi="Times New Roman" w:cs="Times New Roman"/>
          <w:b/>
          <w:caps/>
          <w:sz w:val="28"/>
          <w:szCs w:val="28"/>
        </w:rPr>
      </w:pPr>
      <w:r>
        <w:rPr>
          <w:rFonts w:cs="Times New Roman" w:ascii="Times New Roman" w:hAnsi="Times New Roman"/>
          <w:b/>
          <w:caps/>
          <w:sz w:val="28"/>
          <w:szCs w:val="28"/>
        </w:rPr>
      </w:r>
    </w:p>
    <w:tbl>
      <w:tblPr>
        <w:tblW w:w="9606"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3416"/>
        <w:gridCol w:w="6190"/>
      </w:tblGrid>
      <w:tr>
        <w:trPr/>
        <w:tc>
          <w:tcPr>
            <w:tcW w:w="3416"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190"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Утверждаю</w:t>
            </w:r>
          </w:p>
        </w:tc>
      </w:tr>
      <w:tr>
        <w:trPr/>
        <w:tc>
          <w:tcPr>
            <w:tcW w:w="3416"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190"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Зав. кафедрой МО ЭВМ</w:t>
            </w:r>
          </w:p>
        </w:tc>
      </w:tr>
      <w:tr>
        <w:trPr/>
        <w:tc>
          <w:tcPr>
            <w:tcW w:w="3416"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190" w:type="dxa"/>
            <w:tcBorders/>
          </w:tcPr>
          <w:p>
            <w:pPr>
              <w:pStyle w:val="Normal"/>
              <w:spacing w:lineRule="auto" w:line="360"/>
              <w:jc w:val="end"/>
              <w:rPr>
                <w:rFonts w:ascii="Times New Roman" w:hAnsi="Times New Roman" w:cs="Times New Roman"/>
                <w:sz w:val="28"/>
                <w:szCs w:val="28"/>
              </w:rPr>
            </w:pPr>
            <w:r>
              <w:rPr>
                <w:rFonts w:cs="Times New Roman" w:ascii="Times New Roman" w:hAnsi="Times New Roman"/>
                <w:sz w:val="28"/>
                <w:szCs w:val="28"/>
              </w:rPr>
              <w:t>____________ А.А. Лисс</w:t>
            </w:r>
          </w:p>
        </w:tc>
      </w:tr>
      <w:tr>
        <w:trPr/>
        <w:tc>
          <w:tcPr>
            <w:tcW w:w="3416" w:type="dxa"/>
            <w:tcBorders/>
          </w:tcPr>
          <w:p>
            <w:pPr>
              <w:pStyle w:val="Normal"/>
              <w:snapToGrid w:val="false"/>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c>
        <w:tc>
          <w:tcPr>
            <w:tcW w:w="6190" w:type="dxa"/>
            <w:tcBorders/>
          </w:tcPr>
          <w:p>
            <w:pPr>
              <w:pStyle w:val="Normal"/>
              <w:spacing w:lineRule="auto" w:line="360"/>
              <w:jc w:val="end"/>
              <w:rPr>
                <w:rFonts w:ascii="Times New Roman" w:hAnsi="Times New Roman" w:cs="Times New Roman"/>
                <w:color w:val="FF0000"/>
                <w:sz w:val="28"/>
                <w:szCs w:val="28"/>
              </w:rPr>
            </w:pPr>
            <w:r>
              <w:rPr>
                <w:rFonts w:cs="Times New Roman" w:ascii="Times New Roman" w:hAnsi="Times New Roman"/>
                <w:sz w:val="28"/>
                <w:szCs w:val="28"/>
              </w:rPr>
              <w:t>«___»______________20___ г.</w:t>
            </w:r>
          </w:p>
        </w:tc>
      </w:tr>
    </w:tbl>
    <w:p>
      <w:pPr>
        <w:pStyle w:val="Normal"/>
        <w:spacing w:lineRule="auto" w:line="360"/>
        <w:jc w:val="center"/>
        <w:rPr>
          <w:rFonts w:ascii="Times New Roman" w:hAnsi="Times New Roman" w:cs="Times New Roman"/>
          <w:b/>
          <w:caps/>
          <w:sz w:val="28"/>
          <w:szCs w:val="28"/>
        </w:rPr>
      </w:pPr>
      <w:r>
        <w:rPr>
          <w:rFonts w:cs="Times New Roman" w:ascii="Times New Roman" w:hAnsi="Times New Roman"/>
          <w:b/>
          <w:caps/>
          <w:sz w:val="28"/>
          <w:szCs w:val="28"/>
        </w:rPr>
      </w:r>
    </w:p>
    <w:tbl>
      <w:tblPr>
        <w:tblW w:w="9606"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1783"/>
        <w:gridCol w:w="5708"/>
        <w:gridCol w:w="1329"/>
        <w:gridCol w:w="786"/>
      </w:tblGrid>
      <w:tr>
        <w:trPr>
          <w:trHeight w:val="567" w:hRule="atLeast"/>
        </w:trPr>
        <w:tc>
          <w:tcPr>
            <w:tcW w:w="1783" w:type="dxa"/>
            <w:tcBorders/>
            <w:vAlign w:val="center"/>
          </w:tcPr>
          <w:p>
            <w:pPr>
              <w:pStyle w:val="Normal"/>
              <w:rPr>
                <w:rFonts w:ascii="Times New Roman" w:hAnsi="Times New Roman" w:cs="Times New Roman"/>
                <w:sz w:val="28"/>
                <w:szCs w:val="28"/>
              </w:rPr>
            </w:pPr>
            <w:r>
              <w:rPr>
                <w:rFonts w:cs="Times New Roman" w:ascii="Times New Roman" w:hAnsi="Times New Roman"/>
                <w:sz w:val="28"/>
                <w:szCs w:val="28"/>
              </w:rPr>
              <w:t>Студент</w:t>
            </w:r>
          </w:p>
        </w:tc>
        <w:tc>
          <w:tcPr>
            <w:tcW w:w="5708" w:type="dxa"/>
            <w:tcBorders/>
            <w:vAlign w:val="center"/>
          </w:tcPr>
          <w:p>
            <w:pPr>
              <w:pStyle w:val="Normal"/>
              <w:rPr>
                <w:rFonts w:ascii="Times New Roman" w:hAnsi="Times New Roman" w:cs="Times New Roman"/>
                <w:sz w:val="28"/>
                <w:szCs w:val="28"/>
              </w:rPr>
            </w:pPr>
            <w:r>
              <w:rPr>
                <w:rFonts w:cs="Times New Roman" w:ascii="Times New Roman" w:hAnsi="Times New Roman"/>
                <w:sz w:val="28"/>
                <w:szCs w:val="28"/>
              </w:rPr>
              <w:t>Поглазов Н.В.</w:t>
            </w:r>
          </w:p>
        </w:tc>
        <w:tc>
          <w:tcPr>
            <w:tcW w:w="1329" w:type="dxa"/>
            <w:tcBorders/>
            <w:vAlign w:val="center"/>
          </w:tcPr>
          <w:p>
            <w:pPr>
              <w:pStyle w:val="Normal"/>
              <w:rPr>
                <w:rFonts w:ascii="Times New Roman" w:hAnsi="Times New Roman" w:cs="Times New Roman"/>
                <w:sz w:val="28"/>
                <w:szCs w:val="28"/>
              </w:rPr>
            </w:pPr>
            <w:r>
              <w:rPr>
                <w:rFonts w:cs="Times New Roman" w:ascii="Times New Roman" w:hAnsi="Times New Roman"/>
                <w:sz w:val="28"/>
                <w:szCs w:val="28"/>
              </w:rPr>
              <w:t>Группа</w:t>
            </w:r>
          </w:p>
        </w:tc>
        <w:tc>
          <w:tcPr>
            <w:tcW w:w="786" w:type="dxa"/>
            <w:tcBorders/>
            <w:vAlign w:val="center"/>
          </w:tcPr>
          <w:p>
            <w:pPr>
              <w:pStyle w:val="Normal"/>
              <w:rPr>
                <w:rFonts w:ascii="Times New Roman" w:hAnsi="Times New Roman" w:cs="Times New Roman"/>
                <w:bCs/>
                <w:sz w:val="28"/>
                <w:szCs w:val="28"/>
              </w:rPr>
            </w:pPr>
            <w:r>
              <w:rPr>
                <w:rFonts w:cs="Times New Roman" w:ascii="Times New Roman" w:hAnsi="Times New Roman"/>
                <w:bCs/>
                <w:sz w:val="28"/>
                <w:szCs w:val="28"/>
              </w:rPr>
              <w:t>2384</w:t>
            </w:r>
          </w:p>
        </w:tc>
      </w:tr>
      <w:tr>
        <w:trPr>
          <w:trHeight w:val="563" w:hRule="atLeast"/>
        </w:trPr>
        <w:tc>
          <w:tcPr>
            <w:tcW w:w="9606" w:type="dxa"/>
            <w:gridSpan w:val="4"/>
            <w:tcBorders/>
          </w:tcPr>
          <w:p>
            <w:pPr>
              <w:pStyle w:val="Normal"/>
              <w:spacing w:lineRule="auto" w:line="360"/>
              <w:rPr>
                <w:rFonts w:ascii="Times New Roman" w:hAnsi="Times New Roman" w:cs="Times New Roman"/>
                <w:color w:val="FF0000"/>
                <w:sz w:val="28"/>
                <w:szCs w:val="28"/>
              </w:rPr>
            </w:pPr>
            <w:r>
              <w:rPr>
                <w:rFonts w:cs="Times New Roman" w:ascii="Times New Roman" w:hAnsi="Times New Roman"/>
                <w:sz w:val="28"/>
                <w:szCs w:val="28"/>
              </w:rPr>
              <w:t xml:space="preserve">Тема работы: </w:t>
            </w:r>
            <w:r>
              <w:rPr>
                <w:rFonts w:cs="Times New Roman" w:ascii="Times New Roman" w:hAnsi="Times New Roman"/>
                <w:color w:themeColor="text1" w:val="000000"/>
                <w:sz w:val="28"/>
                <w:szCs w:val="28"/>
              </w:rPr>
              <w:t>Модуль механизма внимания на основе меры сходства Тверски для повышения параметрической эффективности языковых моделей</w:t>
            </w:r>
          </w:p>
        </w:tc>
      </w:tr>
    </w:tbl>
    <w:p>
      <w:pPr>
        <w:pStyle w:val="Normal"/>
        <w:spacing w:lineRule="auto" w:line="300"/>
        <w:jc w:val="center"/>
        <w:rPr>
          <w:rFonts w:ascii="Times New Roman" w:hAnsi="Times New Roman" w:cs="Times New Roman"/>
          <w:sz w:val="28"/>
          <w:szCs w:val="28"/>
        </w:rPr>
      </w:pPr>
      <w:r>
        <w:rPr>
          <w:rFonts w:cs="Times New Roman" w:ascii="Times New Roman" w:hAnsi="Times New Roman"/>
          <w:sz w:val="28"/>
          <w:szCs w:val="28"/>
        </w:rPr>
      </w:r>
    </w:p>
    <w:tbl>
      <w:tblPr>
        <w:tblW w:w="4950" w:type="pct"/>
        <w:jc w:val="start"/>
        <w:tblInd w:w="-113" w:type="dxa"/>
        <w:tblLayout w:type="fixed"/>
        <w:tblCellMar>
          <w:top w:w="0" w:type="dxa"/>
          <w:start w:w="108" w:type="dxa"/>
          <w:bottom w:w="0" w:type="dxa"/>
          <w:end w:w="108" w:type="dxa"/>
        </w:tblCellMar>
        <w:tblLook w:val="0000" w:noHBand="0" w:noVBand="0" w:firstColumn="0" w:lastRow="0" w:lastColumn="0" w:firstRow="0"/>
      </w:tblPr>
      <w:tblGrid>
        <w:gridCol w:w="646"/>
        <w:gridCol w:w="6738"/>
        <w:gridCol w:w="1877"/>
      </w:tblGrid>
      <w:tr>
        <w:trPr>
          <w:trHeight w:val="23" w:hRule="atLeast"/>
        </w:trPr>
        <w:tc>
          <w:tcPr>
            <w:tcW w:w="646" w:type="dxa"/>
            <w:tcBorders>
              <w:top w:val="single" w:sz="4" w:space="0" w:color="000000"/>
              <w:start w:val="single" w:sz="4" w:space="0" w:color="000000"/>
              <w:bottom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 </w:t>
            </w:r>
            <w:r>
              <w:rPr>
                <w:rFonts w:cs="Times New Roman" w:ascii="Times New Roman" w:hAnsi="Times New Roman"/>
                <w:color w:themeColor="text1" w:val="000000"/>
                <w:sz w:val="28"/>
                <w:szCs w:val="28"/>
              </w:rPr>
              <w:t>п/п</w:t>
            </w:r>
          </w:p>
        </w:tc>
        <w:tc>
          <w:tcPr>
            <w:tcW w:w="6738" w:type="dxa"/>
            <w:tcBorders>
              <w:top w:val="single" w:sz="4" w:space="0" w:color="000000"/>
              <w:start w:val="single" w:sz="4" w:space="0" w:color="000000"/>
              <w:bottom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Наименование работ</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jc w:val="center"/>
              <w:rPr>
                <w:rFonts w:ascii="Times New Roman" w:hAnsi="Times New Roman" w:cs="Times New Roman"/>
                <w:color w:themeColor="text1" w:val="000000"/>
              </w:rPr>
            </w:pPr>
            <w:r>
              <w:rPr>
                <w:rFonts w:cs="Times New Roman" w:ascii="Times New Roman" w:hAnsi="Times New Roman"/>
                <w:color w:themeColor="text1" w:val="000000"/>
                <w:sz w:val="28"/>
                <w:szCs w:val="28"/>
              </w:rPr>
              <w:t>Срок выполнения</w:t>
            </w:r>
          </w:p>
        </w:tc>
      </w:tr>
      <w:tr>
        <w:trPr>
          <w:trHeight w:val="23" w:hRule="atLeast"/>
        </w:trPr>
        <w:tc>
          <w:tcPr>
            <w:tcW w:w="646" w:type="dxa"/>
            <w:tcBorders>
              <w:top w:val="single" w:sz="4" w:space="0" w:color="000000"/>
              <w:start w:val="single" w:sz="4" w:space="0" w:color="000000"/>
              <w:bottom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w:t>
            </w:r>
          </w:p>
        </w:tc>
        <w:tc>
          <w:tcPr>
            <w:tcW w:w="6738" w:type="dxa"/>
            <w:tcBorders>
              <w:top w:val="single" w:sz="4" w:space="0" w:color="000000"/>
              <w:start w:val="single" w:sz="4" w:space="0" w:color="000000"/>
              <w:bottom w:val="single" w:sz="4" w:space="0" w:color="000000"/>
            </w:tcBorders>
            <w:vAlign w:val="center"/>
          </w:tcPr>
          <w:p>
            <w:pPr>
              <w:pStyle w:val="Normal"/>
              <w:spacing w:lineRule="auto" w:line="30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Обзор литературы по теме работы</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01.11 – 25.11</w:t>
            </w:r>
          </w:p>
        </w:tc>
      </w:tr>
      <w:tr>
        <w:trPr>
          <w:trHeight w:val="23" w:hRule="atLeast"/>
        </w:trPr>
        <w:tc>
          <w:tcPr>
            <w:tcW w:w="646" w:type="dxa"/>
            <w:tcBorders>
              <w:top w:val="single" w:sz="4" w:space="0" w:color="000000"/>
              <w:start w:val="single" w:sz="4" w:space="0" w:color="000000"/>
              <w:bottom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c>
          <w:tcPr>
            <w:tcW w:w="6738" w:type="dxa"/>
            <w:tcBorders>
              <w:top w:val="single" w:sz="4" w:space="0" w:color="000000"/>
              <w:start w:val="single" w:sz="4" w:space="0" w:color="000000"/>
              <w:bottom w:val="single" w:sz="4" w:space="0" w:color="000000"/>
            </w:tcBorders>
            <w:vAlign w:val="center"/>
          </w:tcPr>
          <w:p>
            <w:pPr>
              <w:pStyle w:val="Normal"/>
              <w:spacing w:lineRule="auto" w:line="30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Выбор метода решения</w:t>
            </w:r>
          </w:p>
        </w:tc>
        <w:tc>
          <w:tcPr>
            <w:tcW w:w="18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26.11 –05.12</w:t>
            </w:r>
          </w:p>
        </w:tc>
      </w:tr>
    </w:tbl>
    <w:p>
      <w:pPr>
        <w:pStyle w:val="Normal"/>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tbl>
      <w:tblPr>
        <w:tblW w:w="4950" w:type="pct"/>
        <w:jc w:val="start"/>
        <w:tblInd w:w="-108" w:type="dxa"/>
        <w:tblLayout w:type="fixed"/>
        <w:tblCellMar>
          <w:top w:w="0" w:type="dxa"/>
          <w:start w:w="108" w:type="dxa"/>
          <w:bottom w:w="0" w:type="dxa"/>
          <w:end w:w="108" w:type="dxa"/>
        </w:tblCellMar>
        <w:tblLook w:val="0000" w:noHBand="0" w:noVBand="0" w:firstColumn="0" w:lastRow="0" w:lastColumn="0" w:firstRow="0"/>
      </w:tblPr>
      <w:tblGrid>
        <w:gridCol w:w="2204"/>
        <w:gridCol w:w="2204"/>
        <w:gridCol w:w="2155"/>
        <w:gridCol w:w="2698"/>
      </w:tblGrid>
      <w:tr>
        <w:trPr>
          <w:trHeight w:val="284" w:hRule="atLeast"/>
        </w:trPr>
        <w:tc>
          <w:tcPr>
            <w:tcW w:w="2204" w:type="dxa"/>
            <w:tcBorders/>
            <w:vAlign w:val="bottom"/>
          </w:tcPr>
          <w:p>
            <w:pPr>
              <w:pStyle w:val="Normal"/>
              <w:rPr>
                <w:rFonts w:ascii="Times New Roman" w:hAnsi="Times New Roman" w:cs="Times New Roman"/>
                <w:sz w:val="28"/>
                <w:szCs w:val="28"/>
              </w:rPr>
            </w:pPr>
            <w:r>
              <w:rPr>
                <w:rFonts w:cs="Times New Roman" w:ascii="Times New Roman" w:hAnsi="Times New Roman"/>
                <w:sz w:val="28"/>
                <w:szCs w:val="28"/>
              </w:rPr>
              <w:t>Студент</w:t>
            </w:r>
          </w:p>
        </w:tc>
        <w:tc>
          <w:tcPr>
            <w:tcW w:w="2204" w:type="dxa"/>
            <w:tcBorders/>
            <w:vAlign w:val="bottom"/>
          </w:tcPr>
          <w:p>
            <w:pPr>
              <w:pStyle w:val="Normal"/>
              <w:rPr>
                <w:rFonts w:ascii="Times New Roman" w:hAnsi="Times New Roman" w:cs="Times New Roman"/>
                <w:sz w:val="28"/>
                <w:szCs w:val="28"/>
              </w:rPr>
            </w:pPr>
            <w:r>
              <w:rPr>
                <w:rFonts w:cs="Times New Roman" w:ascii="Times New Roman" w:hAnsi="Times New Roman"/>
                <w:sz w:val="28"/>
                <w:szCs w:val="28"/>
              </w:rPr>
            </w:r>
          </w:p>
        </w:tc>
        <w:tc>
          <w:tcPr>
            <w:tcW w:w="2155" w:type="dxa"/>
            <w:tcBorders>
              <w:bottom w:val="single" w:sz="4" w:space="0" w:color="000000"/>
            </w:tcBorders>
            <w:vAlign w:val="bottom"/>
          </w:tcPr>
          <w:p>
            <w:pPr>
              <w:pStyle w:val="Normal"/>
              <w:snapToGrid w:val="false"/>
              <w:rPr>
                <w:rFonts w:ascii="Times New Roman" w:hAnsi="Times New Roman" w:cs="Times New Roman"/>
                <w:sz w:val="28"/>
                <w:szCs w:val="28"/>
              </w:rPr>
            </w:pPr>
            <w:r>
              <w:rPr>
                <w:rFonts w:cs="Times New Roman" w:ascii="Times New Roman" w:hAnsi="Times New Roman"/>
                <w:sz w:val="28"/>
                <w:szCs w:val="28"/>
              </w:rPr>
            </w:r>
          </w:p>
        </w:tc>
        <w:tc>
          <w:tcPr>
            <w:tcW w:w="2698" w:type="dxa"/>
            <w:tcBorders/>
            <w:vAlign w:val="bottom"/>
          </w:tcPr>
          <w:p>
            <w:pPr>
              <w:pStyle w:val="Normal"/>
              <w:jc w:val="center"/>
              <w:rPr>
                <w:rFonts w:ascii="Times New Roman" w:hAnsi="Times New Roman" w:cs="Times New Roman"/>
                <w:sz w:val="28"/>
                <w:szCs w:val="28"/>
              </w:rPr>
            </w:pPr>
            <w:r>
              <w:rPr>
                <w:rFonts w:cs="Times New Roman" w:ascii="Times New Roman" w:hAnsi="Times New Roman"/>
                <w:color w:themeColor="text1" w:val="000000"/>
                <w:sz w:val="28"/>
                <w:szCs w:val="28"/>
              </w:rPr>
              <w:t>Н.В. Поглазов</w:t>
            </w:r>
          </w:p>
        </w:tc>
      </w:tr>
      <w:tr>
        <w:trPr>
          <w:trHeight w:val="454" w:hRule="atLeast"/>
        </w:trPr>
        <w:tc>
          <w:tcPr>
            <w:tcW w:w="2204" w:type="dxa"/>
            <w:tcBorders/>
            <w:vAlign w:val="bottom"/>
          </w:tcPr>
          <w:p>
            <w:pPr>
              <w:pStyle w:val="Normal"/>
              <w:rPr>
                <w:rFonts w:ascii="Times New Roman" w:hAnsi="Times New Roman" w:cs="Times New Roman"/>
                <w:sz w:val="28"/>
                <w:szCs w:val="28"/>
              </w:rPr>
            </w:pPr>
            <w:r>
              <w:rPr>
                <w:rFonts w:cs="Times New Roman" w:ascii="Times New Roman" w:hAnsi="Times New Roman"/>
                <w:sz w:val="28"/>
              </w:rPr>
              <w:t>Руководитель</w:t>
            </w:r>
          </w:p>
        </w:tc>
        <w:tc>
          <w:tcPr>
            <w:tcW w:w="2204" w:type="dxa"/>
            <w:tcBorders/>
            <w:vAlign w:val="bottom"/>
          </w:tcPr>
          <w:p>
            <w:pPr>
              <w:pStyle w:val="Normal"/>
              <w:rPr>
                <w:rFonts w:ascii="Times New Roman" w:hAnsi="Times New Roman" w:cs="Times New Roman"/>
                <w:sz w:val="28"/>
                <w:szCs w:val="28"/>
              </w:rPr>
            </w:pPr>
            <w:r>
              <w:rPr>
                <w:rFonts w:cs="Times New Roman" w:ascii="Times New Roman" w:hAnsi="Times New Roman"/>
                <w:sz w:val="28"/>
              </w:rPr>
              <w:t>к.ф.-м.н., доцент</w:t>
            </w:r>
          </w:p>
        </w:tc>
        <w:tc>
          <w:tcPr>
            <w:tcW w:w="2155" w:type="dxa"/>
            <w:tcBorders>
              <w:top w:val="single" w:sz="4" w:space="0" w:color="000000"/>
              <w:bottom w:val="single" w:sz="4" w:space="0" w:color="000000"/>
            </w:tcBorders>
            <w:vAlign w:val="bottom"/>
          </w:tcPr>
          <w:p>
            <w:pPr>
              <w:pStyle w:val="Normal"/>
              <w:snapToGrid w:val="false"/>
              <w:rPr>
                <w:rFonts w:ascii="Times New Roman" w:hAnsi="Times New Roman" w:cs="Times New Roman"/>
                <w:sz w:val="28"/>
                <w:szCs w:val="28"/>
              </w:rPr>
            </w:pPr>
            <w:r>
              <w:rPr>
                <w:rFonts w:cs="Times New Roman" w:ascii="Times New Roman" w:hAnsi="Times New Roman"/>
                <w:sz w:val="28"/>
                <w:szCs w:val="28"/>
              </w:rPr>
            </w:r>
          </w:p>
        </w:tc>
        <w:tc>
          <w:tcPr>
            <w:tcW w:w="2698" w:type="dxa"/>
            <w:tcBorders/>
            <w:vAlign w:val="bottom"/>
          </w:tcPr>
          <w:p>
            <w:pPr>
              <w:pStyle w:val="Normal"/>
              <w:jc w:val="center"/>
              <w:rPr>
                <w:rFonts w:ascii="Times New Roman" w:hAnsi="Times New Roman" w:cs="Times New Roman"/>
              </w:rPr>
            </w:pPr>
            <w:r>
              <w:rPr>
                <w:rFonts w:cs="Times New Roman" w:ascii="Times New Roman" w:hAnsi="Times New Roman"/>
                <w:color w:themeColor="text1" w:val="000000"/>
                <w:sz w:val="28"/>
                <w:szCs w:val="28"/>
              </w:rPr>
              <w:t>А.Н. Медведев</w:t>
            </w:r>
          </w:p>
        </w:tc>
      </w:tr>
      <w:tr>
        <w:trPr>
          <w:trHeight w:val="219" w:hRule="exact"/>
        </w:trPr>
        <w:tc>
          <w:tcPr>
            <w:tcW w:w="2204" w:type="dxa"/>
            <w:tcBorders/>
          </w:tcPr>
          <w:p>
            <w:pPr>
              <w:pStyle w:val="Normal"/>
              <w:rPr>
                <w:rFonts w:ascii="Times New Roman" w:hAnsi="Times New Roman" w:cs="Times New Roman"/>
                <w:sz w:val="28"/>
              </w:rPr>
            </w:pPr>
            <w:r>
              <w:rPr>
                <w:rFonts w:cs="Times New Roman" w:ascii="Times New Roman" w:hAnsi="Times New Roman"/>
                <w:sz w:val="28"/>
              </w:rPr>
            </w:r>
          </w:p>
        </w:tc>
        <w:tc>
          <w:tcPr>
            <w:tcW w:w="2204" w:type="dxa"/>
            <w:tcBorders/>
          </w:tcPr>
          <w:p>
            <w:pPr>
              <w:pStyle w:val="Normal"/>
              <w:rPr>
                <w:rFonts w:ascii="Times New Roman" w:hAnsi="Times New Roman" w:cs="Times New Roman"/>
                <w:sz w:val="28"/>
              </w:rPr>
            </w:pPr>
            <w:r>
              <w:rPr>
                <w:rFonts w:cs="Times New Roman" w:ascii="Times New Roman" w:hAnsi="Times New Roman"/>
                <w:sz w:val="28"/>
              </w:rPr>
            </w:r>
          </w:p>
        </w:tc>
        <w:tc>
          <w:tcPr>
            <w:tcW w:w="2155" w:type="dxa"/>
            <w:tcBorders>
              <w:top w:val="single" w:sz="4" w:space="0" w:color="000000"/>
            </w:tcBorders>
            <w:vAlign w:val="bottom"/>
          </w:tcPr>
          <w:p>
            <w:pPr>
              <w:pStyle w:val="Normal"/>
              <w:snapToGrid w:val="false"/>
              <w:rPr>
                <w:rFonts w:ascii="Times New Roman" w:hAnsi="Times New Roman" w:cs="Times New Roman"/>
                <w:sz w:val="16"/>
                <w:szCs w:val="16"/>
              </w:rPr>
            </w:pPr>
            <w:r>
              <w:rPr>
                <w:rFonts w:cs="Times New Roman" w:ascii="Times New Roman" w:hAnsi="Times New Roman"/>
                <w:sz w:val="16"/>
                <w:szCs w:val="16"/>
              </w:rPr>
            </w:r>
          </w:p>
        </w:tc>
        <w:tc>
          <w:tcPr>
            <w:tcW w:w="2698" w:type="dxa"/>
            <w:tcBorders/>
            <w:vAlign w:val="bottom"/>
          </w:tcPr>
          <w:p>
            <w:pPr>
              <w:pStyle w:val="Normal"/>
              <w:snapToGrid w:val="false"/>
              <w:jc w:val="center"/>
              <w:rPr>
                <w:rFonts w:ascii="Times New Roman" w:hAnsi="Times New Roman" w:cs="Times New Roman"/>
                <w:color w:val="FF0000"/>
                <w:sz w:val="16"/>
                <w:szCs w:val="16"/>
              </w:rPr>
            </w:pPr>
            <w:r>
              <w:rPr>
                <w:rFonts w:cs="Times New Roman" w:ascii="Times New Roman" w:hAnsi="Times New Roman"/>
                <w:color w:val="FF0000"/>
                <w:sz w:val="16"/>
                <w:szCs w:val="16"/>
              </w:rPr>
            </w:r>
          </w:p>
        </w:tc>
      </w:tr>
    </w:tbl>
    <w:p>
      <w:pPr>
        <w:pStyle w:val="Normal"/>
        <w:spacing w:lineRule="auto" w:line="360"/>
        <w:jc w:val="center"/>
        <w:rPr>
          <w:rFonts w:ascii="Times New Roman" w:hAnsi="Times New Roman" w:cs="Times New Roman"/>
          <w:b/>
          <w:sz w:val="28"/>
          <w:szCs w:val="28"/>
        </w:rPr>
      </w:pPr>
      <w:r>
        <w:rPr>
          <w:rFonts w:cs="Times New Roman" w:ascii="Times New Roman" w:hAnsi="Times New Roman"/>
          <w:b/>
          <w:sz w:val="28"/>
          <w:szCs w:val="28"/>
        </w:rPr>
      </w:r>
    </w:p>
    <w:p>
      <w:pPr>
        <w:pStyle w:val="Normal"/>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b/>
          <w:sz w:val="28"/>
          <w:szCs w:val="28"/>
        </w:rPr>
        <w:t>РЕФЕРАТ</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Пояснительная записка 24 стр., 1 табл., 10 ист.</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МЕХАНИЗМ ВНИМАНИЯ, МЕРА СХОДСТВА ТВЕРСКИ, ПАРАМЕТРИЧЕСКАЯ ЭФФЕКТИВНОСТЬ</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b/>
          <w:sz w:val="28"/>
          <w:szCs w:val="28"/>
        </w:rPr>
        <w:t>Объектом исследования</w:t>
      </w:r>
      <w:r>
        <w:rPr>
          <w:rFonts w:cs="Times New Roman" w:ascii="Times New Roman" w:hAnsi="Times New Roman"/>
          <w:sz w:val="28"/>
          <w:szCs w:val="28"/>
        </w:rPr>
        <w:t xml:space="preserve"> являются механизмы внимания в нейросетевых моделях для обработки естественного языка.</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b/>
          <w:sz w:val="28"/>
          <w:szCs w:val="28"/>
        </w:rPr>
        <w:t>Предметом исследования</w:t>
      </w:r>
      <w:r>
        <w:rPr>
          <w:rFonts w:cs="Times New Roman" w:ascii="Times New Roman" w:hAnsi="Times New Roman"/>
          <w:sz w:val="28"/>
          <w:szCs w:val="28"/>
        </w:rPr>
        <w:t xml:space="preserve"> является зависимость параметрической эффективности языковых моделей от метода вычисления весов внимания на основе асимметричной меры сходства Тверски.</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r>
      <w:r>
        <w:rPr>
          <w:rFonts w:cs="Times New Roman" w:ascii="Times New Roman" w:hAnsi="Times New Roman"/>
          <w:b/>
          <w:sz w:val="28"/>
          <w:szCs w:val="28"/>
        </w:rPr>
        <w:t>Цель работы:</w:t>
      </w:r>
      <w:r>
        <w:rPr>
          <w:rFonts w:cs="Times New Roman" w:ascii="Times New Roman" w:hAnsi="Times New Roman"/>
          <w:sz w:val="28"/>
          <w:szCs w:val="28"/>
        </w:rPr>
        <w:t xml:space="preserve"> исследование влияния интеграции асимметричной меры сходства Тверски в механизм внимания на параметрическую эффективность языковых моделей архитектуры Transformer.</w:t>
      </w:r>
    </w:p>
    <w:p>
      <w:pPr>
        <w:pStyle w:val="Normal"/>
        <w:spacing w:lineRule="auto" w:line="360"/>
        <w:ind w:firstLine="708"/>
        <w:jc w:val="both"/>
        <w:rPr>
          <w:rFonts w:ascii="Times New Roman" w:hAnsi="Times New Roman" w:cs="Times New Roman"/>
          <w:sz w:val="28"/>
          <w:szCs w:val="28"/>
        </w:rPr>
      </w:pPr>
      <w:r>
        <w:rPr>
          <w:rFonts w:cs="Times New Roman" w:ascii="Times New Roman" w:hAnsi="Times New Roman"/>
          <w:sz w:val="28"/>
          <w:szCs w:val="28"/>
        </w:rPr>
        <w:t xml:space="preserve">Работа посвящена проблеме структурной оптимизации нейросетевых языковых моделей на базе архитектуры </w:t>
      </w:r>
      <w:r>
        <w:rPr>
          <w:rFonts w:cs="Times New Roman" w:ascii="Times New Roman" w:hAnsi="Times New Roman"/>
          <w:sz w:val="28"/>
          <w:szCs w:val="28"/>
          <w:lang w:val="en-US"/>
        </w:rPr>
        <w:t>Transformer</w:t>
      </w:r>
      <w:r>
        <w:rPr>
          <w:rFonts w:cs="Times New Roman" w:ascii="Times New Roman" w:hAnsi="Times New Roman"/>
          <w:sz w:val="28"/>
          <w:szCs w:val="28"/>
        </w:rPr>
        <w:t xml:space="preserve">. Рассмотрено противоречие между симметричной природой стандартного механизма внимания и необходимостью моделирования направленных семантических связей в тексте, что вынуждает использовать дополнительные матрицы проекций. В статье проведен обзор существующих аналогов и выявлены их ограничения. Предложен метод </w:t>
      </w:r>
      <w:r>
        <w:rPr>
          <w:rFonts w:cs="Times New Roman" w:ascii="Times New Roman" w:hAnsi="Times New Roman"/>
          <w:sz w:val="28"/>
          <w:szCs w:val="28"/>
          <w:lang w:val="en-US"/>
        </w:rPr>
        <w:t>Tversky</w:t>
      </w:r>
      <w:r>
        <w:rPr>
          <w:rFonts w:cs="Times New Roman" w:ascii="Times New Roman" w:hAnsi="Times New Roman"/>
          <w:sz w:val="28"/>
          <w:szCs w:val="28"/>
        </w:rPr>
        <w:t xml:space="preserve"> </w:t>
      </w:r>
      <w:r>
        <w:rPr>
          <w:rFonts w:cs="Times New Roman" w:ascii="Times New Roman" w:hAnsi="Times New Roman"/>
          <w:sz w:val="28"/>
          <w:szCs w:val="28"/>
          <w:lang w:val="en-US"/>
        </w:rPr>
        <w:t>Self</w:t>
      </w:r>
      <w:r>
        <w:rPr>
          <w:rFonts w:cs="Times New Roman" w:ascii="Times New Roman" w:hAnsi="Times New Roman"/>
          <w:sz w:val="28"/>
          <w:szCs w:val="28"/>
        </w:rPr>
        <w:t>-</w:t>
      </w:r>
      <w:r>
        <w:rPr>
          <w:rFonts w:cs="Times New Roman" w:ascii="Times New Roman" w:hAnsi="Times New Roman"/>
          <w:sz w:val="28"/>
          <w:szCs w:val="28"/>
          <w:lang w:val="en-US"/>
        </w:rPr>
        <w:t>Attention</w:t>
      </w:r>
      <w:r>
        <w:rPr>
          <w:rFonts w:cs="Times New Roman" w:ascii="Times New Roman" w:hAnsi="Times New Roman"/>
          <w:sz w:val="28"/>
          <w:szCs w:val="28"/>
        </w:rPr>
        <w:t>, который, благодаря использованию дифференцируемой теоретико-множественной меры сходства, позволяет использовать единую матрицу проекции для запросов и ключей и глобальный банк признаков, потенциально сокращая количество параметров слоя внимания. В результате была разработана математическая модель и методика сравнительного экспериментального исследования эффективности предложенного подхода.</w:t>
      </w:r>
    </w:p>
    <w:p>
      <w:pPr>
        <w:pStyle w:val="Normal"/>
        <w:spacing w:lineRule="auto" w:line="360"/>
        <w:rPr>
          <w:rFonts w:ascii="Times New Roman" w:hAnsi="Times New Roman" w:cs="Times New Roman"/>
        </w:rPr>
      </w:pPr>
      <w:r>
        <w:rPr>
          <w:rFonts w:cs="Times New Roman" w:ascii="Times New Roman" w:hAnsi="Times New Roman"/>
        </w:rPr>
      </w:r>
      <w:r>
        <w:br w:type="page"/>
      </w:r>
    </w:p>
    <w:p>
      <w:pPr>
        <w:pStyle w:val="Normal"/>
        <w:spacing w:lineRule="auto" w:line="360" w:before="0" w:after="0"/>
        <w:jc w:val="center"/>
        <w:rPr>
          <w:rFonts w:ascii="Times New Roman" w:hAnsi="Times New Roman" w:cs="Times New Roman"/>
          <w:sz w:val="28"/>
          <w:szCs w:val="28"/>
          <w:lang w:val="en-US"/>
        </w:rPr>
      </w:pPr>
      <w:r>
        <w:rPr>
          <w:rFonts w:cs="Times New Roman" w:ascii="Times New Roman" w:hAnsi="Times New Roman"/>
          <w:b/>
          <w:sz w:val="28"/>
          <w:szCs w:val="28"/>
          <w:lang w:val="en-US"/>
        </w:rPr>
        <w:t>ABSTRACT</w:t>
      </w:r>
    </w:p>
    <w:p>
      <w:pPr>
        <w:pStyle w:val="BodyText"/>
        <w:rPr>
          <w:lang w:val="en-US"/>
        </w:rPr>
      </w:pPr>
      <w:r>
        <w:rPr>
          <w:lang w:val="en-US"/>
        </w:rPr>
        <w:t>The work is devoted to the problem of structural optimization of neural network language models based on the Transformer architecture. The contradiction between the symmetric nature of the standard attention mechanism and the necessity of modeling directed semantic connections in text, which forces the usage of redundant projection matrices, is examined. An overview of existing analogues is conducted in the article, and their limitations are identified. The Tversky Self-Attention method is proposed, which, with the use of a differentiable set-theoretic metric, allows using a single projection matrix for queries and keys and a global feature bank, potentially reducing the number of parameters in the attention layer. As a result, a mathematical model and a methodology for a comparative experimental study of the proposed approach's effectiveness were developed.</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r>
        <w:br w:type="page"/>
      </w:r>
    </w:p>
    <w:p>
      <w:pPr>
        <w:pStyle w:val="Normal"/>
        <w:spacing w:lineRule="auto" w:line="360" w:before="0" w:after="0"/>
        <w:jc w:val="center"/>
        <w:rPr>
          <w:rFonts w:ascii="Times New Roman" w:hAnsi="Times New Roman" w:cs="Times New Roman"/>
          <w:b/>
          <w:sz w:val="28"/>
        </w:rPr>
      </w:pPr>
      <w:r>
        <w:rPr>
          <w:rFonts w:cs="Times New Roman" w:ascii="Times New Roman" w:hAnsi="Times New Roman"/>
          <w:b/>
          <w:sz w:val="28"/>
        </w:rPr>
        <w:t>СОДЕРЖАНИЕ</w:t>
      </w:r>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r>
            <w:fldChar w:fldCharType="begin"/>
          </w:r>
          <w:r>
            <w:rPr>
              <w:rStyle w:val="IndexLink"/>
              <w:webHidden/>
            </w:rPr>
            <w:instrText xml:space="preserve"> TOC \z \o "1-4" \u \h</w:instrText>
          </w:r>
          <w:r>
            <w:rPr>
              <w:rStyle w:val="IndexLink"/>
              <w:webHidden/>
            </w:rPr>
            <w:fldChar w:fldCharType="separate"/>
          </w:r>
          <w:hyperlink w:anchor="_Toc216534262">
            <w:r>
              <w:rPr>
                <w:rStyle w:val="IndexLink"/>
                <w:webHidden/>
              </w:rPr>
              <w:t>ОПРЕДЕЛЕНИЯ, ОБОЗНАЧЕНИЯ И СОКРАЩЕНИЯ</w:t>
            </w:r>
            <w:r>
              <w:rPr>
                <w:webHidden/>
              </w:rPr>
              <w:fldChar w:fldCharType="begin"/>
            </w:r>
            <w:r>
              <w:rPr>
                <w:webHidden/>
              </w:rPr>
              <w:instrText xml:space="preserve">PAGEREF _Toc216534262 \h</w:instrText>
            </w:r>
            <w:r>
              <w:rPr>
                <w:webHidden/>
              </w:rPr>
              <w:fldChar w:fldCharType="separate"/>
            </w:r>
            <w:r>
              <w:rPr>
                <w:rStyle w:val="IndexLink"/>
                <w:vanish w:val="false"/>
              </w:rPr>
              <w:tab/>
              <w:t>7</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3">
            <w:r>
              <w:rPr>
                <w:rStyle w:val="IndexLink"/>
                <w:webHidden/>
              </w:rPr>
              <w:t>Сокращения и определения</w:t>
            </w:r>
            <w:r>
              <w:rPr>
                <w:webHidden/>
              </w:rPr>
              <w:fldChar w:fldCharType="begin"/>
            </w:r>
            <w:r>
              <w:rPr>
                <w:webHidden/>
              </w:rPr>
              <w:instrText xml:space="preserve">PAGEREF _Toc216534263 \h</w:instrText>
            </w:r>
            <w:r>
              <w:rPr>
                <w:webHidden/>
              </w:rPr>
              <w:fldChar w:fldCharType="separate"/>
            </w:r>
            <w:r>
              <w:rPr>
                <w:rStyle w:val="IndexLink"/>
                <w:vanish w:val="false"/>
              </w:rPr>
              <w:tab/>
              <w:t>7</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4">
            <w:r>
              <w:rPr>
                <w:rStyle w:val="IndexLink"/>
                <w:webHidden/>
              </w:rPr>
              <w:t>Обозначения</w:t>
            </w:r>
            <w:r>
              <w:rPr>
                <w:webHidden/>
              </w:rPr>
              <w:fldChar w:fldCharType="begin"/>
            </w:r>
            <w:r>
              <w:rPr>
                <w:webHidden/>
              </w:rPr>
              <w:instrText xml:space="preserve">PAGEREF _Toc216534264 \h</w:instrText>
            </w:r>
            <w:r>
              <w:rPr>
                <w:webHidden/>
              </w:rPr>
              <w:fldChar w:fldCharType="separate"/>
            </w:r>
            <w:r>
              <w:rPr>
                <w:rStyle w:val="IndexLink"/>
                <w:vanish w:val="false"/>
              </w:rPr>
              <w:tab/>
              <w:t>7</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5">
            <w:r>
              <w:rPr>
                <w:rStyle w:val="IndexLink"/>
                <w:webHidden/>
              </w:rPr>
              <w:t>ВВЕДЕНИЕ</w:t>
            </w:r>
            <w:r>
              <w:rPr>
                <w:webHidden/>
              </w:rPr>
              <w:fldChar w:fldCharType="begin"/>
            </w:r>
            <w:r>
              <w:rPr>
                <w:webHidden/>
              </w:rPr>
              <w:instrText xml:space="preserve">PAGEREF _Toc216534265 \h</w:instrText>
            </w:r>
            <w:r>
              <w:rPr>
                <w:webHidden/>
              </w:rPr>
              <w:fldChar w:fldCharType="separate"/>
            </w:r>
            <w:r>
              <w:rPr>
                <w:rStyle w:val="IndexLink"/>
                <w:vanish w:val="false"/>
              </w:rPr>
              <w:tab/>
              <w:t>8</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6">
            <w:r>
              <w:rPr>
                <w:rStyle w:val="IndexLink"/>
                <w:webHidden/>
              </w:rPr>
              <w:t>1 ОБЗОР ПРЕДМЕТНОЙ ОБЛАСТИ</w:t>
            </w:r>
            <w:r>
              <w:rPr>
                <w:webHidden/>
              </w:rPr>
              <w:fldChar w:fldCharType="begin"/>
            </w:r>
            <w:r>
              <w:rPr>
                <w:webHidden/>
              </w:rPr>
              <w:instrText xml:space="preserve">PAGEREF _Toc216534266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7">
            <w:r>
              <w:rPr>
                <w:rStyle w:val="IndexLink"/>
                <w:webHidden/>
              </w:rPr>
              <w:t>1.1 Принцип отбора аналогов</w:t>
            </w:r>
            <w:r>
              <w:rPr>
                <w:webHidden/>
              </w:rPr>
              <w:fldChar w:fldCharType="begin"/>
            </w:r>
            <w:r>
              <w:rPr>
                <w:webHidden/>
              </w:rPr>
              <w:instrText xml:space="preserve">PAGEREF _Toc216534267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8">
            <w:r>
              <w:rPr>
                <w:rStyle w:val="IndexLink"/>
                <w:webHidden/>
                <w:lang w:val="en-US"/>
              </w:rPr>
              <w:t xml:space="preserve">1.2 </w:t>
            </w:r>
            <w:r>
              <w:rPr>
                <w:rStyle w:val="IndexLink"/>
              </w:rPr>
              <w:t>Обзор</w:t>
            </w:r>
            <w:r>
              <w:rPr>
                <w:rStyle w:val="IndexLink"/>
                <w:lang w:val="en-US"/>
              </w:rPr>
              <w:t xml:space="preserve"> </w:t>
            </w:r>
            <w:r>
              <w:rPr>
                <w:rStyle w:val="IndexLink"/>
              </w:rPr>
              <w:t>литературы</w:t>
            </w:r>
            <w:r>
              <w:rPr>
                <w:webHidden/>
              </w:rPr>
              <w:fldChar w:fldCharType="begin"/>
            </w:r>
            <w:r>
              <w:rPr>
                <w:webHidden/>
              </w:rPr>
              <w:instrText xml:space="preserve">PAGEREF _Toc216534268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69">
            <w:r>
              <w:rPr>
                <w:rStyle w:val="IndexLink"/>
                <w:webHidden/>
              </w:rPr>
              <w:t xml:space="preserve">1.2.1 </w:t>
            </w:r>
            <w:r>
              <w:rPr>
                <w:rStyle w:val="IndexLink"/>
                <w:lang w:val="en-US"/>
              </w:rPr>
              <w:t>Scaled Dot-Product Attention</w:t>
            </w:r>
            <w:r>
              <w:rPr>
                <w:webHidden/>
              </w:rPr>
              <w:fldChar w:fldCharType="begin"/>
            </w:r>
            <w:r>
              <w:rPr>
                <w:webHidden/>
              </w:rPr>
              <w:instrText xml:space="preserve">PAGEREF _Toc216534269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0">
            <w:r>
              <w:rPr>
                <w:rStyle w:val="IndexLink"/>
                <w:webHidden/>
              </w:rPr>
              <w:t>1.2.2 Cottention (Cosine Attention)</w:t>
            </w:r>
            <w:r>
              <w:rPr>
                <w:webHidden/>
              </w:rPr>
              <w:fldChar w:fldCharType="begin"/>
            </w:r>
            <w:r>
              <w:rPr>
                <w:webHidden/>
              </w:rPr>
              <w:instrText xml:space="preserve">PAGEREF _Toc216534270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1">
            <w:r>
              <w:rPr>
                <w:rStyle w:val="IndexLink"/>
                <w:webHidden/>
              </w:rPr>
              <w:t>1.2.3 Elliptical Attention</w:t>
            </w:r>
            <w:r>
              <w:rPr>
                <w:webHidden/>
              </w:rPr>
              <w:fldChar w:fldCharType="begin"/>
            </w:r>
            <w:r>
              <w:rPr>
                <w:webHidden/>
              </w:rPr>
              <w:instrText xml:space="preserve">PAGEREF _Toc216534271 \h</w:instrText>
            </w:r>
            <w:r>
              <w:rPr>
                <w:webHidden/>
              </w:rPr>
              <w:fldChar w:fldCharType="separate"/>
            </w:r>
            <w:r>
              <w:rPr>
                <w:rStyle w:val="IndexLink"/>
                <w:vanish w:val="false"/>
              </w:rPr>
              <w:tab/>
              <w:t>11</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2">
            <w:r>
              <w:rPr>
                <w:rStyle w:val="IndexLink"/>
                <w:webHidden/>
              </w:rPr>
              <w:t>1.2.4 Synthesizer</w:t>
            </w:r>
            <w:r>
              <w:rPr>
                <w:webHidden/>
              </w:rPr>
              <w:fldChar w:fldCharType="begin"/>
            </w:r>
            <w:r>
              <w:rPr>
                <w:webHidden/>
              </w:rPr>
              <w:instrText xml:space="preserve">PAGEREF _Toc216534272 \h</w:instrText>
            </w:r>
            <w:r>
              <w:rPr>
                <w:webHidden/>
              </w:rPr>
              <w:fldChar w:fldCharType="separate"/>
            </w:r>
            <w:r>
              <w:rPr>
                <w:rStyle w:val="IndexLink"/>
                <w:vanish w:val="false"/>
              </w:rPr>
              <w:tab/>
              <w:t>12</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3">
            <w:r>
              <w:rPr>
                <w:rStyle w:val="IndexLink"/>
                <w:webHidden/>
              </w:rPr>
              <w:t>1.2.5 Reformer</w:t>
            </w:r>
            <w:r>
              <w:rPr>
                <w:webHidden/>
              </w:rPr>
              <w:fldChar w:fldCharType="begin"/>
            </w:r>
            <w:r>
              <w:rPr>
                <w:webHidden/>
              </w:rPr>
              <w:instrText xml:space="preserve">PAGEREF _Toc216534273 \h</w:instrText>
            </w:r>
            <w:r>
              <w:rPr>
                <w:webHidden/>
              </w:rPr>
              <w:fldChar w:fldCharType="separate"/>
            </w:r>
            <w:r>
              <w:rPr>
                <w:rStyle w:val="IndexLink"/>
                <w:vanish w:val="false"/>
              </w:rPr>
              <w:tab/>
              <w:t>12</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4">
            <w:r>
              <w:rPr>
                <w:rStyle w:val="IndexLink"/>
                <w:webHidden/>
              </w:rPr>
              <w:t>1.3 Критерии сравнения аналогов</w:t>
            </w:r>
            <w:r>
              <w:rPr>
                <w:webHidden/>
              </w:rPr>
              <w:fldChar w:fldCharType="begin"/>
            </w:r>
            <w:r>
              <w:rPr>
                <w:webHidden/>
              </w:rPr>
              <w:instrText xml:space="preserve">PAGEREF _Toc216534274 \h</w:instrText>
            </w:r>
            <w:r>
              <w:rPr>
                <w:webHidden/>
              </w:rPr>
              <w:fldChar w:fldCharType="separate"/>
            </w:r>
            <w:r>
              <w:rPr>
                <w:rStyle w:val="IndexLink"/>
                <w:vanish w:val="false"/>
              </w:rPr>
              <w:tab/>
              <w:t>13</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5">
            <w:r>
              <w:rPr>
                <w:rStyle w:val="IndexLink"/>
                <w:webHidden/>
              </w:rPr>
              <w:t>1.3.1 Математическая природа меры сходства</w:t>
            </w:r>
            <w:r>
              <w:rPr>
                <w:webHidden/>
              </w:rPr>
              <w:fldChar w:fldCharType="begin"/>
            </w:r>
            <w:r>
              <w:rPr>
                <w:webHidden/>
              </w:rPr>
              <w:instrText xml:space="preserve">PAGEREF _Toc216534275 \h</w:instrText>
            </w:r>
            <w:r>
              <w:rPr>
                <w:webHidden/>
              </w:rPr>
              <w:fldChar w:fldCharType="separate"/>
            </w:r>
            <w:r>
              <w:rPr>
                <w:rStyle w:val="IndexLink"/>
                <w:vanish w:val="false"/>
              </w:rPr>
              <w:tab/>
              <w:t>13</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6">
            <w:r>
              <w:rPr>
                <w:rStyle w:val="IndexLink"/>
                <w:webHidden/>
              </w:rPr>
              <w:t>1.3.2 Параметрическая сложность вычисления весов</w:t>
            </w:r>
            <w:r>
              <w:rPr>
                <w:webHidden/>
              </w:rPr>
              <w:fldChar w:fldCharType="begin"/>
            </w:r>
            <w:r>
              <w:rPr>
                <w:webHidden/>
              </w:rPr>
              <w:instrText xml:space="preserve">PAGEREF _Toc216534276 \h</w:instrText>
            </w:r>
            <w:r>
              <w:rPr>
                <w:webHidden/>
              </w:rPr>
              <w:fldChar w:fldCharType="separate"/>
            </w:r>
            <w:r>
              <w:rPr>
                <w:rStyle w:val="IndexLink"/>
                <w:vanish w:val="false"/>
              </w:rPr>
              <w:tab/>
              <w:t>13</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7">
            <w:r>
              <w:rPr>
                <w:rStyle w:val="IndexLink"/>
                <w:webHidden/>
              </w:rPr>
              <w:t>1.3.3 Симметрия базовой функции</w:t>
            </w:r>
            <w:r>
              <w:rPr>
                <w:webHidden/>
              </w:rPr>
              <w:fldChar w:fldCharType="begin"/>
            </w:r>
            <w:r>
              <w:rPr>
                <w:webHidden/>
              </w:rPr>
              <w:instrText xml:space="preserve">PAGEREF _Toc216534277 \h</w:instrText>
            </w:r>
            <w:r>
              <w:rPr>
                <w:webHidden/>
              </w:rPr>
              <w:fldChar w:fldCharType="separate"/>
            </w:r>
            <w:r>
              <w:rPr>
                <w:rStyle w:val="IndexLink"/>
                <w:vanish w:val="false"/>
              </w:rPr>
              <w:tab/>
              <w:t>13</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8">
            <w:r>
              <w:rPr>
                <w:rStyle w:val="IndexLink"/>
                <w:webHidden/>
              </w:rPr>
              <w:t>1.4 Таблица сравнения аналогов</w:t>
            </w:r>
            <w:r>
              <w:rPr>
                <w:webHidden/>
              </w:rPr>
              <w:fldChar w:fldCharType="begin"/>
            </w:r>
            <w:r>
              <w:rPr>
                <w:webHidden/>
              </w:rPr>
              <w:instrText xml:space="preserve">PAGEREF _Toc216534278 \h</w:instrText>
            </w:r>
            <w:r>
              <w:rPr>
                <w:webHidden/>
              </w:rPr>
              <w:fldChar w:fldCharType="separate"/>
            </w:r>
            <w:r>
              <w:rPr>
                <w:rStyle w:val="IndexLink"/>
                <w:vanish w:val="false"/>
              </w:rPr>
              <w:tab/>
              <w:t>14</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79">
            <w:r>
              <w:rPr>
                <w:rStyle w:val="IndexLink"/>
                <w:webHidden/>
              </w:rPr>
              <w:t>1.5 Выводы по итогам сравнения</w:t>
            </w:r>
            <w:r>
              <w:rPr>
                <w:webHidden/>
              </w:rPr>
              <w:fldChar w:fldCharType="begin"/>
            </w:r>
            <w:r>
              <w:rPr>
                <w:webHidden/>
              </w:rPr>
              <w:instrText xml:space="preserve">PAGEREF _Toc216534279 \h</w:instrText>
            </w:r>
            <w:r>
              <w:rPr>
                <w:webHidden/>
              </w:rPr>
              <w:fldChar w:fldCharType="separate"/>
            </w:r>
            <w:r>
              <w:rPr>
                <w:rStyle w:val="IndexLink"/>
                <w:vanish w:val="false"/>
              </w:rPr>
              <w:tab/>
              <w:t>14</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0">
            <w:r>
              <w:rPr>
                <w:rStyle w:val="IndexLink"/>
                <w:webHidden/>
              </w:rPr>
              <w:t>2. ВЫБОР МЕТОДА РЕШЕНИЯ</w:t>
            </w:r>
            <w:r>
              <w:rPr>
                <w:webHidden/>
              </w:rPr>
              <w:fldChar w:fldCharType="begin"/>
            </w:r>
            <w:r>
              <w:rPr>
                <w:webHidden/>
              </w:rPr>
              <w:instrText xml:space="preserve">PAGEREF _Toc216534280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1">
            <w:r>
              <w:rPr>
                <w:rStyle w:val="IndexLink"/>
                <w:webHidden/>
              </w:rPr>
              <w:t>2.1 Обоснование выбранного решения</w:t>
            </w:r>
            <w:r>
              <w:rPr>
                <w:webHidden/>
              </w:rPr>
              <w:fldChar w:fldCharType="begin"/>
            </w:r>
            <w:r>
              <w:rPr>
                <w:webHidden/>
              </w:rPr>
              <w:instrText xml:space="preserve">PAGEREF _Toc216534281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2">
            <w:r>
              <w:rPr>
                <w:rStyle w:val="IndexLink"/>
                <w:webHidden/>
              </w:rPr>
              <w:t>2.2 Основные теоретические положения</w:t>
            </w:r>
            <w:r>
              <w:rPr>
                <w:webHidden/>
              </w:rPr>
              <w:fldChar w:fldCharType="begin"/>
            </w:r>
            <w:r>
              <w:rPr>
                <w:webHidden/>
              </w:rPr>
              <w:instrText xml:space="preserve">PAGEREF _Toc216534282 \h</w:instrText>
            </w:r>
            <w:r>
              <w:rPr>
                <w:webHidden/>
              </w:rPr>
              <w:fldChar w:fldCharType="separate"/>
            </w:r>
            <w:r>
              <w:rPr>
                <w:rStyle w:val="IndexLink"/>
                <w:vanish w:val="false"/>
              </w:rPr>
              <w:tab/>
              <w:t>17</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3">
            <w:r>
              <w:rPr>
                <w:rStyle w:val="IndexLink"/>
                <w:webHidden/>
              </w:rPr>
              <w:t>2.3 Описание метода решения</w:t>
            </w:r>
            <w:r>
              <w:rPr>
                <w:webHidden/>
              </w:rPr>
              <w:fldChar w:fldCharType="begin"/>
            </w:r>
            <w:r>
              <w:rPr>
                <w:webHidden/>
              </w:rPr>
              <w:instrText xml:space="preserve">PAGEREF _Toc216534283 \h</w:instrText>
            </w:r>
            <w:r>
              <w:rPr>
                <w:webHidden/>
              </w:rPr>
              <w:fldChar w:fldCharType="separate"/>
            </w:r>
            <w:r>
              <w:rPr>
                <w:rStyle w:val="IndexLink"/>
                <w:vanish w:val="false"/>
              </w:rPr>
              <w:tab/>
              <w:t>18</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4">
            <w:r>
              <w:rPr>
                <w:rStyle w:val="IndexLink"/>
                <w:webHidden/>
              </w:rPr>
              <w:t>2.3 Методика экспериментального исследования</w:t>
            </w:r>
            <w:r>
              <w:rPr>
                <w:webHidden/>
              </w:rPr>
              <w:fldChar w:fldCharType="begin"/>
            </w:r>
            <w:r>
              <w:rPr>
                <w:webHidden/>
              </w:rPr>
              <w:instrText xml:space="preserve">PAGEREF _Toc216534284 \h</w:instrText>
            </w:r>
            <w:r>
              <w:rPr>
                <w:webHidden/>
              </w:rPr>
              <w:fldChar w:fldCharType="separate"/>
            </w:r>
            <w:r>
              <w:rPr>
                <w:rStyle w:val="IndexLink"/>
                <w:vanish w:val="false"/>
              </w:rPr>
              <w:tab/>
              <w:t>19</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5">
            <w:r>
              <w:rPr>
                <w:rStyle w:val="IndexLink"/>
                <w:webHidden/>
              </w:rPr>
              <w:t>ЗАКЛЮЧЕНИЕ</w:t>
            </w:r>
            <w:r>
              <w:rPr>
                <w:webHidden/>
              </w:rPr>
              <w:fldChar w:fldCharType="begin"/>
            </w:r>
            <w:r>
              <w:rPr>
                <w:webHidden/>
              </w:rPr>
              <w:instrText xml:space="preserve">PAGEREF _Toc216534285 \h</w:instrText>
            </w:r>
            <w:r>
              <w:rPr>
                <w:webHidden/>
              </w:rPr>
              <w:fldChar w:fldCharType="separate"/>
            </w:r>
            <w:r>
              <w:rPr>
                <w:rStyle w:val="IndexLink"/>
                <w:vanish w:val="false"/>
              </w:rPr>
              <w:tab/>
              <w:t>21</w:t>
            </w:r>
            <w:r>
              <w:rPr>
                <w:webHidden/>
              </w:rPr>
              <w:fldChar w:fldCharType="end"/>
            </w:r>
          </w:hyperlink>
        </w:p>
        <w:p>
          <w:pPr>
            <w:pStyle w:val="TOC1"/>
            <w:rPr>
              <w:rFonts w:ascii="Calibri" w:hAnsi="Calibri" w:eastAsia="" w:cs="" w:asciiTheme="minorHAnsi" w:cstheme="minorBidi" w:eastAsiaTheme="minorEastAsia" w:hAnsiTheme="minorHAnsi"/>
              <w:kern w:val="2"/>
              <w:sz w:val="24"/>
              <w:szCs w:val="24"/>
              <w:lang w:val="en-001" w:eastAsia="en-US" w:bidi="ar-SA"/>
              <w14:ligatures w14:val="standardContextual"/>
            </w:rPr>
          </w:pPr>
          <w:hyperlink w:anchor="_Toc216534286">
            <w:r>
              <w:rPr>
                <w:rStyle w:val="IndexLink"/>
                <w:webHidden/>
              </w:rPr>
              <w:t>СПИСОК ИСПОЛЬЗОВАННЫХ ИСТОЧНИКОВ</w:t>
            </w:r>
            <w:r>
              <w:rPr>
                <w:webHidden/>
              </w:rPr>
              <w:fldChar w:fldCharType="begin"/>
            </w:r>
            <w:r>
              <w:rPr>
                <w:webHidden/>
              </w:rPr>
              <w:instrText xml:space="preserve">PAGEREF _Toc216534286 \h</w:instrText>
            </w:r>
            <w:r>
              <w:rPr>
                <w:webHidden/>
              </w:rPr>
              <w:fldChar w:fldCharType="separate"/>
            </w:r>
            <w:r>
              <w:rPr>
                <w:rStyle w:val="IndexLink"/>
                <w:vanish w:val="false"/>
              </w:rPr>
              <w:tab/>
              <w:t>23</w:t>
            </w:r>
            <w:r>
              <w:rPr>
                <w:webHidden/>
              </w:rPr>
              <w:fldChar w:fldCharType="end"/>
            </w:r>
          </w:hyperlink>
          <w:r>
            <w:rPr>
              <w:rStyle w:val="IndexLink"/>
              <w:vanish w:val="false"/>
            </w:rPr>
            <w:fldChar w:fldCharType="end"/>
          </w:r>
        </w:p>
      </w:sdtContent>
    </w:sdt>
    <w:p>
      <w:pPr>
        <w:pStyle w:val="TOC1"/>
        <w:rPr>
          <w:lang w:val="en-US"/>
        </w:rPr>
      </w:pPr>
      <w:r>
        <w:rPr>
          <w:lang w:val="en-US"/>
        </w:rPr>
      </w:r>
      <w:r>
        <w:br w:type="page"/>
      </w:r>
    </w:p>
    <w:p>
      <w:pPr>
        <w:pStyle w:val="Heading2"/>
        <w:numPr>
          <w:ilvl w:val="1"/>
          <w:numId w:val="2"/>
        </w:numPr>
        <w:spacing w:before="0" w:after="0"/>
        <w:ind w:start="709"/>
        <w:jc w:val="center"/>
        <w:rPr>
          <w:lang w:val="en-US"/>
        </w:rPr>
      </w:pPr>
      <w:bookmarkStart w:id="0" w:name="_Toc216534262"/>
      <w:r>
        <w:rPr/>
        <w:t>ОПРЕДЕЛЕНИЯ, ОБОЗНАЧЕНИЯ И СОКРАЩЕНИЯ</w:t>
      </w:r>
      <w:bookmarkEnd w:id="0"/>
    </w:p>
    <w:p>
      <w:pPr>
        <w:pStyle w:val="BodyText"/>
        <w:ind w:hanging="0"/>
        <w:rPr/>
      </w:pPr>
      <w:r>
        <w:rPr/>
        <w:tab/>
        <w:t>LLM (Large Language Models) – большие языковые модели.</w:t>
      </w:r>
    </w:p>
    <w:p>
      <w:pPr>
        <w:pStyle w:val="BodyText"/>
        <w:rPr/>
      </w:pPr>
      <w:r>
        <w:rPr/>
        <w:t>NLP (Natural Language Processing) – обработка естественного языка.</w:t>
      </w:r>
    </w:p>
    <w:p>
      <w:pPr>
        <w:pStyle w:val="BodyText"/>
        <w:rPr/>
      </w:pPr>
      <w:r>
        <w:rPr/>
        <w:t>PPL (Perplexity) – перплексия.</w:t>
      </w:r>
    </w:p>
    <w:p>
      <w:pPr>
        <w:pStyle w:val="BodyText"/>
        <w:rPr/>
      </w:pPr>
      <w:r>
        <w:rPr/>
        <w:t>Self-Attentio</w:t>
      </w:r>
      <w:r>
        <w:rPr>
          <w:lang w:val="en-US"/>
        </w:rPr>
        <w:t>n</w:t>
      </w:r>
      <w:r>
        <w:rPr/>
        <w:t xml:space="preserve"> – механизм внимания.</w:t>
      </w:r>
    </w:p>
    <w:p>
      <w:pPr>
        <w:pStyle w:val="BodyText"/>
        <w:rPr/>
      </w:pPr>
      <w:r>
        <w:rPr>
          <w:lang w:val="en-001"/>
        </w:rPr>
        <w:t>Q, K, V – матрицы запросов (Queries), ключей (Keys) и значений (Values).</w:t>
      </w:r>
    </w:p>
    <w:p>
      <w:pPr>
        <w:pStyle w:val="BodyText"/>
        <w:rPr/>
      </w:pPr>
      <w:r>
        <w:rPr/>
      </w:r>
      <m:oMath xmlns:m="http://schemas.openxmlformats.org/officeDocument/2006/math">
        <m:sSub>
          <m:e>
            <m:r>
              <m:t xml:space="preserve">d</m:t>
            </m:r>
          </m:e>
          <m:sub>
            <m:r>
              <m:rPr>
                <m:lit/>
                <m:nor/>
              </m:rPr>
              <m:t xml:space="preserve">model</m:t>
            </m:r>
          </m:sub>
        </m:sSub>
      </m:oMath>
      <w:r>
        <w:rPr>
          <w:lang w:val="en-001"/>
        </w:rPr>
        <w:t xml:space="preserve"> – </w:t>
      </w:r>
      <w:r>
        <w:rPr>
          <w:lang w:val="en-001"/>
        </w:rPr>
        <w:t xml:space="preserve">размерность </w:t>
      </w:r>
      <w:r>
        <w:rPr/>
        <w:t>скрытых представлений</w:t>
      </w:r>
      <w:r>
        <w:rPr>
          <w:lang w:val="en-001"/>
        </w:rPr>
        <w:t xml:space="preserve"> </w:t>
      </w:r>
      <w:r>
        <w:rPr/>
        <w:t xml:space="preserve">архитектуры </w:t>
      </w:r>
      <w:r>
        <w:rPr>
          <w:lang w:val="en-001"/>
        </w:rPr>
        <w:t>Transformer.</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BodyText"/>
        <w:spacing w:before="0" w:after="0"/>
        <w:ind w:hanging="0"/>
        <w:rPr/>
      </w:pPr>
      <w:r>
        <w:rPr/>
      </w:r>
    </w:p>
    <w:p>
      <w:pPr>
        <w:pStyle w:val="Heading2"/>
        <w:numPr>
          <w:ilvl w:val="0"/>
          <w:numId w:val="0"/>
        </w:numPr>
        <w:ind w:hanging="0" w:start="709"/>
        <w:jc w:val="center"/>
        <w:rPr>
          <w:rFonts w:cs="Times New Roman"/>
        </w:rPr>
      </w:pPr>
      <w:bookmarkStart w:id="1" w:name="_Toc216534265"/>
      <w:r>
        <w:rPr>
          <w:rFonts w:cs="Times New Roman"/>
        </w:rPr>
        <w:t>ВВЕДЕНИЕ</w:t>
      </w:r>
      <w:bookmarkEnd w:id="1"/>
    </w:p>
    <w:p>
      <w:pPr>
        <w:pStyle w:val="BodyText"/>
        <w:rPr/>
      </w:pPr>
      <w:r>
        <w:rPr/>
        <w:t>В последние годы механизмы внимания стали базовым компонентом многих современных архитектур искусственного интеллекта, демонстрируя выдающиеся результаты в задачах обработки естественного языка, изображений и других модальностей, а также для мультимодальных задач. Так, по состоянию на 2026 год, архитектура Transformer [1] и ее модификации доминируют в индустрии. Это подтверждается тем, что данная архитектура лежит в основе всех ведущих коммерческих и открытых больших языковых моделей демонстрирующих наивысшую производительность в бенчмарках, включая семейства моделей GPT, Gemini и Claude [2]. В основе этих механизмов лежит вычисление весов внимания как нормализованного скалярного произведения, что является реализацией геометрической модели сходства.</w:t>
      </w:r>
    </w:p>
    <w:p>
      <w:pPr>
        <w:pStyle w:val="BodyText"/>
        <w:rPr/>
      </w:pPr>
      <w:r>
        <w:rPr/>
        <w:t>Однако, несмотря на эффективность данного подхода, существует фундаментальный разрыв между математическим аппаратом современных моделей ИИ и принципами человеческого восприятия. Как показали исследования в области когнитивной психологии, в частности аксиоматическая теория Амоса Тверски [3], человеческое суждение о сходстве объектов не является метрическим: оно часто нарушает принципы симметрии и неравенства треугольника. Например, утверждение "сын похож на отца" воспринимается более естественно, чем "отец похож на сына", поскольку прототип (отец) обладает большей когнитивной значимостью и набором уникальных характеристик, с которыми происходит сравнение.</w:t>
      </w:r>
    </w:p>
    <w:p>
      <w:pPr>
        <w:pStyle w:val="BodyText"/>
        <w:rPr/>
      </w:pPr>
      <w:r>
        <w:rPr/>
        <w:t>Использование геометрических мер (таких как скалярное произведение в механизме внимания) игнорирует эти когнитивные особенности, навязывая симметричную метрику там, где семантические связи асимметричны. Это приводит к двум ключевым проблемам:</w:t>
      </w:r>
    </w:p>
    <w:p>
      <w:pPr>
        <w:pStyle w:val="BodyText"/>
        <w:rPr/>
      </w:pPr>
      <w:r>
        <w:rPr/>
      </w:r>
    </w:p>
    <w:p>
      <w:pPr>
        <w:pStyle w:val="BodyText"/>
        <w:rPr/>
      </w:pPr>
      <w:r>
        <w:rPr/>
        <w:t>1. Снижение интерпретируемости: веса внимания сложно соотнести с понятными человеку концептами, так как они являются результатом абстрактных геометрических проекций. Это подтверждается исследованиями, указывающими, что текущие карты внимания не могут служить надежным объяснением принятых решений [5] [6].</w:t>
      </w:r>
    </w:p>
    <w:p>
      <w:pPr>
        <w:pStyle w:val="BodyText"/>
        <w:rPr/>
      </w:pPr>
      <w:r>
        <w:rPr/>
        <w:t>2. Избыточность параметров: для моделирования асимметричных отношений стандартный механизм внимания вынужден использовать раздельные проекции для запросов и ключей, искусственно создавая асимметрию в изначально симметричной операции скалярного произведения.</w:t>
      </w:r>
    </w:p>
    <w:p>
      <w:pPr>
        <w:pStyle w:val="BodyText"/>
        <w:rPr/>
      </w:pPr>
      <w:r>
        <w:rPr/>
        <w:t>До недавнего времени применение меры сходства Тверски в архитектурах глубокого обучения было ограничено из-за дискретной природы операций над множествами, которые не поддаются дифференцированию. Отсутствие дифференцируемости делало невозможным интеграцию таких метрик в алгоритмы, обучаемые методом обратного распространения ошибки. Ситуация радикально изменилась с публикацией фундаментального исследования [4]. В этой работе была представлена полностью дифференцируемая параметризация меры Тверски, позволившая заменить стандартные линейные слои на "проекционные слои Тверски". Было показано, что замена линейных слоев на слои Тверски позволяет не только улучшить метрики качества (снижение перплексии GPT-2 на 7.8%), но и сократить количество параметров модели на 34.8% в задачах языкового моделирования на датасете PTB.</w:t>
      </w:r>
    </w:p>
    <w:p>
      <w:pPr>
        <w:pStyle w:val="BodyText"/>
        <w:rPr/>
      </w:pPr>
      <w:r>
        <w:rPr/>
        <w:t>Тем не менее, данные исследования ограничились заменой полносвязных слоев, оставив без внимания возможность интеграции меры Тверски непосредственно в ядро архитектуры Transformer - механизм внимания. Учитывая, что этот механизм функционально выполняет роль поиска схожих элементов контекста, применение когнитивно обоснованной меры сходства именно в этом компоненте представляется перспективным направлением для создания более эффективных и объяснимых моделей ИИ.</w:t>
      </w:r>
    </w:p>
    <w:p>
      <w:pPr>
        <w:pStyle w:val="BodyText"/>
        <w:rPr/>
      </w:pPr>
      <w:r>
        <w:rPr>
          <w:b/>
          <w:bCs/>
        </w:rPr>
        <w:t>Объектом исследования</w:t>
      </w:r>
      <w:r>
        <w:rPr/>
        <w:t xml:space="preserve"> являются механизмы внимания в нейросетевых моделях для обработки естественного языка.</w:t>
      </w:r>
    </w:p>
    <w:p>
      <w:pPr>
        <w:pStyle w:val="BodyText"/>
        <w:rPr/>
      </w:pPr>
      <w:r>
        <w:rPr>
          <w:b/>
          <w:bCs/>
        </w:rPr>
        <w:t xml:space="preserve">Предметом исследования </w:t>
      </w:r>
      <w:r>
        <w:rPr/>
        <w:t>является зависимость параметрической эффективности языковых моделей от метода вычисления весов внимания на основе асимметричной меры сходства Тверски.</w:t>
      </w:r>
    </w:p>
    <w:p>
      <w:pPr>
        <w:pStyle w:val="BodyText"/>
        <w:rPr/>
      </w:pPr>
      <w:r>
        <w:rPr>
          <w:b/>
          <w:bCs/>
        </w:rPr>
        <w:t xml:space="preserve">Цель работы: </w:t>
      </w:r>
      <w:r>
        <w:rPr/>
        <w:t>исследование влияния интеграции асимметричной меры сходства Тверски в механизм внимания на параметрическую эффективность языковых моделей архитектуры Transformer.</w:t>
      </w:r>
    </w:p>
    <w:p>
      <w:pPr>
        <w:pStyle w:val="BodyText"/>
        <w:rPr/>
      </w:pPr>
      <w:r>
        <w:rPr/>
        <w:t>Для достижения поставленной цели в работе решаются следующие задачи:</w:t>
      </w:r>
    </w:p>
    <w:p>
      <w:pPr>
        <w:pStyle w:val="BodyText"/>
        <w:rPr/>
      </w:pPr>
      <w:r>
        <w:rPr/>
        <w:t>1. Разработка формального математического описания модуля механизма внимания, использующего дифференцируемую меру сходства Тверски.</w:t>
      </w:r>
    </w:p>
    <w:p>
      <w:pPr>
        <w:pStyle w:val="BodyText"/>
        <w:rPr/>
      </w:pPr>
      <w:r>
        <w:rPr/>
        <w:t>2. Анализ вычислительной сложности и параметрической эффективности предложенного метода по сравнению с базовым Scaled Dot-Product Attention.</w:t>
      </w:r>
    </w:p>
    <w:p>
      <w:pPr>
        <w:pStyle w:val="BodyText"/>
        <w:rPr/>
      </w:pPr>
      <w:r>
        <w:rPr/>
        <w:t>3. Обоснование и формирование методики экспериментального исследования для оценки параметрической эффективности проектируемого модуля.</w:t>
      </w:r>
    </w:p>
    <w:p>
      <w:pPr>
        <w:pStyle w:val="BodyText"/>
        <w:rPr/>
      </w:pPr>
      <w:r>
        <w:rPr/>
        <w:t>4. Реализация прототипа механизма внимания на основе меры сходства Тверски на фреймворке PyTorch.</w:t>
      </w:r>
    </w:p>
    <w:p>
      <w:pPr>
        <w:pStyle w:val="BodyText"/>
        <w:rPr/>
      </w:pPr>
      <w:r>
        <w:rPr/>
        <w:t>5. Проведение сравнительного эксперимента на архитектуре nanoGPT для оценки влияния предложенного метода на перплексию, количество параметров модели а также вычислительную эффективность.</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BodyText"/>
        <w:rPr/>
      </w:pPr>
      <w:r>
        <w:rPr/>
      </w:r>
      <w:r>
        <w:br w:type="page"/>
      </w:r>
    </w:p>
    <w:p>
      <w:pPr>
        <w:pStyle w:val="Heading2"/>
        <w:numPr>
          <w:ilvl w:val="1"/>
          <w:numId w:val="2"/>
        </w:numPr>
        <w:spacing w:before="0" w:after="0"/>
        <w:ind w:start="709"/>
        <w:rPr/>
      </w:pPr>
      <w:bookmarkStart w:id="2" w:name="_Toc216534266"/>
      <w:bookmarkStart w:id="3" w:name="_Toc73173348"/>
      <w:r>
        <w:rPr/>
        <w:t xml:space="preserve">1 </w:t>
      </w:r>
      <w:bookmarkStart w:id="4" w:name="обзор-предметной-области"/>
      <w:bookmarkEnd w:id="3"/>
      <w:r>
        <w:rPr/>
        <w:t>ОБЗОР ПРЕДМЕТНОЙ ОБЛАСТИ</w:t>
      </w:r>
      <w:bookmarkEnd w:id="2"/>
    </w:p>
    <w:p>
      <w:pPr>
        <w:pStyle w:val="Heading3"/>
        <w:numPr>
          <w:ilvl w:val="2"/>
          <w:numId w:val="2"/>
        </w:numPr>
        <w:ind w:start="708"/>
        <w:rPr/>
      </w:pPr>
      <w:bookmarkStart w:id="5" w:name="принцип-отбора-аналогов"/>
      <w:bookmarkStart w:id="6" w:name="_Toc216534267"/>
      <w:r>
        <w:rPr/>
        <w:t xml:space="preserve">1.1 </w:t>
      </w:r>
      <w:bookmarkEnd w:id="6"/>
      <w:r>
        <w:rPr/>
        <w:t>Описание предметной области</w:t>
      </w:r>
    </w:p>
    <w:p>
      <w:pPr>
        <w:pStyle w:val="BodyText"/>
        <w:rPr/>
      </w:pPr>
      <w:bookmarkStart w:id="7" w:name="scaled-dot-product-attention"/>
      <w:bookmarkStart w:id="8" w:name="_Toc216534268"/>
      <w:r>
        <w:rPr/>
        <w:t>Исследование относится к области архитектур больших языковых моделей, где центральным вычислительным элементом является механизм внимания. Разрабатываемое решение позиционируется как экспериментальная модификация данного узла, направленная на структурную оптимизацию сети.</w:t>
      </w:r>
    </w:p>
    <w:p>
      <w:pPr>
        <w:pStyle w:val="BodyText"/>
        <w:rPr/>
      </w:pPr>
      <w:r>
        <w:rPr/>
        <w:t>Актуальность работы обусловлена высокой ресурсоемкостью современных моделей, требующих значительных объемов памяти для хранения параметров. Исследование нацелено на проверку гипотезы о возможности сокращения избыточных весов проекций без потери качества обработки текста.</w:t>
      </w:r>
    </w:p>
    <w:p>
      <w:pPr>
        <w:pStyle w:val="BodyText"/>
        <w:rPr/>
      </w:pPr>
      <w:r>
        <w:rPr/>
        <w:t>Потенциальными пользователями методики являются исследователи в сфере искусственного интеллекта, занимающиеся созданием компактных и эффективных нейросетей. Предложенный подход может применяться ими при проектировании новых архитектур для снижения их параметрической сложности.</w:t>
      </w:r>
    </w:p>
    <w:p>
      <w:pPr>
        <w:pStyle w:val="BodyText"/>
        <w:rPr/>
      </w:pPr>
      <w:r>
        <w:rPr/>
        <w:t>В основе метода лежит идея замены стандартного геометрического вычисления сходства на теоретико-множественный подход. Это должно обосновать возможность моделирования направленных семантических связей при использовании единой, а не раздельной матрицы проекции.</w:t>
      </w:r>
    </w:p>
    <w:p>
      <w:pPr>
        <w:pStyle w:val="BodyText"/>
        <w:rPr/>
      </w:pPr>
      <w:r>
        <w:rPr/>
        <w:t>Разрабатываемое решение представляет собой программный модуль слоя внимания для фреймворков глубокого обучения (например, PyTorch). Он необходим для интеграции в базовую архитектуру и проведения сравнительного анализа параметрической эффективности предложенного подхода.</w:t>
      </w:r>
    </w:p>
    <w:p>
      <w:pPr>
        <w:pStyle w:val="Heading3"/>
        <w:numPr>
          <w:ilvl w:val="2"/>
          <w:numId w:val="2"/>
        </w:numPr>
        <w:ind w:start="708"/>
        <w:rPr>
          <w:lang w:val="en-US"/>
        </w:rPr>
      </w:pPr>
      <w:r>
        <w:rPr>
          <w:lang w:val="en-US"/>
        </w:rPr>
        <w:t xml:space="preserve">1.2 </w:t>
      </w:r>
      <w:r>
        <w:rPr/>
        <w:t>Обзор</w:t>
      </w:r>
      <w:r>
        <w:rPr>
          <w:lang w:val="en-US"/>
        </w:rPr>
        <w:t xml:space="preserve"> </w:t>
      </w:r>
      <w:r>
        <w:rPr/>
        <w:t>литературы</w:t>
      </w:r>
      <w:bookmarkEnd w:id="8"/>
    </w:p>
    <w:p>
      <w:pPr>
        <w:pStyle w:val="Heading4"/>
        <w:numPr>
          <w:ilvl w:val="2"/>
          <w:numId w:val="2"/>
        </w:numPr>
        <w:ind w:start="708"/>
        <w:rPr>
          <w:lang w:val="en-US"/>
        </w:rPr>
      </w:pPr>
      <w:bookmarkStart w:id="9" w:name="_Toc216534269"/>
      <w:r>
        <w:rPr/>
        <w:t xml:space="preserve">1.2.1 </w:t>
      </w:r>
      <w:r>
        <w:rPr>
          <w:lang w:val="en-US"/>
        </w:rPr>
        <w:t>Scaled Dot-Product Attention</w:t>
      </w:r>
      <w:bookmarkEnd w:id="9"/>
    </w:p>
    <w:p>
      <w:pPr>
        <w:pStyle w:val="BodyText"/>
        <w:rPr/>
      </w:pPr>
      <w:r>
        <w:rPr/>
        <w:t xml:space="preserve">Базовый механизм внимания, лежащий в основе архитектуры Transformer. Метод реализует геометрическую модель сходства, вычисляя близость между вектором запроса и вектором ключа как их скалярное произведение. Результат масштабируется на коэффициент </w:t>
      </w:r>
      <w:r>
        <w:rPr/>
      </w:r>
      <m:oMath xmlns:m="http://schemas.openxmlformats.org/officeDocument/2006/math">
        <m:r>
          <m:t xml:space="preserve">1</m:t>
        </m:r>
        <m:r>
          <m:rPr>
            <m:lit/>
            <m:nor/>
          </m:rPr>
          <m:t xml:space="preserve">/</m:t>
        </m:r>
        <m:rad>
          <m:radPr>
            <m:degHide m:val="1"/>
          </m:radPr>
          <m:deg/>
          <m:e>
            <m:sSub>
              <m:e>
                <m:r>
                  <m:t xml:space="preserve">d</m:t>
                </m:r>
              </m:e>
              <m:sub>
                <m:r>
                  <m:t xml:space="preserve">k</m:t>
                </m:r>
              </m:sub>
            </m:sSub>
          </m:e>
        </m:rad>
      </m:oMath>
      <w:r>
        <w:rPr/>
        <w:t xml:space="preserve"> и нормализуется функцией Softmax. [1]</w:t>
      </w:r>
    </w:p>
    <w:p>
      <w:pPr>
        <w:pStyle w:val="BodyText"/>
        <w:rPr/>
      </w:pPr>
      <w:r>
        <w:rPr/>
        <w:t xml:space="preserve">Поскольку операция скалярного произведения симметрична, для моделирования направленных (асимметричных) семантических связей данный подход вынужден использовать раздельные матрицы проекций для </w:t>
      </w:r>
      <w:r>
        <w:rPr/>
      </w:r>
      <m:oMath xmlns:m="http://schemas.openxmlformats.org/officeDocument/2006/math">
        <m:r>
          <m:t xml:space="preserve">Q</m:t>
        </m:r>
      </m:oMath>
      <w:r>
        <w:rPr/>
        <w:t xml:space="preserve"> и </w:t>
      </w:r>
      <w:r>
        <w:rPr/>
      </w:r>
      <m:oMath xmlns:m="http://schemas.openxmlformats.org/officeDocument/2006/math">
        <m:r>
          <m:t xml:space="preserve">K</m:t>
        </m:r>
      </m:oMath>
      <w:r>
        <w:rPr/>
        <w:t xml:space="preserve">: </w:t>
      </w:r>
      <w:r>
        <w:rPr/>
      </w:r>
      <m:oMath xmlns:m="http://schemas.openxmlformats.org/officeDocument/2006/math">
        <m:r>
          <m:rPr>
            <m:lit/>
            <m:nor/>
          </m:rPr>
          <m:t xml:space="preserve">Attention</m:t>
        </m:r>
        <m:r>
          <m:t xml:space="preserve">(</m:t>
        </m:r>
        <m:r>
          <m:t xml:space="preserve">Q</m:t>
        </m:r>
        <m:r>
          <m:t xml:space="preserve">,</m:t>
        </m:r>
        <m:r>
          <m:t xml:space="preserve">K</m:t>
        </m:r>
        <m:r>
          <m:t xml:space="preserve">,</m:t>
        </m:r>
        <m:r>
          <m:t xml:space="preserve">V</m:t>
        </m:r>
        <m:r>
          <m:t xml:space="preserve">)</m:t>
        </m:r>
        <m:r>
          <m:rPr>
            <m:lit/>
            <m:nor/>
          </m:rPr>
          <m:t xml:space="preserve">=</m:t>
        </m:r>
        <m:r>
          <m:rPr>
            <m:lit/>
            <m:nor/>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r>
        <w:rPr/>
        <w:t xml:space="preserve">. </w:t>
      </w:r>
    </w:p>
    <w:p>
      <w:pPr>
        <w:pStyle w:val="Heading4"/>
        <w:numPr>
          <w:ilvl w:val="2"/>
          <w:numId w:val="2"/>
        </w:numPr>
        <w:ind w:start="708"/>
        <w:rPr/>
      </w:pPr>
      <w:bookmarkStart w:id="10" w:name="cottention-cosine-attention"/>
      <w:bookmarkStart w:id="11" w:name="_Toc216534270"/>
      <w:bookmarkEnd w:id="7"/>
      <w:r>
        <w:rPr/>
        <w:t>1.2.2 Cottention (Cosine Attention)</w:t>
      </w:r>
      <w:bookmarkEnd w:id="11"/>
    </w:p>
    <w:p>
      <w:pPr>
        <w:pStyle w:val="BodyText"/>
        <w:rPr/>
      </w:pPr>
      <w:r>
        <w:rPr/>
        <w:t xml:space="preserve">Механизм внимания, заменяющий операцию </w:t>
      </w:r>
      <w:r>
        <w:rPr/>
      </w:r>
      <m:oMath xmlns:m="http://schemas.openxmlformats.org/officeDocument/2006/math">
        <m:r>
          <m:rPr>
            <m:lit/>
            <m:nor/>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oMath>
      <w:r>
        <w:rPr/>
        <w:t xml:space="preserve"> на косинусное сходство векторов. Ключевая идея состоит в использовании нормализованного скалярного произведения, где векторы запросов и ключей предварительно </w:t>
      </w:r>
      <w:r>
        <w:rPr/>
      </w:r>
      <m:oMath xmlns:m="http://schemas.openxmlformats.org/officeDocument/2006/math">
        <m:sSub>
          <m:e>
            <m:r>
              <m:t xml:space="preserve">L</m:t>
            </m:r>
          </m:e>
          <m:sub>
            <m:r>
              <m:t xml:space="preserve">2</m:t>
            </m:r>
          </m:sub>
        </m:sSub>
      </m:oMath>
      <w:r>
        <w:rPr/>
        <w:t>-нормализуются. Это позволяет использовать свойство ассоциативности матричного умножения для изменения порядка вычислений, достигая линейной вычислительной сложности по длине последовательности (</w:t>
      </w:r>
      <w:r>
        <w:rPr/>
      </w:r>
      <m:oMath xmlns:m="http://schemas.openxmlformats.org/officeDocument/2006/math">
        <m:r>
          <m:t xml:space="preserve">O</m:t>
        </m:r>
        <m:r>
          <m:t xml:space="preserve">(</m:t>
        </m:r>
        <m:r>
          <m:t xml:space="preserve">N</m:t>
        </m:r>
        <m:r>
          <m:t xml:space="preserve">)</m:t>
        </m:r>
      </m:oMath>
      <w:r>
        <w:rPr/>
        <w:t xml:space="preserve"> вместо </w:t>
      </w:r>
      <w:r>
        <w:rPr/>
      </w:r>
      <m:oMath xmlns:m="http://schemas.openxmlformats.org/officeDocument/2006/math">
        <m:r>
          <m:t xml:space="preserve">O</m:t>
        </m:r>
        <m:r>
          <m:t xml:space="preserve">(</m:t>
        </m:r>
        <m:sSup>
          <m:e>
            <m:r>
              <m:t xml:space="preserve">N</m:t>
            </m:r>
          </m:e>
          <m:sup>
            <m:r>
              <m:t xml:space="preserve">2</m:t>
            </m:r>
          </m:sup>
        </m:sSup>
        <m:r>
          <m:t xml:space="preserve">)</m:t>
        </m:r>
      </m:oMath>
      <w:r>
        <w:rPr/>
        <w:t>). [7]</w:t>
      </w:r>
    </w:p>
    <w:p>
      <w:pPr>
        <w:pStyle w:val="BodyText"/>
        <w:rPr>
          <w:lang w:val="en-US"/>
        </w:rPr>
      </w:pPr>
      <w:r>
        <w:rPr/>
        <w:t xml:space="preserve">В отличие от стандартного подхода, Cottention исключает экспоненциальную функцию Softmax, используя для стабилизации обучения обучаемый скалярный параметр </w:t>
      </w:r>
      <w:r>
        <w:rPr/>
      </w:r>
      <m:oMath xmlns:m="http://schemas.openxmlformats.org/officeDocument/2006/math">
        <m:r>
          <m:t xml:space="preserve">m</m:t>
        </m:r>
      </m:oMath>
      <w:r>
        <w:rPr/>
        <w:t>. Метод направлен на улучшение вычислительной эффективности и масштабируемости, однако сохраняет геометрическую природу вычисления сходства.</w:t>
      </w:r>
    </w:p>
    <w:p>
      <w:pPr>
        <w:pStyle w:val="BodyText"/>
        <w:jc w:val="center"/>
        <w:rPr>
          <w:lang w:val="en-US"/>
        </w:rPr>
      </w:pPr>
      <w:r>
        <w:rPr/>
      </w:r>
      <m:oMathPara xmlns:m="http://schemas.openxmlformats.org/officeDocument/2006/math">
        <m:oMathParaPr>
          <m:jc m:val="center"/>
        </m:oMathParaPr>
        <m:oMath>
          <m:r>
            <m:rPr>
              <m:lit/>
              <m:nor/>
            </m:rPr>
            <m:t xml:space="preserve">Attention</m:t>
          </m:r>
          <m:d>
            <m:dPr>
              <m:begChr m:val="("/>
              <m:endChr m:val=")"/>
            </m:dPr>
            <m:e>
              <m:r>
                <m:t xml:space="preserve">Q</m:t>
              </m:r>
              <m:r>
                <m:t xml:space="preserve">,</m:t>
              </m:r>
              <m:r>
                <m:t xml:space="preserve">K</m:t>
              </m:r>
              <m:r>
                <m:t xml:space="preserve">,</m:t>
              </m:r>
              <m:r>
                <m:t xml:space="preserve">V</m:t>
              </m:r>
            </m:e>
          </m:d>
          <m:r>
            <m:rPr>
              <m:lit/>
              <m:nor/>
            </m:rPr>
            <m:t xml:space="preserve">=</m:t>
          </m:r>
          <m:f>
            <m:num>
              <m:r>
                <m:t xml:space="preserve">1</m:t>
              </m:r>
            </m:num>
            <m:den>
              <m:sSup>
                <m:e>
                  <m:r>
                    <m:t xml:space="preserve">s</m:t>
                  </m:r>
                </m:e>
                <m:sup>
                  <m:r>
                    <m:t xml:space="preserve">σ</m:t>
                  </m:r>
                  <m:d>
                    <m:dPr>
                      <m:begChr m:val="("/>
                      <m:endChr m:val=")"/>
                    </m:dPr>
                    <m:e>
                      <m:r>
                        <m:t xml:space="preserve">m</m:t>
                      </m:r>
                    </m:e>
                  </m:d>
                </m:sup>
              </m:sSup>
            </m:den>
          </m:f>
          <m:r>
            <m:t xml:space="preserve">⊙</m:t>
          </m:r>
          <m:r>
            <m:rPr>
              <m:lit/>
              <m:nor/>
            </m:rPr>
            <m:t xml:space="preserve">Sim</m:t>
          </m:r>
          <m:d>
            <m:dPr>
              <m:begChr m:val="("/>
              <m:endChr m:val=")"/>
            </m:dPr>
            <m:e>
              <m:r>
                <m:t xml:space="preserve">Q</m:t>
              </m:r>
              <m:r>
                <m:t xml:space="preserve">,</m:t>
              </m:r>
              <m:r>
                <m:t xml:space="preserve">K</m:t>
              </m:r>
            </m:e>
          </m:d>
          <m:r>
            <m:t xml:space="preserve">⋅</m:t>
          </m:r>
          <m:r>
            <m:t xml:space="preserve">V</m:t>
          </m:r>
          <m:r>
            <m:t xml:space="preserve">,</m:t>
          </m:r>
        </m:oMath>
      </m:oMathPara>
    </w:p>
    <w:p>
      <w:pPr>
        <w:pStyle w:val="BodyText"/>
        <w:rPr/>
      </w:pPr>
      <w:r>
        <w:rPr/>
        <w:t xml:space="preserve">где </w:t>
      </w:r>
      <w:r>
        <w:rPr/>
      </w:r>
      <m:oMath xmlns:m="http://schemas.openxmlformats.org/officeDocument/2006/math">
        <m:r>
          <m:t xml:space="preserve">⊙</m:t>
        </m:r>
      </m:oMath>
      <w:r>
        <w:rPr/>
        <w:t xml:space="preserve"> - поэлементное умножение, </w:t>
      </w:r>
      <w:r>
        <w:rPr/>
      </w:r>
      <m:oMath xmlns:m="http://schemas.openxmlformats.org/officeDocument/2006/math">
        <m:r>
          <m:t xml:space="preserve">s</m:t>
        </m:r>
      </m:oMath>
      <w:r>
        <w:rPr/>
        <w:t xml:space="preserve"> - длина последовательности, </w:t>
      </w:r>
      <w:r>
        <w:rPr/>
      </w:r>
      <m:oMath xmlns:m="http://schemas.openxmlformats.org/officeDocument/2006/math">
        <m:r>
          <m:t xml:space="preserve">σ</m:t>
        </m:r>
      </m:oMath>
      <w:r>
        <w:rPr/>
        <w:t xml:space="preserve"> - сигмоидальная функция, </w:t>
      </w:r>
      <w:r>
        <w:rPr/>
      </w:r>
      <m:oMath xmlns:m="http://schemas.openxmlformats.org/officeDocument/2006/math">
        <m:r>
          <m:rPr>
            <m:lit/>
            <m:nor/>
          </m:rPr>
          <m:t xml:space="preserve">Sim</m:t>
        </m:r>
        <m:r>
          <m:t xml:space="preserve">(</m:t>
        </m:r>
        <m:r>
          <m:t xml:space="preserve">Q</m:t>
        </m:r>
        <m:r>
          <m:t xml:space="preserve">,</m:t>
        </m:r>
        <m:r>
          <m:t xml:space="preserve">K</m:t>
        </m:r>
        <m:r>
          <m:t xml:space="preserve">)</m:t>
        </m:r>
        <m:r>
          <m:rPr>
            <m:lit/>
            <m:nor/>
          </m:rPr>
          <m:t xml:space="preserve">=</m:t>
        </m:r>
        <m:f>
          <m:num>
            <m:r>
              <m:t xml:space="preserve">Q</m:t>
            </m:r>
            <m:sSup>
              <m:e>
                <m:r>
                  <m:t xml:space="preserve">K</m:t>
                </m:r>
              </m:e>
              <m:sup>
                <m:r>
                  <m:t xml:space="preserve">T</m:t>
                </m:r>
              </m:sup>
            </m:sSup>
          </m:num>
          <m:den>
            <m:r>
              <m:rPr>
                <m:lit/>
                <m:nor/>
              </m:rPr>
              <m:t xml:space="preserve">|</m:t>
            </m:r>
            <m:r>
              <m:rPr>
                <m:lit/>
                <m:nor/>
              </m:rPr>
              <m:t xml:space="preserve">|</m:t>
            </m:r>
            <m:r>
              <m:t xml:space="preserve">Q</m:t>
            </m:r>
            <m:r>
              <m:rPr>
                <m:lit/>
                <m:nor/>
              </m:rPr>
              <m:t xml:space="preserve">|</m:t>
            </m:r>
            <m:r>
              <m:rPr>
                <m:lit/>
                <m:nor/>
              </m:rPr>
              <m:t xml:space="preserve">|</m:t>
            </m:r>
            <m:r>
              <m:t xml:space="preserve">⋅</m:t>
            </m:r>
            <m:r>
              <m:rPr>
                <m:lit/>
                <m:nor/>
              </m:rPr>
              <m:t xml:space="preserve">|</m:t>
            </m:r>
            <m:r>
              <m:rPr>
                <m:lit/>
                <m:nor/>
              </m:rPr>
              <m:t xml:space="preserve">|</m:t>
            </m:r>
            <m:r>
              <m:t xml:space="preserve">K</m:t>
            </m:r>
            <m:r>
              <m:rPr>
                <m:lit/>
                <m:nor/>
              </m:rPr>
              <m:t xml:space="preserve">|</m:t>
            </m:r>
            <m:r>
              <m:rPr>
                <m:lit/>
                <m:nor/>
              </m:rPr>
              <m:t xml:space="preserve">|</m:t>
            </m:r>
          </m:den>
        </m:f>
      </m:oMath>
      <w:r>
        <w:rPr/>
        <w:t>.</w:t>
      </w:r>
    </w:p>
    <w:p>
      <w:pPr>
        <w:pStyle w:val="Heading4"/>
        <w:numPr>
          <w:ilvl w:val="2"/>
          <w:numId w:val="2"/>
        </w:numPr>
        <w:ind w:start="708"/>
        <w:rPr/>
      </w:pPr>
      <w:bookmarkStart w:id="12" w:name="elliptical-attention"/>
      <w:bookmarkStart w:id="13" w:name="_Toc216534271"/>
      <w:bookmarkEnd w:id="10"/>
      <w:r>
        <w:rPr/>
        <w:t>1.2.3 Elliptical Attention</w:t>
      </w:r>
      <w:bookmarkEnd w:id="13"/>
    </w:p>
    <w:p>
      <w:pPr>
        <w:pStyle w:val="BodyText"/>
        <w:rPr/>
      </w:pPr>
      <w:r>
        <w:rPr/>
        <w:t>Механизм, акцентирующий внимание на ограничениях стандартного скалярного произведения. В частности, рассматривается “сферическая инвариантность”, когда близость токенов определяется одинаково по всем направлениям пространства признаков. [8]</w:t>
      </w:r>
    </w:p>
    <w:p>
      <w:pPr>
        <w:pStyle w:val="BodyText"/>
        <w:rPr/>
      </w:pPr>
      <w:r>
        <w:rPr/>
        <w:t>Для устранения этого недостатка предлагается использовать</w:t>
      </w:r>
      <w:r>
        <w:rPr>
          <w:b/>
          <w:bCs/>
        </w:rPr>
        <w:t xml:space="preserve"> </w:t>
      </w:r>
      <w:r>
        <w:rPr/>
        <w:t>расстояние Махаланобиса.</w:t>
      </w:r>
      <w:r>
        <w:rPr>
          <w:b/>
          <w:bCs/>
        </w:rPr>
        <w:t xml:space="preserve"> </w:t>
      </w:r>
      <w:r>
        <w:rPr/>
        <w:t xml:space="preserve">Оно позволяет “растягивать” гиперсферы внимания в гиперэллипсоиды вдоль направлений с наибольшей дисперсией. Это реализуется через введение диагональной матрицы весов </w:t>
      </w:r>
      <w:r>
        <w:rPr/>
      </w:r>
      <m:oMath xmlns:m="http://schemas.openxmlformats.org/officeDocument/2006/math">
        <m:r>
          <m:t xml:space="preserve">M</m:t>
        </m:r>
      </m:oMath>
      <w:r>
        <w:rPr/>
        <w:t xml:space="preserve">, динамически оценивающей важность каждого признака. Метод улучшает качество представлений, однако остается в рамках геометрической парадигмы и требует дополнительных вычислений для формирования матрицы </w:t>
      </w:r>
      <w:r>
        <w:rPr/>
      </w:r>
      <m:oMath xmlns:m="http://schemas.openxmlformats.org/officeDocument/2006/math">
        <m:r>
          <m:t xml:space="preserve">M</m:t>
        </m:r>
      </m:oMath>
      <w:r>
        <w:rPr/>
        <w:t xml:space="preserve">: </w:t>
      </w:r>
      <w:r>
        <w:rPr/>
      </w:r>
      <m:oMath xmlns:m="http://schemas.openxmlformats.org/officeDocument/2006/math">
        <m:r>
          <m:rPr>
            <m:lit/>
            <m:nor/>
          </m:rPr>
          <m:t xml:space="preserve">Attention</m:t>
        </m:r>
        <m:r>
          <m:t xml:space="preserve">(</m:t>
        </m:r>
        <m:r>
          <m:t xml:space="preserve">Q</m:t>
        </m:r>
        <m:r>
          <m:t xml:space="preserve">,</m:t>
        </m:r>
        <m:r>
          <m:t xml:space="preserve">K</m:t>
        </m:r>
        <m:r>
          <m:t xml:space="preserve">,</m:t>
        </m:r>
        <m:r>
          <m:t xml:space="preserve">V</m:t>
        </m:r>
        <m:r>
          <m:t xml:space="preserve">)</m:t>
        </m:r>
        <m:r>
          <m:rPr>
            <m:lit/>
            <m:nor/>
          </m:rPr>
          <m:t xml:space="preserve">=</m:t>
        </m:r>
        <m:r>
          <m:rPr>
            <m:lit/>
            <m:nor/>
          </m:rPr>
          <m:t xml:space="preserve">softmax</m:t>
        </m:r>
        <m:d>
          <m:dPr>
            <m:begChr m:val="("/>
            <m:endChr m:val=")"/>
          </m:dPr>
          <m:e>
            <m:f>
              <m:num>
                <m:r>
                  <m:t xml:space="preserve">QM</m:t>
                </m:r>
                <m:sSup>
                  <m:e>
                    <m:r>
                      <m:t xml:space="preserve">K</m:t>
                    </m:r>
                  </m:e>
                  <m:sup>
                    <m:r>
                      <m:t xml:space="preserve">T</m:t>
                    </m:r>
                  </m:sup>
                </m:sSup>
              </m:num>
              <m:den>
                <m:rad>
                  <m:radPr>
                    <m:degHide m:val="1"/>
                  </m:radPr>
                  <m:deg/>
                  <m:e>
                    <m:r>
                      <m:t xml:space="preserve">d</m:t>
                    </m:r>
                  </m:e>
                </m:rad>
              </m:den>
            </m:f>
          </m:e>
        </m:d>
        <m:r>
          <m:t xml:space="preserve">V</m:t>
        </m:r>
        <m:r>
          <m:t xml:space="preserve">,</m:t>
        </m:r>
      </m:oMath>
      <w:r>
        <w:rPr/>
        <w:t xml:space="preserve"> где </w:t>
      </w:r>
      <w:r>
        <w:rPr/>
      </w:r>
      <m:oMath xmlns:m="http://schemas.openxmlformats.org/officeDocument/2006/math">
        <m:r>
          <m:t xml:space="preserve">M</m:t>
        </m:r>
        <m:r>
          <m:rPr>
            <m:lit/>
            <m:nor/>
          </m:rPr>
          <m:t xml:space="preserve">=</m:t>
        </m:r>
        <m:r>
          <m:rPr>
            <m:lit/>
            <m:nor/>
          </m:rPr>
          <m:t xml:space="preserve">diag</m:t>
        </m:r>
        <m:r>
          <m:t xml:space="preserve">(</m:t>
        </m:r>
        <m:sSub>
          <m:e>
            <m:r>
              <m:t xml:space="preserve">m</m:t>
            </m:r>
          </m:e>
          <m:sub>
            <m:r>
              <m:t xml:space="preserve">1</m:t>
            </m:r>
          </m:sub>
        </m:sSub>
        <m:r>
          <m:t xml:space="preserve">,</m:t>
        </m:r>
        <m:r>
          <m:t xml:space="preserve">…</m:t>
        </m:r>
        <m:r>
          <m:t xml:space="preserve">,</m:t>
        </m:r>
        <m:sSub>
          <m:e>
            <m:r>
              <m:t xml:space="preserve">m</m:t>
            </m:r>
          </m:e>
          <m:sub>
            <m:r>
              <m:t xml:space="preserve">d</m:t>
            </m:r>
          </m:sub>
        </m:sSub>
        <m:r>
          <m:t xml:space="preserve">)</m:t>
        </m:r>
      </m:oMath>
      <w:r>
        <w:rPr/>
        <w:t xml:space="preserve"> - матрица релевантности признаков.</w:t>
      </w:r>
    </w:p>
    <w:p>
      <w:pPr>
        <w:pStyle w:val="Heading4"/>
        <w:numPr>
          <w:ilvl w:val="2"/>
          <w:numId w:val="2"/>
        </w:numPr>
        <w:ind w:start="708"/>
        <w:rPr/>
      </w:pPr>
      <w:bookmarkStart w:id="14" w:name="synthesizer"/>
      <w:bookmarkStart w:id="15" w:name="_Toc216534272"/>
      <w:bookmarkEnd w:id="12"/>
      <w:r>
        <w:rPr/>
        <w:t>1.2.4 Synthesizer</w:t>
      </w:r>
      <w:bookmarkEnd w:id="15"/>
    </w:p>
    <w:p>
      <w:pPr>
        <w:pStyle w:val="BodyText"/>
        <w:rPr/>
      </w:pPr>
      <w:r>
        <w:rPr/>
        <w:t>Подход, рассматривающий альтернативу вычислению попарного сходства между токенами. Предлагается механизм “синтезированного внимания”, где матрица весов генерируется непосредственно из входных токенов с помощью параметризованной функции (обычно двухслойного перцептрона). [9]</w:t>
      </w:r>
    </w:p>
    <w:p>
      <w:pPr>
        <w:pStyle w:val="BodyText"/>
        <w:rPr>
          <w:lang w:val="en-US"/>
        </w:rPr>
      </w:pPr>
      <w:r>
        <w:rPr/>
        <w:t xml:space="preserve">В модели Dense Synthesizer входной вектор </w:t>
      </w:r>
      <w:r>
        <w:rPr/>
      </w:r>
      <m:oMath xmlns:m="http://schemas.openxmlformats.org/officeDocument/2006/math">
        <m:r>
          <m:t xml:space="preserve">X</m:t>
        </m:r>
      </m:oMath>
      <w:r>
        <w:rPr/>
        <w:t xml:space="preserve"> проецируется сразу в </w:t>
      </w:r>
      <w:r>
        <w:rPr/>
      </w:r>
      <m:oMath xmlns:m="http://schemas.openxmlformats.org/officeDocument/2006/math">
        <m:r>
          <m:t xml:space="preserve">N</m:t>
        </m:r>
      </m:oMath>
      <w:r>
        <w:rPr/>
        <w:t xml:space="preserve"> измерений (где </w:t>
      </w:r>
      <w:r>
        <w:rPr/>
      </w:r>
      <m:oMath xmlns:m="http://schemas.openxmlformats.org/officeDocument/2006/math">
        <m:r>
          <m:t xml:space="preserve">N</m:t>
        </m:r>
      </m:oMath>
      <w:r>
        <w:rPr/>
        <w:t xml:space="preserve"> - длина последовательности), фактически предсказывая важность всех остальных токенов без явного взаимодействия “Query-Key”. Это устраняет геометрическую</w:t>
      </w:r>
      <w:r>
        <w:rPr>
          <w:b/>
          <w:bCs/>
        </w:rPr>
        <w:t xml:space="preserve"> </w:t>
      </w:r>
      <w:r>
        <w:rPr/>
        <w:t xml:space="preserve">операцию скалярного произведения и позволяет моделировать асимметрию за счет структуры нейронной сети. Однако, при этом теряется интерпретируемость весов внимания как меры сходства признаков: </w:t>
      </w:r>
      <w:r>
        <w:rPr/>
      </w:r>
      <m:oMath xmlns:m="http://schemas.openxmlformats.org/officeDocument/2006/math">
        <m:r>
          <m:rPr>
            <m:lit/>
            <m:nor/>
          </m:rPr>
          <m:t xml:space="preserve">Attention</m:t>
        </m:r>
        <m:r>
          <m:t xml:space="preserve">(</m:t>
        </m:r>
        <m:r>
          <m:t xml:space="preserve">X</m:t>
        </m:r>
        <m:r>
          <m:t xml:space="preserve">,</m:t>
        </m:r>
        <m:r>
          <m:t xml:space="preserve">V</m:t>
        </m:r>
        <m:r>
          <m:t xml:space="preserve">)</m:t>
        </m:r>
        <m:r>
          <m:rPr>
            <m:lit/>
            <m:nor/>
          </m:rPr>
          <m:t xml:space="preserve">=</m:t>
        </m:r>
        <m:r>
          <m:rPr>
            <m:lit/>
            <m:nor/>
          </m:rPr>
          <m:t xml:space="preserve">softmax</m:t>
        </m:r>
        <m:r>
          <m:t xml:space="preserve">(</m:t>
        </m:r>
        <m:r>
          <m:t xml:space="preserve">F</m:t>
        </m:r>
        <m:r>
          <m:t xml:space="preserve">(</m:t>
        </m:r>
        <m:r>
          <m:t xml:space="preserve">X</m:t>
        </m:r>
        <m:r>
          <m:t xml:space="preserve">)</m:t>
        </m:r>
        <m:r>
          <m:t xml:space="preserve">)</m:t>
        </m:r>
        <m:r>
          <m:t xml:space="preserve">V</m:t>
        </m:r>
      </m:oMath>
      <w:r>
        <w:rPr/>
        <w:t xml:space="preserve">, где </w:t>
      </w:r>
      <w:r>
        <w:rPr/>
      </w:r>
      <m:oMath xmlns:m="http://schemas.openxmlformats.org/officeDocument/2006/math">
        <m:r>
          <m:t xml:space="preserve">F</m:t>
        </m:r>
        <m:r>
          <m:t xml:space="preserve">(</m:t>
        </m:r>
        <m:r>
          <m:t xml:space="preserve">X</m:t>
        </m:r>
        <m:r>
          <m:t xml:space="preserve">)</m:t>
        </m:r>
        <m:r>
          <m:rPr>
            <m:lit/>
            <m:nor/>
          </m:rPr>
          <m:t xml:space="preserve">=</m:t>
        </m:r>
        <m:sSub>
          <m:e>
            <m:r>
              <m:t xml:space="preserve">W</m:t>
            </m:r>
          </m:e>
          <m:sub>
            <m:r>
              <m:t xml:space="preserve">2</m:t>
            </m:r>
          </m:sub>
        </m:sSub>
        <m:r>
          <m:t xml:space="preserve">(</m:t>
        </m:r>
        <m:r>
          <m:t xml:space="preserve">σ</m:t>
        </m:r>
        <m:r>
          <m:t xml:space="preserve">(</m:t>
        </m:r>
        <m:sSub>
          <m:e>
            <m:r>
              <m:t xml:space="preserve">W</m:t>
            </m:r>
          </m:e>
          <m:sub>
            <m:r>
              <m:t xml:space="preserve">1</m:t>
            </m:r>
          </m:sub>
        </m:sSub>
        <m:r>
          <m:t xml:space="preserve">(</m:t>
        </m:r>
        <m:r>
          <m:t xml:space="preserve">X</m:t>
        </m:r>
        <m:r>
          <m:t xml:space="preserve">)</m:t>
        </m:r>
        <m:r>
          <m:rPr>
            <m:lit/>
            <m:nor/>
          </m:rPr>
          <m:t xml:space="preserve">+</m:t>
        </m:r>
        <m:sSub>
          <m:e>
            <m:r>
              <m:t xml:space="preserve">b</m:t>
            </m:r>
          </m:e>
          <m:sub>
            <m:r>
              <m:t xml:space="preserve">1</m:t>
            </m:r>
          </m:sub>
        </m:sSub>
        <m:r>
          <m:t xml:space="preserve">)</m:t>
        </m:r>
        <m:r>
          <m:t xml:space="preserve">)</m:t>
        </m:r>
        <m:r>
          <m:rPr>
            <m:lit/>
            <m:nor/>
          </m:rPr>
          <m:t xml:space="preserve">+</m:t>
        </m:r>
        <m:sSub>
          <m:e>
            <m:r>
              <m:t xml:space="preserve">b</m:t>
            </m:r>
          </m:e>
          <m:sub>
            <m:r>
              <m:t xml:space="preserve">2</m:t>
            </m:r>
          </m:sub>
        </m:sSub>
      </m:oMath>
      <w:r>
        <w:rPr/>
        <w:t xml:space="preserve"> - функция проекции.</w:t>
      </w:r>
      <w:bookmarkStart w:id="16" w:name="reformer"/>
      <w:bookmarkStart w:id="17" w:name="_Toc216534273"/>
      <w:bookmarkEnd w:id="14"/>
    </w:p>
    <w:p>
      <w:pPr>
        <w:pStyle w:val="Heading4"/>
        <w:numPr>
          <w:ilvl w:val="0"/>
          <w:numId w:val="0"/>
        </w:numPr>
        <w:ind w:hanging="0" w:start="708"/>
        <w:rPr/>
      </w:pPr>
      <w:r>
        <w:rPr/>
        <w:t>1.2.5 Reformer</w:t>
      </w:r>
      <w:bookmarkEnd w:id="17"/>
    </w:p>
    <w:p>
      <w:pPr>
        <w:pStyle w:val="BodyText"/>
        <w:rPr/>
      </w:pPr>
      <w:r>
        <w:rPr/>
        <w:t>Архитектура, предназначенная для эффективной обработки сверхдлинных последовательностей за счет снижения сложности механизма внимания через локально-чувствительное хеширование (LSH). [10]</w:t>
      </w:r>
    </w:p>
    <w:p>
      <w:pPr>
        <w:pStyle w:val="BodyText"/>
        <w:rPr/>
      </w:pPr>
      <w:r>
        <w:rPr/>
        <w:t>Ключевой особенностью в контексте параметрической</w:t>
      </w:r>
      <w:r>
        <w:rPr>
          <w:b/>
          <w:bCs/>
        </w:rPr>
        <w:t xml:space="preserve"> </w:t>
      </w:r>
      <w:r>
        <w:rPr/>
        <w:t>эффективности является использование Shared-QK Attention: для корректной работы LSH необходимо, чтобы запросы и ключи находились в одном векторном пространстве, поэтому используется общая матрица проекции. Это снижает количество параметров, но при использовании стандартного скалярного произведения приводит к вырожденной симметрии (максимальное внимание токена к самому себе). Проблема решается алгоритмически (маскирование диагонали, множественные раунды хеширования), но фундаментальное ограничение геометрической симметрии остается.</w:t>
      </w:r>
    </w:p>
    <w:p>
      <w:pPr>
        <w:pStyle w:val="BodyText"/>
        <w:rPr/>
      </w:pPr>
      <w:r>
        <w:rPr/>
        <w:t xml:space="preserve">В отличие от предыдущих методов, LSH Attention является разреженным алгоритмом, где для каждого запроса </w:t>
      </w:r>
      <w:r>
        <w:rPr/>
      </w:r>
      <m:oMath xmlns:m="http://schemas.openxmlformats.org/officeDocument/2006/math">
        <m:r>
          <m:t xml:space="preserve">i</m:t>
        </m:r>
      </m:oMath>
      <w:r>
        <w:rPr/>
        <w:t xml:space="preserve"> динамически выбирается подмножество ключей: </w:t>
      </w:r>
      <w:r>
        <w:rPr/>
      </w:r>
      <m:oMath xmlns:m="http://schemas.openxmlformats.org/officeDocument/2006/math">
        <m:r>
          <m:rPr>
            <m:lit/>
            <m:nor/>
          </m:rPr>
          <m:t xml:space="preserve">Attention</m:t>
        </m:r>
        <m:r>
          <m:t xml:space="preserve">(</m:t>
        </m:r>
        <m:r>
          <m:t xml:space="preserve">i</m:t>
        </m:r>
        <m:r>
          <m:t xml:space="preserve">)</m:t>
        </m:r>
        <m:r>
          <m:rPr>
            <m:lit/>
            <m:nor/>
          </m:rPr>
          <m:t xml:space="preserve">=</m:t>
        </m:r>
        <m:nary>
          <m:naryPr>
            <m:chr m:val="∑"/>
            <m:supHide m:val="1"/>
          </m:naryPr>
          <m:sub>
            <m:r>
              <m:t xml:space="preserve">j</m:t>
            </m:r>
            <m:r>
              <m:t xml:space="preserve">:</m:t>
            </m:r>
            <m:r>
              <m:t xml:space="preserve">h</m:t>
            </m:r>
            <m:r>
              <m:t xml:space="preserve">(</m:t>
            </m:r>
            <m:sSub>
              <m:e>
                <m:r>
                  <m:t xml:space="preserve">q</m:t>
                </m:r>
              </m:e>
              <m:sub>
                <m:r>
                  <m:t xml:space="preserve">i</m:t>
                </m:r>
              </m:sub>
            </m:sSub>
            <m:r>
              <m:t xml:space="preserve">)</m:t>
            </m:r>
            <m:r>
              <m:rPr>
                <m:lit/>
                <m:nor/>
              </m:rPr>
              <m:t xml:space="preserve">=</m:t>
            </m:r>
            <m:r>
              <m:t xml:space="preserve">h</m:t>
            </m:r>
            <m:r>
              <m:t xml:space="preserve">(</m:t>
            </m:r>
            <m:sSub>
              <m:e>
                <m:r>
                  <m:t xml:space="preserve">k</m:t>
                </m:r>
              </m:e>
              <m:sub>
                <m:r>
                  <m:t xml:space="preserve">j</m:t>
                </m:r>
              </m:sub>
            </m:sSub>
            <m:r>
              <m:t xml:space="preserve">)</m:t>
            </m:r>
          </m:sub>
          <m:sup/>
          <m:e>
            <m:r>
              <m:rPr>
                <m:lit/>
                <m:nor/>
              </m:rPr>
              <m:t xml:space="preserve">softmax</m:t>
            </m:r>
          </m:e>
        </m:nary>
        <m:r>
          <m:t xml:space="preserve">(</m:t>
        </m:r>
        <m:sSub>
          <m:e>
            <m:r>
              <m:t xml:space="preserve">q</m:t>
            </m:r>
          </m:e>
          <m:sub>
            <m:r>
              <m:t xml:space="preserve">i</m:t>
            </m:r>
          </m:sub>
        </m:sSub>
        <m:r>
          <m:t xml:space="preserve">⋅</m:t>
        </m:r>
        <m:sSub>
          <m:e>
            <m:r>
              <m:t xml:space="preserve">k</m:t>
            </m:r>
          </m:e>
          <m:sub>
            <m:r>
              <m:t xml:space="preserve">j</m:t>
            </m:r>
          </m:sub>
        </m:sSub>
        <m:r>
          <m:t xml:space="preserve">)</m:t>
        </m:r>
        <m:sSub>
          <m:e>
            <m:r>
              <m:t xml:space="preserve">v</m:t>
            </m:r>
          </m:e>
          <m:sub>
            <m:r>
              <m:t xml:space="preserve">j</m:t>
            </m:r>
          </m:sub>
        </m:sSub>
      </m:oMath>
    </w:p>
    <w:p>
      <w:pPr>
        <w:pStyle w:val="BodyText"/>
        <w:rPr/>
      </w:pPr>
      <w:r>
        <w:rPr/>
        <w:t xml:space="preserve">Внимание вычисляется только по тем ключам </w:t>
      </w:r>
      <w:r>
        <w:rPr/>
      </w:r>
      <m:oMath xmlns:m="http://schemas.openxmlformats.org/officeDocument/2006/math">
        <m:sSub>
          <m:e>
            <m:r>
              <m:t xml:space="preserve">k</m:t>
            </m:r>
          </m:e>
          <m:sub>
            <m:r>
              <m:t xml:space="preserve">j</m:t>
            </m:r>
          </m:sub>
        </m:sSub>
      </m:oMath>
      <w:r>
        <w:rPr/>
        <w:t xml:space="preserve">, чей хеш совпадает с хешем запроса. При этом </w:t>
      </w:r>
      <w:r>
        <w:rPr/>
      </w:r>
      <m:oMath xmlns:m="http://schemas.openxmlformats.org/officeDocument/2006/math">
        <m:sSub>
          <m:e>
            <m:r>
              <m:t xml:space="preserve">q</m:t>
            </m:r>
          </m:e>
          <m:sub>
            <m:r>
              <m:t xml:space="preserve">i</m:t>
            </m:r>
          </m:sub>
        </m:sSub>
        <m:r>
          <m:rPr>
            <m:lit/>
            <m:nor/>
          </m:rPr>
          <m:t xml:space="preserve">=</m:t>
        </m:r>
        <m:sSub>
          <m:e>
            <m:r>
              <m:t xml:space="preserve">k</m:t>
            </m:r>
          </m:e>
          <m:sub>
            <m:r>
              <m:t xml:space="preserve">i</m:t>
            </m:r>
          </m:sub>
        </m:sSub>
        <m:r>
          <m:t xml:space="preserve">∀</m:t>
        </m:r>
        <m:r>
          <m:t xml:space="preserve">i</m:t>
        </m:r>
      </m:oMath>
      <w:r>
        <w:rPr/>
        <w:t>.</w:t>
      </w:r>
    </w:p>
    <w:p>
      <w:pPr>
        <w:pStyle w:val="Heading3"/>
        <w:numPr>
          <w:ilvl w:val="2"/>
          <w:numId w:val="2"/>
        </w:numPr>
        <w:ind w:start="708"/>
        <w:rPr/>
      </w:pPr>
      <w:bookmarkStart w:id="18" w:name="критерии-сравнения-аналогов"/>
      <w:bookmarkStart w:id="19" w:name="_Toc216534274"/>
      <w:bookmarkEnd w:id="5"/>
      <w:bookmarkEnd w:id="16"/>
      <w:r>
        <w:rPr/>
        <w:t>1.3 Критерии сравнения аналогов</w:t>
      </w:r>
      <w:bookmarkEnd w:id="19"/>
    </w:p>
    <w:p>
      <w:pPr>
        <w:pStyle w:val="Heading4"/>
        <w:numPr>
          <w:ilvl w:val="2"/>
          <w:numId w:val="2"/>
        </w:numPr>
        <w:ind w:start="708"/>
        <w:rPr/>
      </w:pPr>
      <w:bookmarkStart w:id="20" w:name="математическая-природа-меры-сходства"/>
      <w:bookmarkStart w:id="21" w:name="_Toc216534275"/>
      <w:r>
        <w:rPr/>
        <w:t>1.3.1 Математическая природа меры сходства</w:t>
      </w:r>
      <w:bookmarkEnd w:id="21"/>
    </w:p>
    <w:p>
      <w:pPr>
        <w:pStyle w:val="BodyText"/>
        <w:rPr/>
      </w:pPr>
      <w:r>
        <w:rPr/>
        <w:t>Качественный критерий, классифицирующий алгоритмы по типу базовой операции сравнения векторов (геометрическая, метрическая, нейросетевая, теоретико-множественная).</w:t>
      </w:r>
    </w:p>
    <w:p>
      <w:pPr>
        <w:pStyle w:val="BodyText"/>
        <w:rPr/>
      </w:pPr>
      <w:r>
        <w:rPr/>
        <w:t>Различные математические подходы накладывают разные ограничения на то, какие типы зависимостей может моделировать сеть (например, выполнение неравенства треугольника). Определение природы метода необходимо для оценки его потенциальной интерпретируемости и соответствия когнитивным моделям восприятия информации.</w:t>
      </w:r>
    </w:p>
    <w:p>
      <w:pPr>
        <w:pStyle w:val="Heading4"/>
        <w:numPr>
          <w:ilvl w:val="2"/>
          <w:numId w:val="2"/>
        </w:numPr>
        <w:ind w:start="708"/>
        <w:rPr/>
      </w:pPr>
      <w:bookmarkStart w:id="22" w:name="X8e42e7ab3cd8a3a8a56c731a5b25cc2d2c44a1a"/>
      <w:bookmarkStart w:id="23" w:name="_Toc216534276"/>
      <w:bookmarkEnd w:id="20"/>
      <w:r>
        <w:rPr/>
        <w:t>1.3.2 Параметрическая сложность вычисления весов</w:t>
      </w:r>
      <w:bookmarkEnd w:id="23"/>
    </w:p>
    <w:p>
      <w:pPr>
        <w:pStyle w:val="BodyText"/>
        <w:rPr/>
      </w:pPr>
      <w:r>
        <w:rPr/>
        <w:t xml:space="preserve">Количественный критерий, определяющий число обучаемых весовых параметров (в проекциях </w:t>
      </w:r>
      <w:r>
        <w:rPr/>
      </w:r>
      <m:oMath xmlns:m="http://schemas.openxmlformats.org/officeDocument/2006/math">
        <m:r>
          <m:t xml:space="preserve">Q</m:t>
        </m:r>
      </m:oMath>
      <w:r>
        <w:rPr/>
        <w:t xml:space="preserve"> и </w:t>
      </w:r>
      <w:r>
        <w:rPr/>
      </w:r>
      <m:oMath xmlns:m="http://schemas.openxmlformats.org/officeDocument/2006/math">
        <m:r>
          <m:t xml:space="preserve">K</m:t>
        </m:r>
      </m:oMath>
      <w:r>
        <w:rPr/>
        <w:t xml:space="preserve">), необходимых для реализации механизма внимания, выраженное через размерность модели </w:t>
      </w:r>
      <w:r>
        <w:rPr/>
      </w:r>
      <m:oMath xmlns:m="http://schemas.openxmlformats.org/officeDocument/2006/math">
        <m:r>
          <m:t xml:space="preserve">d</m:t>
        </m:r>
      </m:oMath>
      <w:r>
        <w:rPr/>
        <w:t>.</w:t>
      </w:r>
    </w:p>
    <w:p>
      <w:pPr>
        <w:pStyle w:val="BodyText"/>
        <w:rPr/>
      </w:pPr>
      <w:r>
        <w:rPr/>
        <w:t>В условиях роста размеров современных LLM критически важной задачей индустрии является снижение объема потребляемой памяти. Данный критерий позволяет объективно оценить ресурсоемкость архитектуры и степень избыточности параметров, затрачиваемых на моделирование связей.</w:t>
      </w:r>
    </w:p>
    <w:p>
      <w:pPr>
        <w:pStyle w:val="Heading4"/>
        <w:numPr>
          <w:ilvl w:val="2"/>
          <w:numId w:val="2"/>
        </w:numPr>
        <w:ind w:start="708"/>
        <w:rPr/>
      </w:pPr>
      <w:bookmarkStart w:id="24" w:name="симметрия-базовой-функции"/>
      <w:bookmarkStart w:id="25" w:name="_Toc216534277"/>
      <w:bookmarkEnd w:id="22"/>
      <w:r>
        <w:rPr/>
        <w:t>1.3.3 Симметрия базовой функции</w:t>
      </w:r>
      <w:bookmarkEnd w:id="25"/>
    </w:p>
    <w:p>
      <w:pPr>
        <w:pStyle w:val="BodyText"/>
        <w:rPr/>
      </w:pPr>
      <w:r>
        <w:rPr/>
        <w:t xml:space="preserve">Качественный критерий, указывающий, является ли функция сходства </w:t>
      </w:r>
      <w:r>
        <w:rPr/>
      </w:r>
      <m:oMath xmlns:m="http://schemas.openxmlformats.org/officeDocument/2006/math">
        <m:r>
          <m:t xml:space="preserve">S</m:t>
        </m:r>
        <m:r>
          <m:t xml:space="preserve">(</m:t>
        </m:r>
        <m:r>
          <m:t xml:space="preserve">x</m:t>
        </m:r>
        <m:r>
          <m:t xml:space="preserve">,</m:t>
        </m:r>
        <m:r>
          <m:t xml:space="preserve">y</m:t>
        </m:r>
        <m:r>
          <m:t xml:space="preserve">)</m:t>
        </m:r>
      </m:oMath>
      <w:r>
        <w:rPr/>
        <w:t>, лежащая в основе механизма, симметричной (</w:t>
      </w:r>
      <w:r>
        <w:rPr/>
      </w:r>
      <m:oMath xmlns:m="http://schemas.openxmlformats.org/officeDocument/2006/math">
        <m:r>
          <m:t xml:space="preserve">S</m:t>
        </m:r>
        <m:r>
          <m:t xml:space="preserve">(</m:t>
        </m:r>
        <m:r>
          <m:t xml:space="preserve">x</m:t>
        </m:r>
        <m:r>
          <m:t xml:space="preserve">,</m:t>
        </m:r>
        <m:r>
          <m:t xml:space="preserve">y</m:t>
        </m:r>
        <m:r>
          <m:t xml:space="preserve">)</m:t>
        </m:r>
        <m:r>
          <m:rPr>
            <m:lit/>
            <m:nor/>
          </m:rPr>
          <m:t xml:space="preserve">=</m:t>
        </m:r>
        <m:r>
          <m:t xml:space="preserve">S</m:t>
        </m:r>
        <m:r>
          <m:t xml:space="preserve">(</m:t>
        </m:r>
        <m:r>
          <m:t xml:space="preserve">y</m:t>
        </m:r>
        <m:r>
          <m:t xml:space="preserve">,</m:t>
        </m:r>
        <m:r>
          <m:t xml:space="preserve">x</m:t>
        </m:r>
        <m:r>
          <m:t xml:space="preserve">)</m:t>
        </m:r>
      </m:oMath>
      <w:r>
        <w:rPr/>
        <w:t>).</w:t>
      </w:r>
    </w:p>
    <w:p>
      <w:pPr>
        <w:pStyle w:val="BodyText"/>
        <w:rPr/>
      </w:pPr>
      <w:r>
        <w:rPr/>
        <w:t>Семантические отношения в естественном языке по своей сути являются направленными. Данный критерий показывает, способен ли математический аппарат метода моделировать эту направленность нативно, или для этого требуются дополнительные архитектурные усложнения.</w:t>
      </w:r>
    </w:p>
    <w:p>
      <w:pPr>
        <w:pStyle w:val="Heading3"/>
        <w:numPr>
          <w:ilvl w:val="2"/>
          <w:numId w:val="2"/>
        </w:numPr>
        <w:ind w:start="708"/>
        <w:rPr/>
      </w:pPr>
      <w:r>
        <w:rPr/>
      </w:r>
      <w:bookmarkStart w:id="26" w:name="таблица-сравнения-аналогов"/>
      <w:bookmarkEnd w:id="18"/>
      <w:bookmarkEnd w:id="24"/>
    </w:p>
    <w:p>
      <w:pPr>
        <w:pStyle w:val="BodyText"/>
        <w:rPr/>
      </w:pPr>
      <w:r>
        <w:rPr/>
        <w:t>Проведем сравнение аналогов по описанным критериям в таблице 1:</w:t>
      </w:r>
    </w:p>
    <w:p>
      <w:pPr>
        <w:pStyle w:val="Style11"/>
        <w:rPr>
          <w:szCs w:val="28"/>
        </w:rPr>
      </w:pPr>
      <w:r>
        <w:rPr/>
        <w:t>Таблица 1 – сравнение аналогов</w:t>
      </w:r>
    </w:p>
    <w:tbl>
      <w:tblPr>
        <w:tblStyle w:val="Table"/>
        <w:tblW w:w="5000" w:type="pct"/>
        <w:jc w:val="start"/>
        <w:tblInd w:w="-5" w:type="dxa"/>
        <w:tblLayout w:type="fixed"/>
        <w:tblCellMar>
          <w:top w:w="0" w:type="dxa"/>
          <w:start w:w="108" w:type="dxa"/>
          <w:bottom w:w="0" w:type="dxa"/>
          <w:end w:w="108" w:type="dxa"/>
        </w:tblCellMar>
        <w:tblLook w:val="0020" w:noHBand="0" w:noVBand="0" w:firstColumn="0" w:lastRow="0" w:lastColumn="0" w:firstRow="1"/>
      </w:tblPr>
      <w:tblGrid>
        <w:gridCol w:w="2344"/>
        <w:gridCol w:w="2337"/>
        <w:gridCol w:w="2337"/>
        <w:gridCol w:w="2337"/>
      </w:tblGrid>
      <w:tr>
        <w:trPr>
          <w:tblHeader w:val="true"/>
          <w:cnfStyle w:val="100000000000" w:firstRow="1" w:lastRow="0" w:firstColumn="0" w:lastColumn="0" w:oddVBand="0" w:evenVBand="0" w:oddHBand="0" w:evenHBand="0" w:firstRowFirstColumn="0" w:firstRowLastColumn="0" w:lastRowFirstColumn="0" w:lastRowLastColumn="0"/>
        </w:trPr>
        <w:tc>
          <w:tcPr>
            <w:tcW w:w="2344" w:type="dxa"/>
            <w:tcBorders>
              <w:top w:val="single" w:sz="4" w:space="0" w:color="000000"/>
              <w:start w:val="single" w:sz="4" w:space="0" w:color="000000"/>
              <w:bottom w:val="single" w:sz="4" w:space="0" w:color="000000"/>
              <w:end w:val="single" w:sz="4" w:space="0" w:color="000000"/>
            </w:tcBorders>
            <w:vAlign w:val="bottom"/>
          </w:tcPr>
          <w:p>
            <w:pPr>
              <w:pStyle w:val="Style10"/>
              <w:widowControl/>
              <w:spacing w:before="0" w:after="200"/>
              <w:rPr>
                <w:rFonts w:eastAsia=""/>
                <w:kern w:val="0"/>
                <w:szCs w:val="24"/>
                <w:lang w:val="en-US" w:eastAsia="zh-CN" w:bidi="ar-SA"/>
              </w:rPr>
            </w:pPr>
            <w:r>
              <w:rPr>
                <w:rFonts w:eastAsia=""/>
                <w:kern w:val="0"/>
                <w:szCs w:val="24"/>
                <w:lang w:val="en-US" w:eastAsia="zh-CN" w:bidi="ar-SA"/>
              </w:rPr>
              <w:t>Аналог</w:t>
            </w:r>
          </w:p>
        </w:tc>
        <w:tc>
          <w:tcPr>
            <w:tcW w:w="2337" w:type="dxa"/>
            <w:tcBorders>
              <w:top w:val="single" w:sz="4" w:space="0" w:color="000000"/>
              <w:start w:val="single" w:sz="4" w:space="0" w:color="000000"/>
              <w:bottom w:val="single" w:sz="4" w:space="0" w:color="000000"/>
              <w:end w:val="single" w:sz="4" w:space="0" w:color="000000"/>
            </w:tcBorders>
            <w:vAlign w:val="bottom"/>
          </w:tcPr>
          <w:p>
            <w:pPr>
              <w:pStyle w:val="Style10"/>
              <w:widowControl/>
              <w:spacing w:before="0" w:after="200"/>
              <w:rPr>
                <w:rFonts w:eastAsia=""/>
                <w:kern w:val="0"/>
                <w:szCs w:val="24"/>
                <w:lang w:val="en-US" w:eastAsia="zh-CN" w:bidi="ar-SA"/>
              </w:rPr>
            </w:pPr>
            <w:r>
              <w:rPr>
                <w:rFonts w:eastAsia=""/>
                <w:kern w:val="0"/>
                <w:szCs w:val="24"/>
                <w:lang w:val="en-US" w:eastAsia="zh-CN" w:bidi="ar-SA"/>
              </w:rPr>
              <w:t>Математическая природа</w:t>
            </w:r>
          </w:p>
        </w:tc>
        <w:tc>
          <w:tcPr>
            <w:tcW w:w="2337" w:type="dxa"/>
            <w:tcBorders>
              <w:top w:val="single" w:sz="4" w:space="0" w:color="000000"/>
              <w:start w:val="single" w:sz="4" w:space="0" w:color="000000"/>
              <w:bottom w:val="single" w:sz="4" w:space="0" w:color="000000"/>
              <w:end w:val="single" w:sz="4" w:space="0" w:color="000000"/>
            </w:tcBorders>
            <w:vAlign w:val="bottom"/>
          </w:tcPr>
          <w:p>
            <w:pPr>
              <w:pStyle w:val="Style10"/>
              <w:widowControl/>
              <w:spacing w:before="0" w:after="200"/>
              <w:rPr>
                <w:rFonts w:eastAsia=""/>
                <w:kern w:val="0"/>
                <w:szCs w:val="24"/>
                <w:lang w:val="en-US" w:eastAsia="zh-CN" w:bidi="ar-SA"/>
              </w:rPr>
            </w:pPr>
            <w:r>
              <w:rPr>
                <w:rFonts w:eastAsia=""/>
                <w:kern w:val="0"/>
                <w:szCs w:val="24"/>
                <w:lang w:val="en-US" w:eastAsia="zh-CN" w:bidi="ar-SA"/>
              </w:rPr>
              <w:t>Параметрическая сложность</w:t>
            </w:r>
          </w:p>
        </w:tc>
        <w:tc>
          <w:tcPr>
            <w:tcW w:w="2337" w:type="dxa"/>
            <w:tcBorders>
              <w:top w:val="single" w:sz="4" w:space="0" w:color="000000"/>
              <w:start w:val="single" w:sz="4" w:space="0" w:color="000000"/>
              <w:bottom w:val="single" w:sz="4" w:space="0" w:color="000000"/>
              <w:end w:val="single" w:sz="4" w:space="0" w:color="000000"/>
            </w:tcBorders>
            <w:vAlign w:val="bottom"/>
          </w:tcPr>
          <w:p>
            <w:pPr>
              <w:pStyle w:val="Style10"/>
              <w:widowControl/>
              <w:spacing w:before="0" w:after="200"/>
              <w:rPr>
                <w:rFonts w:eastAsia=""/>
                <w:kern w:val="0"/>
                <w:szCs w:val="24"/>
                <w:lang w:val="en-US" w:eastAsia="zh-CN" w:bidi="ar-SA"/>
              </w:rPr>
            </w:pPr>
            <w:r>
              <w:rPr>
                <w:rFonts w:eastAsia=""/>
                <w:kern w:val="0"/>
                <w:szCs w:val="24"/>
                <w:lang w:val="en-US" w:eastAsia="zh-CN" w:bidi="ar-SA"/>
              </w:rPr>
              <w:t>Симметрия функции</w:t>
            </w:r>
          </w:p>
        </w:tc>
      </w:tr>
      <w:tr>
        <w:trPr/>
        <w:tc>
          <w:tcPr>
            <w:tcW w:w="2344"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b/>
                <w:bCs/>
                <w:kern w:val="0"/>
                <w:szCs w:val="24"/>
                <w:lang w:val="en-US" w:eastAsia="zh-CN" w:bidi="ar-SA"/>
              </w:rPr>
              <w:t>Scaled Dot-Product</w:t>
            </w:r>
            <w:r>
              <w:rPr>
                <w:rFonts w:eastAsia=""/>
                <w:kern w:val="0"/>
                <w:szCs w:val="24"/>
                <w:lang w:val="en-US" w:eastAsia="zh-CN" w:bidi="ar-SA"/>
              </w:rPr>
              <w:t xml:space="preserve"> [1]</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Геометрическая</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lang w:val="ru-RU"/>
              </w:rPr>
            </w:pPr>
            <w:r>
              <w:rPr>
                <w:rFonts w:eastAsia=""/>
                <w:kern w:val="0"/>
                <w:szCs w:val="24"/>
                <w:lang w:val="en-US" w:eastAsia="zh-CN" w:bidi="ar-SA"/>
              </w:rPr>
            </w:r>
            <m:oMath xmlns:m="http://schemas.openxmlformats.org/officeDocument/2006/math">
              <m:r>
                <m:t xml:space="preserve">2</m:t>
              </m:r>
              <m:sSup>
                <m:e>
                  <m:r>
                    <m:t xml:space="preserve">d</m:t>
                  </m:r>
                </m:e>
                <m:sup>
                  <m:r>
                    <m:t xml:space="preserve">2</m:t>
                  </m:r>
                </m:sup>
              </m:sSup>
            </m:oMath>
            <w:r>
              <w:rPr>
                <w:rFonts w:eastAsia=""/>
                <w:kern w:val="0"/>
                <w:szCs w:val="24"/>
                <w:lang w:val="ru-RU" w:eastAsia="zh-CN" w:bidi="ar-SA"/>
              </w:rPr>
              <w:t xml:space="preserve"> </w:t>
            </w:r>
            <w:r>
              <w:rPr>
                <w:rFonts w:eastAsia=""/>
                <w:kern w:val="0"/>
                <w:szCs w:val="24"/>
                <w:lang w:val="ru-RU" w:eastAsia="zh-CN" w:bidi="ar-SA"/>
              </w:rPr>
              <w:t xml:space="preserve">(матрицы </w:t>
            </w:r>
            <w:r>
              <w:rPr>
                <w:rFonts w:eastAsia=""/>
                <w:kern w:val="0"/>
                <w:szCs w:val="24"/>
                <w:lang w:val="en-US" w:eastAsia="zh-CN" w:bidi="ar-SA"/>
              </w:rPr>
            </w:r>
            <m:oMath xmlns:m="http://schemas.openxmlformats.org/officeDocument/2006/math">
              <m:sSub>
                <m:e>
                  <m:r>
                    <m:t xml:space="preserve">W</m:t>
                  </m:r>
                </m:e>
                <m:sub>
                  <m:r>
                    <m:t xml:space="preserve">Q</m:t>
                  </m:r>
                </m:sub>
              </m:sSub>
              <m:r>
                <m:t xml:space="preserve">,</m:t>
              </m:r>
              <m:sSub>
                <m:e>
                  <m:r>
                    <m:t xml:space="preserve">W</m:t>
                  </m:r>
                </m:e>
                <m:sub>
                  <m:r>
                    <m:t xml:space="preserve">K</m:t>
                  </m:r>
                </m:sub>
              </m:sSub>
            </m:oMath>
            <w:r>
              <w:rPr>
                <w:rFonts w:eastAsia=""/>
                <w:kern w:val="0"/>
                <w:szCs w:val="24"/>
                <w:lang w:val="ru-RU" w:eastAsia="zh-CN" w:bidi="ar-SA"/>
              </w:rPr>
              <w:t>)</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Симметричная</w:t>
            </w:r>
          </w:p>
        </w:tc>
      </w:tr>
      <w:tr>
        <w:trPr/>
        <w:tc>
          <w:tcPr>
            <w:tcW w:w="2344"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b/>
                <w:bCs/>
                <w:kern w:val="0"/>
                <w:szCs w:val="24"/>
                <w:lang w:val="en-US" w:eastAsia="zh-CN" w:bidi="ar-SA"/>
              </w:rPr>
              <w:t>Cottention</w:t>
            </w:r>
            <w:r>
              <w:rPr>
                <w:rFonts w:eastAsia=""/>
                <w:kern w:val="0"/>
                <w:szCs w:val="24"/>
                <w:lang w:val="en-US" w:eastAsia="zh-CN" w:bidi="ar-SA"/>
              </w:rPr>
              <w:t xml:space="preserve"> [7]</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Геометрическая</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lang w:val="ru-RU"/>
              </w:rPr>
            </w:pPr>
            <w:r>
              <w:rPr>
                <w:rFonts w:eastAsia=""/>
                <w:kern w:val="0"/>
                <w:szCs w:val="24"/>
                <w:lang w:val="en-US" w:eastAsia="zh-CN" w:bidi="ar-SA"/>
              </w:rPr>
            </w:r>
            <m:oMath xmlns:m="http://schemas.openxmlformats.org/officeDocument/2006/math">
              <m:r>
                <m:t xml:space="preserve">2</m:t>
              </m:r>
              <m:sSup>
                <m:e>
                  <m:r>
                    <m:t xml:space="preserve">d</m:t>
                  </m:r>
                </m:e>
                <m:sup>
                  <m:r>
                    <m:t xml:space="preserve">2</m:t>
                  </m:r>
                </m:sup>
              </m:sSup>
              <m:r>
                <m:rPr>
                  <m:lit/>
                  <m:nor/>
                </m:rPr>
                <m:t xml:space="preserve">+</m:t>
              </m:r>
              <m:r>
                <m:t xml:space="preserve">1</m:t>
              </m:r>
            </m:oMath>
            <w:r>
              <w:rPr>
                <w:rFonts w:eastAsia=""/>
                <w:kern w:val="0"/>
                <w:szCs w:val="24"/>
                <w:lang w:val="ru-RU" w:eastAsia="zh-CN" w:bidi="ar-SA"/>
              </w:rPr>
              <w:t xml:space="preserve"> </w:t>
            </w:r>
            <w:r>
              <w:rPr>
                <w:rFonts w:eastAsia=""/>
                <w:kern w:val="0"/>
                <w:szCs w:val="24"/>
                <w:lang w:val="ru-RU" w:eastAsia="zh-CN" w:bidi="ar-SA"/>
              </w:rPr>
              <w:t>(</w:t>
            </w:r>
            <w:r>
              <w:rPr>
                <w:rFonts w:eastAsia=""/>
                <w:kern w:val="0"/>
                <w:szCs w:val="24"/>
                <w:lang w:val="en-US" w:eastAsia="zh-CN" w:bidi="ar-SA"/>
              </w:rPr>
            </w:r>
            <m:oMath xmlns:m="http://schemas.openxmlformats.org/officeDocument/2006/math">
              <m:sSub>
                <m:e>
                  <m:r>
                    <m:t xml:space="preserve">W</m:t>
                  </m:r>
                </m:e>
                <m:sub>
                  <m:r>
                    <m:t xml:space="preserve">Q</m:t>
                  </m:r>
                </m:sub>
              </m:sSub>
              <m:r>
                <m:t xml:space="preserve">,</m:t>
              </m:r>
              <m:sSub>
                <m:e>
                  <m:r>
                    <m:t xml:space="preserve">W</m:t>
                  </m:r>
                </m:e>
                <m:sub>
                  <m:r>
                    <m:t xml:space="preserve">K</m:t>
                  </m:r>
                </m:sub>
              </m:sSub>
            </m:oMath>
            <w:r>
              <w:rPr>
                <w:rFonts w:eastAsia=""/>
                <w:kern w:val="0"/>
                <w:szCs w:val="24"/>
                <w:lang w:val="ru-RU" w:eastAsia="zh-CN" w:bidi="ar-SA"/>
              </w:rPr>
              <w:t xml:space="preserve"> + скаляры)</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Симметричная</w:t>
            </w:r>
          </w:p>
        </w:tc>
      </w:tr>
      <w:tr>
        <w:trPr/>
        <w:tc>
          <w:tcPr>
            <w:tcW w:w="2344"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b/>
                <w:bCs/>
                <w:kern w:val="0"/>
                <w:szCs w:val="24"/>
                <w:lang w:val="en-US" w:eastAsia="zh-CN" w:bidi="ar-SA"/>
              </w:rPr>
              <w:t>Elliptical Attention</w:t>
            </w:r>
            <w:r>
              <w:rPr>
                <w:rFonts w:eastAsia=""/>
                <w:kern w:val="0"/>
                <w:szCs w:val="24"/>
                <w:lang w:val="en-US" w:eastAsia="zh-CN" w:bidi="ar-SA"/>
              </w:rPr>
              <w:t xml:space="preserve"> [8]</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Метрическая (Расстояние Махаланобиса)</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lang w:val="ru-RU"/>
              </w:rPr>
            </w:pPr>
            <w:r>
              <w:rPr>
                <w:rFonts w:eastAsia=""/>
                <w:kern w:val="0"/>
                <w:szCs w:val="24"/>
                <w:lang w:val="en-US" w:eastAsia="zh-CN" w:bidi="ar-SA"/>
              </w:rPr>
            </w:r>
            <m:oMath xmlns:m="http://schemas.openxmlformats.org/officeDocument/2006/math">
              <m:r>
                <m:t xml:space="preserve">2</m:t>
              </m:r>
              <m:sSup>
                <m:e>
                  <m:r>
                    <m:t xml:space="preserve">d</m:t>
                  </m:r>
                </m:e>
                <m:sup>
                  <m:r>
                    <m:t xml:space="preserve">2</m:t>
                  </m:r>
                </m:sup>
              </m:sSup>
              <m:r>
                <m:rPr>
                  <m:lit/>
                  <m:nor/>
                </m:rPr>
                <m:t xml:space="preserve">+</m:t>
              </m:r>
              <m:r>
                <m:t xml:space="preserve">d</m:t>
              </m:r>
            </m:oMath>
            <w:r>
              <w:rPr>
                <w:rFonts w:eastAsia=""/>
                <w:kern w:val="0"/>
                <w:szCs w:val="24"/>
                <w:lang w:val="ru-RU" w:eastAsia="zh-CN" w:bidi="ar-SA"/>
              </w:rPr>
              <w:t xml:space="preserve"> </w:t>
            </w:r>
            <w:r>
              <w:rPr>
                <w:rFonts w:eastAsia=""/>
                <w:kern w:val="0"/>
                <w:szCs w:val="24"/>
                <w:lang w:val="ru-RU" w:eastAsia="zh-CN" w:bidi="ar-SA"/>
              </w:rPr>
              <w:t>(</w:t>
            </w:r>
            <w:r>
              <w:rPr>
                <w:rFonts w:eastAsia=""/>
                <w:kern w:val="0"/>
                <w:szCs w:val="24"/>
                <w:lang w:val="en-US" w:eastAsia="zh-CN" w:bidi="ar-SA"/>
              </w:rPr>
            </w:r>
            <m:oMath xmlns:m="http://schemas.openxmlformats.org/officeDocument/2006/math">
              <m:sSub>
                <m:e>
                  <m:r>
                    <m:t xml:space="preserve">W</m:t>
                  </m:r>
                </m:e>
                <m:sub>
                  <m:r>
                    <m:t xml:space="preserve">Q</m:t>
                  </m:r>
                </m:sub>
              </m:sSub>
              <m:r>
                <m:t xml:space="preserve">,</m:t>
              </m:r>
              <m:sSub>
                <m:e>
                  <m:r>
                    <m:t xml:space="preserve">W</m:t>
                  </m:r>
                </m:e>
                <m:sub>
                  <m:r>
                    <m:t xml:space="preserve">K</m:t>
                  </m:r>
                </m:sub>
              </m:sSub>
            </m:oMath>
            <w:r>
              <w:rPr>
                <w:rFonts w:eastAsia=""/>
                <w:kern w:val="0"/>
                <w:szCs w:val="24"/>
                <w:lang w:val="ru-RU" w:eastAsia="zh-CN" w:bidi="ar-SA"/>
              </w:rPr>
              <w:t xml:space="preserve"> + диагональ </w:t>
            </w:r>
            <w:r>
              <w:rPr>
                <w:rFonts w:eastAsia=""/>
                <w:kern w:val="0"/>
                <w:szCs w:val="24"/>
                <w:lang w:val="en-US" w:eastAsia="zh-CN" w:bidi="ar-SA"/>
              </w:rPr>
            </w:r>
            <m:oMath xmlns:m="http://schemas.openxmlformats.org/officeDocument/2006/math">
              <m:r>
                <m:t xml:space="preserve">M</m:t>
              </m:r>
            </m:oMath>
            <w:r>
              <w:rPr>
                <w:rFonts w:eastAsia=""/>
                <w:kern w:val="0"/>
                <w:szCs w:val="24"/>
                <w:lang w:val="ru-RU" w:eastAsia="zh-CN" w:bidi="ar-SA"/>
              </w:rPr>
              <w:t>)</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Симметричная</w:t>
            </w:r>
          </w:p>
        </w:tc>
      </w:tr>
      <w:tr>
        <w:trPr/>
        <w:tc>
          <w:tcPr>
            <w:tcW w:w="2344"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b/>
                <w:bCs/>
                <w:kern w:val="0"/>
                <w:szCs w:val="24"/>
                <w:lang w:val="en-US" w:eastAsia="zh-CN" w:bidi="ar-SA"/>
              </w:rPr>
              <w:t>Synthesizer</w:t>
            </w:r>
            <w:r>
              <w:rPr>
                <w:rFonts w:eastAsia=""/>
                <w:kern w:val="0"/>
                <w:szCs w:val="24"/>
                <w:lang w:val="en-US" w:eastAsia="zh-CN" w:bidi="ar-SA"/>
              </w:rPr>
              <w:t xml:space="preserve"> [9]</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Нейросетевая аппроксимация</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jc w:val="center"/>
              <w:rPr>
                <w:rFonts w:eastAsia=""/>
                <w:kern w:val="0"/>
                <w:szCs w:val="24"/>
                <w:lang w:val="en-US" w:eastAsia="zh-CN" w:bidi="ar-SA"/>
              </w:rPr>
            </w:pPr>
            <w:r>
              <w:rPr>
                <w:rFonts w:eastAsia=""/>
                <w:kern w:val="0"/>
                <w:szCs w:val="24"/>
                <w:lang w:val="en-US" w:eastAsia="zh-CN" w:bidi="ar-SA"/>
              </w:rPr>
            </w:r>
            <m:oMathPara xmlns:m="http://schemas.openxmlformats.org/officeDocument/2006/math">
              <m:oMathParaPr>
                <m:jc m:val="center"/>
              </m:oMathParaPr>
              <m:oMath>
                <m:r>
                  <m:t xml:space="preserve">O</m:t>
                </m:r>
                <m:r>
                  <m:t xml:space="preserve">(</m:t>
                </m:r>
                <m:r>
                  <m:t xml:space="preserve">d</m:t>
                </m:r>
                <m:r>
                  <m:t xml:space="preserve">⋅</m:t>
                </m:r>
                <m:r>
                  <m:t xml:space="preserve">N</m:t>
                </m:r>
                <m:r>
                  <m:t xml:space="preserve">)</m:t>
                </m:r>
              </m:oMath>
            </m:oMathPara>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Неприменимо</w:t>
            </w:r>
          </w:p>
        </w:tc>
      </w:tr>
      <w:tr>
        <w:trPr/>
        <w:tc>
          <w:tcPr>
            <w:tcW w:w="2344"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b/>
                <w:bCs/>
                <w:kern w:val="0"/>
                <w:szCs w:val="24"/>
                <w:lang w:val="en-US" w:eastAsia="zh-CN" w:bidi="ar-SA"/>
              </w:rPr>
              <w:t>Reformer</w:t>
            </w:r>
            <w:r>
              <w:rPr>
                <w:rFonts w:eastAsia=""/>
                <w:kern w:val="0"/>
                <w:szCs w:val="24"/>
                <w:lang w:val="en-US" w:eastAsia="zh-CN" w:bidi="ar-SA"/>
              </w:rPr>
              <w:t xml:space="preserve"> [10]</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Геометрическая</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lang w:val="ru-RU"/>
              </w:rPr>
            </w:pPr>
            <w:r>
              <w:rPr>
                <w:rFonts w:eastAsia=""/>
                <w:kern w:val="0"/>
                <w:szCs w:val="24"/>
                <w:lang w:val="en-US" w:eastAsia="zh-CN" w:bidi="ar-SA"/>
              </w:rPr>
            </w:r>
            <m:oMath xmlns:m="http://schemas.openxmlformats.org/officeDocument/2006/math">
              <m:sSup>
                <m:e>
                  <m:r>
                    <m:t xml:space="preserve">d</m:t>
                  </m:r>
                </m:e>
                <m:sup>
                  <m:r>
                    <m:t xml:space="preserve">2</m:t>
                  </m:r>
                </m:sup>
              </m:sSup>
            </m:oMath>
            <w:r>
              <w:rPr>
                <w:rFonts w:eastAsia=""/>
                <w:kern w:val="0"/>
                <w:szCs w:val="24"/>
                <w:lang w:val="ru-RU" w:eastAsia="zh-CN" w:bidi="ar-SA"/>
              </w:rPr>
              <w:t xml:space="preserve"> </w:t>
            </w:r>
            <w:r>
              <w:rPr>
                <w:rFonts w:eastAsia=""/>
                <w:kern w:val="0"/>
                <w:szCs w:val="24"/>
                <w:lang w:val="ru-RU" w:eastAsia="zh-CN" w:bidi="ar-SA"/>
              </w:rPr>
              <w:t xml:space="preserve">(одна матрица </w:t>
            </w:r>
            <w:r>
              <w:rPr>
                <w:rFonts w:eastAsia=""/>
                <w:kern w:val="0"/>
                <w:szCs w:val="24"/>
                <w:lang w:val="en-US" w:eastAsia="zh-CN" w:bidi="ar-SA"/>
              </w:rPr>
            </w:r>
            <m:oMath xmlns:m="http://schemas.openxmlformats.org/officeDocument/2006/math">
              <m:sSub>
                <m:e>
                  <m:r>
                    <m:t xml:space="preserve">W</m:t>
                  </m:r>
                </m:e>
                <m:sub>
                  <m:r>
                    <m:t xml:space="preserve">s</m:t>
                  </m:r>
                  <m:r>
                    <m:t xml:space="preserve">h</m:t>
                  </m:r>
                  <m:r>
                    <m:t xml:space="preserve">ared</m:t>
                  </m:r>
                </m:sub>
              </m:sSub>
            </m:oMath>
            <w:r>
              <w:rPr>
                <w:rFonts w:eastAsia=""/>
                <w:kern w:val="0"/>
                <w:szCs w:val="24"/>
                <w:lang w:val="ru-RU" w:eastAsia="zh-CN" w:bidi="ar-SA"/>
              </w:rPr>
              <w:t>)</w:t>
            </w:r>
          </w:p>
        </w:tc>
        <w:tc>
          <w:tcPr>
            <w:tcW w:w="2337" w:type="dxa"/>
            <w:tcBorders>
              <w:top w:val="single" w:sz="4" w:space="0" w:color="000000"/>
              <w:start w:val="single" w:sz="4" w:space="0" w:color="000000"/>
              <w:bottom w:val="single" w:sz="4" w:space="0" w:color="000000"/>
              <w:end w:val="single" w:sz="4" w:space="0" w:color="000000"/>
            </w:tcBorders>
          </w:tcPr>
          <w:p>
            <w:pPr>
              <w:pStyle w:val="Style10"/>
              <w:widowControl/>
              <w:spacing w:before="0" w:after="200"/>
              <w:rPr>
                <w:rFonts w:eastAsia=""/>
                <w:kern w:val="0"/>
                <w:szCs w:val="24"/>
                <w:lang w:val="en-US" w:eastAsia="zh-CN" w:bidi="ar-SA"/>
              </w:rPr>
            </w:pPr>
            <w:r>
              <w:rPr>
                <w:rFonts w:eastAsia=""/>
                <w:kern w:val="0"/>
                <w:szCs w:val="24"/>
                <w:lang w:val="en-US" w:eastAsia="zh-CN" w:bidi="ar-SA"/>
              </w:rPr>
              <w:t>Симметричная</w:t>
            </w:r>
          </w:p>
        </w:tc>
      </w:tr>
    </w:tbl>
    <w:p>
      <w:pPr>
        <w:pStyle w:val="Heading3"/>
        <w:numPr>
          <w:ilvl w:val="2"/>
          <w:numId w:val="2"/>
        </w:numPr>
        <w:ind w:start="708"/>
        <w:rPr/>
      </w:pPr>
      <w:r>
        <w:rPr/>
      </w:r>
      <w:bookmarkEnd w:id="26"/>
    </w:p>
    <w:p>
      <w:pPr>
        <w:pStyle w:val="Heading3"/>
        <w:numPr>
          <w:ilvl w:val="2"/>
          <w:numId w:val="2"/>
        </w:numPr>
        <w:ind w:start="708"/>
        <w:rPr/>
      </w:pPr>
      <w:r>
        <w:rPr/>
      </w:r>
    </w:p>
    <w:p>
      <w:pPr>
        <w:pStyle w:val="Heading3"/>
        <w:numPr>
          <w:ilvl w:val="2"/>
          <w:numId w:val="2"/>
        </w:numPr>
        <w:ind w:start="708"/>
        <w:rPr/>
      </w:pPr>
      <w:r>
        <w:rPr/>
        <w:t>1.</w:t>
      </w:r>
      <w:r>
        <w:rPr>
          <w:lang w:val="en-US"/>
        </w:rPr>
        <w:t>4</w:t>
      </w:r>
      <w:r>
        <w:rPr/>
        <w:t xml:space="preserve"> Выводы по итогам сравнения</w:t>
      </w:r>
    </w:p>
    <w:p>
      <w:pPr>
        <w:pStyle w:val="BodyText"/>
        <w:rPr/>
      </w:pPr>
      <w:r>
        <w:rPr/>
        <w:t>Анализ существующих решений выявляет следующие особенности в проектировании механизмов внимания:</w:t>
      </w:r>
    </w:p>
    <w:p>
      <w:pPr>
        <w:pStyle w:val="BodyText"/>
        <w:numPr>
          <w:ilvl w:val="0"/>
          <w:numId w:val="5"/>
        </w:numPr>
        <w:rPr/>
      </w:pPr>
      <w:r>
        <w:rPr/>
        <w:t xml:space="preserve">асимметричных геометрических функциях сходства. Для моделирования асимметричных связей в языке подобные архитектуры вынуждены использовать раздельные матрицы проекций для запросов и ключей. Это приводит к параметрической сложности </w:t>
      </w:r>
      <w:r>
        <w:rPr/>
      </w:r>
      <m:oMath xmlns:m="http://schemas.openxmlformats.org/officeDocument/2006/math">
        <m:r>
          <m:t xml:space="preserve">2</m:t>
        </m:r>
        <m:sSup>
          <m:e>
            <m:r>
              <m:t xml:space="preserve">d</m:t>
            </m:r>
          </m:e>
          <m:sup>
            <m:r>
              <m:t xml:space="preserve">2</m:t>
            </m:r>
          </m:sup>
        </m:sSup>
      </m:oMath>
      <w:r>
        <w:rPr/>
        <w:t>, что является стандартом, но ограничивает возможности для оптимизации размера модели.</w:t>
      </w:r>
    </w:p>
    <w:p>
      <w:pPr>
        <w:pStyle w:val="BodyText"/>
        <w:numPr>
          <w:ilvl w:val="0"/>
          <w:numId w:val="5"/>
        </w:numPr>
        <w:rPr/>
      </w:pPr>
      <w:r>
        <w:rPr/>
        <w:t xml:space="preserve">Методы, направленные на повышение параметрической эффективности (Reformer), успешно снижают сложность проекционного слоя до </w:t>
      </w:r>
      <w:r>
        <w:rPr/>
      </w:r>
      <m:oMath xmlns:m="http://schemas.openxmlformats.org/officeDocument/2006/math">
        <m:sSup>
          <m:e>
            <m:r>
              <m:t xml:space="preserve">d</m:t>
            </m:r>
          </m:e>
          <m:sup>
            <m:r>
              <m:t xml:space="preserve">2</m:t>
            </m:r>
          </m:sup>
        </m:sSup>
      </m:oMath>
      <w:r>
        <w:rPr/>
        <w:t>. Однако использование симметричного скалярного произведения при идентичных проекциях приводит к вырожденному состоянию матрицы внимания. Это вынуждает авторов применять сложные алгоритмические надстройки, усложняя архитектуру.</w:t>
      </w:r>
    </w:p>
    <w:p>
      <w:pPr>
        <w:pStyle w:val="BodyText"/>
        <w:numPr>
          <w:ilvl w:val="0"/>
          <w:numId w:val="5"/>
        </w:numPr>
        <w:rPr/>
      </w:pPr>
      <w:r>
        <w:rPr/>
        <w:t>Подходы, полностью отказывающиеся от попарного расчета сходства (Synthesizer), теряют семантическую интерпретируемость весов как меры пересечения признаков и часто вводят зависимость количества параметров от длины последовательности.</w:t>
      </w:r>
    </w:p>
    <w:p>
      <w:pPr>
        <w:pStyle w:val="BodyText"/>
        <w:rPr/>
      </w:pPr>
      <w:r>
        <w:rPr/>
        <w:t>Таким образом, в текущем ландшафте исследований отсутствует решение, которое позволяло бы одновременно повысить параметрическую эффективность и иметь нативную способность моделировать асимметричные отношения без введения искусственных ограничений или дополнительных вычислительных трюков.</w:t>
      </w:r>
      <w:bookmarkEnd w:id="4"/>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2"/>
        <w:numPr>
          <w:ilvl w:val="1"/>
          <w:numId w:val="2"/>
        </w:numPr>
        <w:spacing w:before="0" w:after="0"/>
        <w:ind w:start="709"/>
        <w:rPr/>
      </w:pPr>
      <w:bookmarkStart w:id="27" w:name="_Toc216534280"/>
      <w:r>
        <w:rPr/>
        <w:t>2. ВЫБОР МЕТОДА РЕШЕНИЯ</w:t>
      </w:r>
      <w:bookmarkEnd w:id="27"/>
    </w:p>
    <w:p>
      <w:pPr>
        <w:pStyle w:val="Heading3"/>
        <w:numPr>
          <w:ilvl w:val="2"/>
          <w:numId w:val="2"/>
        </w:numPr>
        <w:ind w:start="708"/>
        <w:rPr/>
      </w:pPr>
      <w:bookmarkStart w:id="28" w:name="_Toc216534281"/>
      <w:r>
        <w:rPr/>
        <w:t>2.1 Обоснование выбранного решения</w:t>
      </w:r>
      <w:bookmarkEnd w:id="28"/>
    </w:p>
    <w:p>
      <w:pPr>
        <w:pStyle w:val="BodyText"/>
        <w:rPr/>
      </w:pPr>
      <w:r>
        <w:rPr/>
        <w:t xml:space="preserve">На основании проведенного сравнительного анализа и выявленных ограничений существующих подходов, разрабатываемое решение должно представлять собой программный модуль механизма внимания, интегрируемый в архитектуру </w:t>
      </w:r>
      <w:r>
        <w:rPr/>
        <w:t>GPT</w:t>
      </w:r>
      <w:r>
        <w:rPr/>
        <w:t>. Данный модуль должен заменять стандартный слой Scaled Dot-Product Attention, обеспечивая совместимость по входным и выходным тензорам.</w:t>
      </w:r>
    </w:p>
    <w:p>
      <w:pPr>
        <w:pStyle w:val="BodyText"/>
        <w:rPr/>
      </w:pPr>
      <w:r>
        <w:rPr/>
        <w:t>Решение должно обладать следующими ключевыми качествами:</w:t>
      </w:r>
    </w:p>
    <w:p>
      <w:pPr>
        <w:pStyle w:val="BodyText"/>
        <w:numPr>
          <w:ilvl w:val="0"/>
          <w:numId w:val="6"/>
        </w:numPr>
        <w:rPr/>
      </w:pPr>
      <w:r>
        <w:rPr/>
        <w:t>Взамен симметричных геометрических операций, решение должно использовать асимметричную меру сходства Тверски. Это позволит моделировать направленные семантические связи на уровне базовой математической функции, устраняя необходимость в инженерных надстройках, применяемых в Reformer.</w:t>
      </w:r>
    </w:p>
    <w:p>
      <w:pPr>
        <w:pStyle w:val="BodyText"/>
        <w:numPr>
          <w:ilvl w:val="0"/>
          <w:numId w:val="6"/>
        </w:numPr>
        <w:rPr/>
      </w:pPr>
      <w:r>
        <w:rPr/>
        <w:t xml:space="preserve">Используя свойство внутренней асимметрии меры Тверски, решение должно позволять использование единой матрицы проекции для формирования представлений запросов и ключей, исключая риск вырождения внимания в симметричное. Это обеспечит снижение параметрической сложности слоя внимания до </w:t>
      </w:r>
      <w:r>
        <w:rPr/>
      </w:r>
      <m:oMath xmlns:m="http://schemas.openxmlformats.org/officeDocument/2006/math">
        <m:sSup>
          <m:e>
            <m:r>
              <m:t xml:space="preserve">d</m:t>
            </m:r>
          </m:e>
          <m:sup>
            <m:r>
              <m:t xml:space="preserve">2</m:t>
            </m:r>
          </m:sup>
        </m:sSup>
      </m:oMath>
      <w:r>
        <w:rPr/>
        <w:t xml:space="preserve"> (против </w:t>
      </w:r>
      <w:r>
        <w:rPr/>
      </w:r>
      <m:oMath xmlns:m="http://schemas.openxmlformats.org/officeDocument/2006/math">
        <m:r>
          <m:t xml:space="preserve">2</m:t>
        </m:r>
        <m:sSup>
          <m:e>
            <m:r>
              <m:t xml:space="preserve">d</m:t>
            </m:r>
          </m:e>
          <m:sup>
            <m:r>
              <m:t xml:space="preserve">2</m:t>
            </m:r>
          </m:sup>
        </m:sSup>
      </m:oMath>
      <w:r>
        <w:rPr/>
        <w:t xml:space="preserve"> в базовой архитектуре), что соответствует лучшим показателям среди рассмотренных аналогов.</w:t>
      </w:r>
    </w:p>
    <w:p>
      <w:pPr>
        <w:pStyle w:val="BodyText"/>
        <w:rPr/>
      </w:pPr>
      <w:r>
        <w:rPr/>
        <w:t>Таким образом, метод решения заключается в разработке модификации Self-Attention, которая заменяет геометрическое ядро вычислений на дифференцируемую реализацию меры сходства Тверски. Введение такой меры позволит объединить проекционные матрицы без потери функциональности модели.</w:t>
      </w:r>
    </w:p>
    <w:p>
      <w:pPr>
        <w:pStyle w:val="Heading3"/>
        <w:numPr>
          <w:ilvl w:val="2"/>
          <w:numId w:val="2"/>
        </w:numPr>
        <w:ind w:start="708"/>
        <w:rPr/>
      </w:pPr>
      <w:bookmarkStart w:id="29" w:name="_Toc216534282"/>
      <w:r>
        <w:rPr/>
        <w:t>2.2 Основные теоретические положения</w:t>
      </w:r>
      <w:bookmarkEnd w:id="29"/>
    </w:p>
    <w:p>
      <w:pPr>
        <w:pStyle w:val="BodyText"/>
        <w:rPr/>
      </w:pPr>
      <w:r>
        <w:rPr/>
        <w:t xml:space="preserve">Пусть </w:t>
      </w:r>
      <w:r>
        <w:rPr/>
      </w:r>
      <m:oMath xmlns:m="http://schemas.openxmlformats.org/officeDocument/2006/math">
        <m:r>
          <m:t xml:space="preserve">Ω</m:t>
        </m:r>
        <m:r>
          <m:rPr>
            <m:lit/>
            <m:nor/>
          </m:rPr>
          <m:t xml:space="preserve">=</m:t>
        </m:r>
        <m:r>
          <m:t xml:space="preserve">{</m:t>
        </m:r>
        <m:sSub>
          <m:e>
            <m:r>
              <m:t xml:space="preserve">f</m:t>
            </m:r>
          </m:e>
          <m:sub>
            <m:r>
              <m:t xml:space="preserve">k</m:t>
            </m:r>
          </m:sub>
        </m:sSub>
        <m:sSubSup>
          <m:e>
            <m:r>
              <m:t xml:space="preserve">}</m:t>
            </m:r>
          </m:e>
          <m:sub>
            <m:r>
              <m:t xml:space="preserve">k</m:t>
            </m:r>
            <m:r>
              <m:rPr>
                <m:lit/>
                <m:nor/>
              </m:rPr>
              <m:t xml:space="preserve">=</m:t>
            </m:r>
            <m:r>
              <m:t xml:space="preserve">1</m:t>
            </m:r>
          </m:sub>
          <m:sup>
            <m:r>
              <m:rPr>
                <m:lit/>
                <m:nor/>
              </m:rPr>
              <m:t xml:space="preserve">|</m:t>
            </m:r>
            <m:r>
              <m:t xml:space="preserve">Ω</m:t>
            </m:r>
            <m:r>
              <m:rPr>
                <m:lit/>
                <m:nor/>
              </m:rPr>
              <m:t xml:space="preserve">|</m:t>
            </m:r>
          </m:sup>
        </m:sSubSup>
      </m:oMath>
      <w:r>
        <w:rPr/>
        <w:t xml:space="preserve"> – обучаемый банк признаков, где каждый </w:t>
      </w:r>
      <w:r>
        <w:rPr/>
      </w:r>
      <m:oMath xmlns:m="http://schemas.openxmlformats.org/officeDocument/2006/math">
        <m:sSub>
          <m:e>
            <m:r>
              <m:t xml:space="preserve">f</m:t>
            </m:r>
          </m:e>
          <m:sub>
            <m:r>
              <m:t xml:space="preserve">k</m:t>
            </m:r>
          </m:sub>
        </m:sSub>
        <m:r>
          <m:t xml:space="preserve">∈</m:t>
        </m:r>
        <m:sSup>
          <m:e>
            <m:r>
              <m:t xml:space="preserve">ℝ</m:t>
            </m:r>
          </m:e>
          <m:sup>
            <m:r>
              <m:t xml:space="preserve">d</m:t>
            </m:r>
          </m:sup>
        </m:sSup>
      </m:oMath>
      <w:r>
        <w:rPr/>
        <w:t xml:space="preserve">. Входной объект описывается вектором </w:t>
      </w:r>
      <w:r>
        <w:rPr/>
      </w:r>
      <m:oMath xmlns:m="http://schemas.openxmlformats.org/officeDocument/2006/math">
        <m:r>
          <m:t xml:space="preserve">x</m:t>
        </m:r>
        <m:r>
          <m:t xml:space="preserve">∈</m:t>
        </m:r>
        <m:sSup>
          <m:e>
            <m:r>
              <m:t xml:space="preserve">ℝ</m:t>
            </m:r>
          </m:e>
          <m:sup>
            <m:r>
              <m:t xml:space="preserve">d</m:t>
            </m:r>
          </m:sup>
        </m:sSup>
      </m:oMath>
      <w:r>
        <w:rPr/>
        <w:t xml:space="preserve">. Согласно [5], вводится двойственное представление объекта: как вектора </w:t>
      </w:r>
      <w:r>
        <w:rPr/>
      </w:r>
      <m:oMath xmlns:m="http://schemas.openxmlformats.org/officeDocument/2006/math">
        <m:r>
          <m:t xml:space="preserve">x</m:t>
        </m:r>
      </m:oMath>
      <w:r>
        <w:rPr/>
        <w:t xml:space="preserve"> и как множества </w:t>
      </w:r>
      <w:r>
        <w:rPr/>
      </w:r>
      <m:oMath xmlns:m="http://schemas.openxmlformats.org/officeDocument/2006/math">
        <m:r>
          <m:t xml:space="preserve">X</m:t>
        </m:r>
      </m:oMath>
      <w:r>
        <w:rPr/>
        <w:t xml:space="preserve">, состоящего из тех признаков банка </w:t>
      </w:r>
      <w:r>
        <w:rPr/>
      </w:r>
      <m:oMath xmlns:m="http://schemas.openxmlformats.org/officeDocument/2006/math">
        <m:r>
          <m:t xml:space="preserve">Ω</m:t>
        </m:r>
      </m:oMath>
      <w:r>
        <w:rPr/>
        <w:t xml:space="preserve">, с которыми вектор </w:t>
      </w:r>
      <w:r>
        <w:rPr/>
      </w:r>
      <m:oMath xmlns:m="http://schemas.openxmlformats.org/officeDocument/2006/math">
        <m:r>
          <m:t xml:space="preserve">x</m:t>
        </m:r>
      </m:oMath>
      <w:r>
        <w:rPr/>
        <w:t xml:space="preserve"> имеет положительное скалярное произведение: </w:t>
      </w:r>
      <w:r>
        <w:rPr/>
      </w:r>
      <m:oMath xmlns:m="http://schemas.openxmlformats.org/officeDocument/2006/math">
        <m:r>
          <m:t xml:space="preserve">X</m:t>
        </m:r>
        <m:r>
          <m:rPr>
            <m:lit/>
            <m:nor/>
          </m:rPr>
          <m:t xml:space="preserve">=</m:t>
        </m:r>
        <m:d>
          <m:dPr>
            <m:begChr m:val="{"/>
            <m:endChr m:val="}"/>
          </m:dPr>
          <m:e>
            <m:sSub>
              <m:e>
                <m:r>
                  <m:t xml:space="preserve">f</m:t>
                </m:r>
              </m:e>
              <m:sub>
                <m:r>
                  <m:t xml:space="preserve">k</m:t>
                </m:r>
              </m:sub>
            </m:sSub>
            <m:r>
              <m:t xml:space="preserve">∈</m:t>
            </m:r>
            <m:r>
              <m:t xml:space="preserve">Ω</m:t>
            </m:r>
            <m:r>
              <m:rPr>
                <m:lit/>
                <m:nor/>
              </m:rPr>
              <m:t xml:space="preserve">|</m:t>
            </m:r>
            <m:r>
              <m:t xml:space="preserve">x</m:t>
            </m:r>
            <m:r>
              <m:t xml:space="preserve">⋅</m:t>
            </m:r>
            <m:sSub>
              <m:e>
                <m:r>
                  <m:t xml:space="preserve">f</m:t>
                </m:r>
              </m:e>
              <m:sub>
                <m:r>
                  <m:t xml:space="preserve">k</m:t>
                </m:r>
              </m:sub>
            </m:sSub>
            <m:r>
              <m:rPr>
                <m:lit/>
                <m:nor/>
              </m:rPr>
              <m:t xml:space="preserve">&gt;</m:t>
            </m:r>
            <m:r>
              <m:t xml:space="preserve">0</m:t>
            </m:r>
          </m:e>
        </m:d>
      </m:oMath>
      <w:r>
        <w:rPr/>
        <w:t>.</w:t>
      </w:r>
    </w:p>
    <w:p>
      <w:pPr>
        <w:pStyle w:val="BodyText"/>
        <w:rPr/>
      </w:pPr>
      <w:r>
        <w:rPr/>
        <w:t xml:space="preserve">Мера сходства </w:t>
      </w:r>
      <w:r>
        <w:rPr/>
      </w:r>
      <m:oMath xmlns:m="http://schemas.openxmlformats.org/officeDocument/2006/math">
        <m:r>
          <m:t xml:space="preserve">S</m:t>
        </m:r>
        <m:r>
          <m:t xml:space="preserve">(</m:t>
        </m:r>
        <m:r>
          <m:t xml:space="preserve">a</m:t>
        </m:r>
        <m:r>
          <m:t xml:space="preserve">,</m:t>
        </m:r>
        <m:r>
          <m:t xml:space="preserve">b</m:t>
        </m:r>
        <m:r>
          <m:t xml:space="preserve">)</m:t>
        </m:r>
      </m:oMath>
      <w:r>
        <w:rPr/>
        <w:t xml:space="preserve"> между объектами </w:t>
      </w:r>
      <w:r>
        <w:rPr/>
      </w:r>
      <m:oMath xmlns:m="http://schemas.openxmlformats.org/officeDocument/2006/math">
        <m:r>
          <m:t xml:space="preserve">a</m:t>
        </m:r>
      </m:oMath>
      <w:r>
        <w:rPr/>
        <w:t xml:space="preserve"> и </w:t>
      </w:r>
      <w:r>
        <w:rPr/>
      </w:r>
      <m:oMath xmlns:m="http://schemas.openxmlformats.org/officeDocument/2006/math">
        <m:r>
          <m:t xml:space="preserve">b</m:t>
        </m:r>
      </m:oMath>
      <w:r>
        <w:rPr/>
        <w:t xml:space="preserve"> определяется уравнением:</w:t>
      </w:r>
    </w:p>
    <w:p>
      <w:pPr>
        <w:pStyle w:val="BodyText"/>
        <w:ind w:hanging="0"/>
        <w:jc w:val="center"/>
        <w:rPr/>
      </w:pPr>
      <w:r>
        <w:rPr/>
      </w:r>
      <m:oMathPara xmlns:m="http://schemas.openxmlformats.org/officeDocument/2006/math">
        <m:oMathParaPr>
          <m:jc m:val="center"/>
        </m:oMathParaPr>
        <m:oMath>
          <m:r>
            <m:t xml:space="preserve">S</m:t>
          </m:r>
          <m:r>
            <m:t xml:space="preserve">(</m:t>
          </m:r>
          <m:r>
            <m:t xml:space="preserve">a</m:t>
          </m:r>
          <m:r>
            <m:t xml:space="preserve">,</m:t>
          </m:r>
          <m:r>
            <m:t xml:space="preserve">b</m:t>
          </m:r>
          <m:r>
            <m:t xml:space="preserve">)</m:t>
          </m:r>
          <m:r>
            <m:rPr>
              <m:lit/>
              <m:nor/>
            </m:rPr>
            <m:t xml:space="preserve">=</m:t>
          </m:r>
          <m:r>
            <m:t xml:space="preserve">θf</m:t>
          </m:r>
          <m:r>
            <m:t xml:space="preserve">(</m:t>
          </m:r>
          <m:r>
            <m:t xml:space="preserve">A</m:t>
          </m:r>
          <m:r>
            <m:t xml:space="preserve">∩</m:t>
          </m:r>
          <m:r>
            <m:t xml:space="preserve">B</m:t>
          </m:r>
          <m:r>
            <m:t xml:space="preserve">)</m:t>
          </m:r>
          <m:r>
            <m:rPr>
              <m:lit/>
              <m:nor/>
            </m:rPr>
            <m:t xml:space="preserve">-</m:t>
          </m:r>
          <m:r>
            <m:t xml:space="preserve">αf</m:t>
          </m:r>
          <m:r>
            <m:t xml:space="preserve">(</m:t>
          </m:r>
          <m:r>
            <m:t xml:space="preserve">A</m:t>
          </m:r>
          <m:r>
            <m:rPr>
              <m:lit/>
              <m:nor/>
            </m:rPr>
            <m:t xml:space="preserve">-</m:t>
          </m:r>
          <m:r>
            <m:t xml:space="preserve">B</m:t>
          </m:r>
          <m:r>
            <m:t xml:space="preserve">)</m:t>
          </m:r>
          <m:r>
            <m:rPr>
              <m:lit/>
              <m:nor/>
            </m:rPr>
            <m:t xml:space="preserve">-</m:t>
          </m:r>
          <m:r>
            <m:t xml:space="preserve">βf</m:t>
          </m:r>
          <m:r>
            <m:t xml:space="preserve">(</m:t>
          </m:r>
          <m:r>
            <m:t xml:space="preserve">B</m:t>
          </m:r>
          <m:r>
            <m:rPr>
              <m:lit/>
              <m:nor/>
            </m:rPr>
            <m:t xml:space="preserve">-</m:t>
          </m:r>
          <m:r>
            <m:t xml:space="preserve">A</m:t>
          </m:r>
          <m:r>
            <m:t xml:space="preserve">)</m:t>
          </m:r>
        </m:oMath>
      </m:oMathPara>
    </w:p>
    <w:p>
      <w:pPr>
        <w:pStyle w:val="BodyText"/>
        <w:rPr/>
      </w:pPr>
      <w:r>
        <w:rPr/>
        <w:t xml:space="preserve">где </w:t>
      </w:r>
      <w:r>
        <w:rPr/>
      </w:r>
      <m:oMath xmlns:m="http://schemas.openxmlformats.org/officeDocument/2006/math">
        <m:r>
          <m:t xml:space="preserve">θ</m:t>
        </m:r>
        <m:r>
          <m:t xml:space="preserve">,</m:t>
        </m:r>
        <m:r>
          <m:t xml:space="preserve">α</m:t>
        </m:r>
        <m:r>
          <m:t xml:space="preserve">,</m:t>
        </m:r>
        <m:r>
          <m:t xml:space="preserve">β</m:t>
        </m:r>
      </m:oMath>
      <w:r>
        <w:rPr/>
        <w:t xml:space="preserve"> - обучаемые скалярные параметры, определяющие вес общих и отличительных признаков.</w:t>
      </w:r>
    </w:p>
    <w:p>
      <w:pPr>
        <w:pStyle w:val="BodyText"/>
        <w:rPr/>
      </w:pPr>
      <w:r>
        <w:rPr/>
        <w:t>Для обеспечения дифференцируемости данной функции используются следующие определения компонент:</w:t>
      </w:r>
    </w:p>
    <w:p>
      <w:pPr>
        <w:pStyle w:val="BodyText"/>
        <w:rPr/>
      </w:pPr>
      <w:r>
        <w:rPr>
          <w:b/>
          <w:bCs/>
        </w:rPr>
        <w:t>1. Мера значимости (Salience):</w:t>
      </w:r>
    </w:p>
    <w:p>
      <w:pPr>
        <w:pStyle w:val="BodyText"/>
        <w:rPr/>
      </w:pPr>
      <w:r>
        <w:rPr/>
        <w:t>Сумма мер всех признаков, присутствующих в объекте:</w:t>
      </w:r>
    </w:p>
    <w:p>
      <w:pPr>
        <w:pStyle w:val="BodyText"/>
        <w:jc w:val="center"/>
        <w:rPr/>
      </w:pPr>
      <w:r>
        <w:rPr/>
      </w:r>
      <m:oMathPara xmlns:m="http://schemas.openxmlformats.org/officeDocument/2006/math">
        <m:oMathParaPr>
          <m:jc m:val="center"/>
        </m:oMathParaPr>
        <m:oMath>
          <m:r>
            <m:t xml:space="preserve">f</m:t>
          </m:r>
          <m:r>
            <m:t xml:space="preserve">(</m:t>
          </m:r>
          <m:r>
            <m:t xml:space="preserve">A</m:t>
          </m:r>
          <m:r>
            <m:t xml:space="preserve">)</m:t>
          </m:r>
          <m:r>
            <m:rPr>
              <m:lit/>
              <m:nor/>
            </m:rPr>
            <m:t xml:space="preserve">=</m:t>
          </m:r>
          <m:nary>
            <m:naryPr>
              <m:chr m:val="∑"/>
            </m:naryPr>
            <m:sub>
              <m:r>
                <m:t xml:space="preserve">k</m:t>
              </m:r>
              <m:r>
                <m:rPr>
                  <m:lit/>
                  <m:nor/>
                </m:rPr>
                <m:t xml:space="preserve">=</m:t>
              </m:r>
              <m:r>
                <m:t xml:space="preserve">1</m:t>
              </m:r>
            </m:sub>
            <m:sup>
              <m:r>
                <m:rPr>
                  <m:lit/>
                  <m:nor/>
                </m:rPr>
                <m:t xml:space="preserve">|</m:t>
              </m:r>
              <m:r>
                <m:t xml:space="preserve">Ω</m:t>
              </m:r>
              <m:r>
                <m:rPr>
                  <m:lit/>
                  <m:nor/>
                </m:rPr>
                <m:t xml:space="preserve">|</m:t>
              </m:r>
            </m:sup>
            <m:e>
              <m:r>
                <m:t xml:space="preserve">(</m:t>
              </m:r>
            </m:e>
          </m:nary>
          <m:r>
            <m:t xml:space="preserve">a</m:t>
          </m:r>
          <m:r>
            <m:t xml:space="preserve">⋅</m:t>
          </m:r>
          <m:sSub>
            <m:e>
              <m:r>
                <m:t xml:space="preserve">f</m:t>
              </m:r>
            </m:e>
            <m:sub>
              <m:r>
                <m:t xml:space="preserve">k</m:t>
              </m:r>
            </m:sub>
          </m:sSub>
          <m:r>
            <m:t xml:space="preserve">⋅</m:t>
          </m:r>
          <m:r>
            <m:t xml:space="preserve">I</m:t>
          </m:r>
        </m:oMath>
      </m:oMathPara>
    </w:p>
    <w:p>
      <w:pPr>
        <w:pStyle w:val="BodyText"/>
        <w:rPr/>
      </w:pPr>
      <w:r>
        <w:rPr>
          <w:b/>
          <w:bCs/>
        </w:rPr>
        <w:t>2. Мера пересечения (Intersection):</w:t>
      </w:r>
    </w:p>
    <w:p>
      <w:pPr>
        <w:pStyle w:val="BodyText"/>
        <w:rPr/>
      </w:pPr>
      <w:r>
        <w:rPr/>
        <w:t xml:space="preserve">Определяет меру общих признаков </w:t>
      </w:r>
      <w:r>
        <w:rPr/>
      </w:r>
      <m:oMath xmlns:m="http://schemas.openxmlformats.org/officeDocument/2006/math">
        <m:r>
          <m:t xml:space="preserve">f</m:t>
        </m:r>
        <m:r>
          <m:t xml:space="preserve">(</m:t>
        </m:r>
        <m:r>
          <m:t xml:space="preserve">A</m:t>
        </m:r>
        <m:r>
          <m:t xml:space="preserve">∩</m:t>
        </m:r>
        <m:r>
          <m:t xml:space="preserve">B</m:t>
        </m:r>
        <m:r>
          <m:t xml:space="preserve">)</m:t>
        </m:r>
      </m:oMath>
      <w:r>
        <w:rPr/>
        <w:t xml:space="preserve">. Она вычисляется как агрегация мер признаков, присутствующих одновременно в </w:t>
      </w:r>
      <w:r>
        <w:rPr/>
      </w:r>
      <m:oMath xmlns:m="http://schemas.openxmlformats.org/officeDocument/2006/math">
        <m:r>
          <m:t xml:space="preserve">A</m:t>
        </m:r>
      </m:oMath>
      <w:r>
        <w:rPr/>
        <w:t xml:space="preserve"> и </w:t>
      </w:r>
      <w:r>
        <w:rPr/>
      </w:r>
      <m:oMath xmlns:m="http://schemas.openxmlformats.org/officeDocument/2006/math">
        <m:r>
          <m:t xml:space="preserve">B</m:t>
        </m:r>
      </m:oMath>
      <w:r>
        <w:rPr/>
        <w:t>:</w:t>
      </w:r>
    </w:p>
    <w:p>
      <w:pPr>
        <w:pStyle w:val="BodyText"/>
        <w:jc w:val="center"/>
        <w:rPr/>
      </w:pPr>
      <w:r>
        <w:rPr/>
      </w:r>
      <m:oMathPara xmlns:m="http://schemas.openxmlformats.org/officeDocument/2006/math">
        <m:oMathParaPr>
          <m:jc m:val="center"/>
        </m:oMathParaPr>
        <m:oMath>
          <m:r>
            <m:t xml:space="preserve">f</m:t>
          </m:r>
          <m:r>
            <m:t xml:space="preserve">(</m:t>
          </m:r>
          <m:r>
            <m:t xml:space="preserve">A</m:t>
          </m:r>
          <m:r>
            <m:t xml:space="preserve">∩</m:t>
          </m:r>
          <m:r>
            <m:t xml:space="preserve">B</m:t>
          </m:r>
          <m:r>
            <m:t xml:space="preserve">)</m:t>
          </m:r>
          <m:r>
            <m:rPr>
              <m:lit/>
              <m:nor/>
            </m:rPr>
            <m:t xml:space="preserve">=</m:t>
          </m:r>
          <m:nary>
            <m:naryPr>
              <m:chr m:val="∑"/>
            </m:naryPr>
            <m:sub>
              <m:r>
                <m:t xml:space="preserve">k</m:t>
              </m:r>
              <m:r>
                <m:rPr>
                  <m:lit/>
                  <m:nor/>
                </m:rPr>
                <m:t xml:space="preserve">=</m:t>
              </m:r>
              <m:r>
                <m:t xml:space="preserve">1</m:t>
              </m:r>
            </m:sub>
            <m:sup>
              <m:r>
                <m:rPr>
                  <m:lit/>
                  <m:nor/>
                </m:rPr>
                <m:t xml:space="preserve">|</m:t>
              </m:r>
              <m:r>
                <m:t xml:space="preserve">Ω</m:t>
              </m:r>
              <m:r>
                <m:rPr>
                  <m:lit/>
                  <m:nor/>
                </m:rPr>
                <m:t xml:space="preserve">|</m:t>
              </m:r>
            </m:sup>
            <m:e>
              <m:r>
                <m:t xml:space="preserve">Ψ</m:t>
              </m:r>
            </m:e>
          </m:nary>
          <m:r>
            <m:t xml:space="preserve">(</m:t>
          </m:r>
          <m:r>
            <m:t xml:space="preserve">a</m:t>
          </m:r>
          <m:r>
            <m:t xml:space="preserve">⋅</m:t>
          </m:r>
          <m:sSub>
            <m:e>
              <m:r>
                <m:t xml:space="preserve">f</m:t>
              </m:r>
            </m:e>
            <m:sub>
              <m:r>
                <m:t xml:space="preserve">k</m:t>
              </m:r>
            </m:sub>
          </m:sSub>
          <m:r>
            <m:t xml:space="preserve">,</m:t>
          </m:r>
          <m:r>
            <m:t xml:space="preserve">b</m:t>
          </m:r>
          <m:r>
            <m:t xml:space="preserve">⋅</m:t>
          </m:r>
          <m:sSub>
            <m:e>
              <m:r>
                <m:t xml:space="preserve">f</m:t>
              </m:r>
            </m:e>
            <m:sub>
              <m:r>
                <m:t xml:space="preserve">k</m:t>
              </m:r>
            </m:sub>
          </m:sSub>
          <m:r>
            <m:t xml:space="preserve">⋅</m:t>
          </m:r>
          <m:r>
            <m:t xml:space="preserve">I</m:t>
          </m:r>
        </m:oMath>
      </m:oMathPara>
    </w:p>
    <w:p>
      <w:pPr>
        <w:pStyle w:val="BodyText"/>
        <w:rPr/>
      </w:pPr>
      <w:r>
        <w:rPr/>
        <w:t xml:space="preserve">где </w:t>
      </w:r>
      <w:r>
        <w:rPr/>
      </w:r>
      <m:oMath xmlns:m="http://schemas.openxmlformats.org/officeDocument/2006/math">
        <m:r>
          <m:t xml:space="preserve">Ψ</m:t>
        </m:r>
      </m:oMath>
      <w:r>
        <w:rPr/>
        <w:t xml:space="preserve"> - агрегирующая функция (в экспериментах статьи исследуются варианты min, product, softmin и др.).</w:t>
      </w:r>
    </w:p>
    <w:p>
      <w:pPr>
        <w:pStyle w:val="BodyText"/>
        <w:rPr/>
      </w:pPr>
      <w:r>
        <w:rPr>
          <w:b/>
          <w:bCs/>
        </w:rPr>
        <w:t>3. Мера разности (Difference):</w:t>
      </w:r>
    </w:p>
    <w:p>
      <w:pPr>
        <w:pStyle w:val="BodyText"/>
        <w:rPr/>
      </w:pPr>
      <w:r>
        <w:rPr/>
        <w:t>Определяет меру отличительных признаков. В методе используется один из двух вариантов: ignorematch или subtractmatch соответственно:</w:t>
      </w:r>
    </w:p>
    <w:p>
      <w:pPr>
        <w:pStyle w:val="BodyText"/>
        <w:jc w:val="center"/>
        <w:rPr/>
      </w:pPr>
      <w:r>
        <w:rPr/>
      </w:r>
      <m:oMathPara xmlns:m="http://schemas.openxmlformats.org/officeDocument/2006/math">
        <m:oMathParaPr>
          <m:jc m:val="center"/>
        </m:oMathParaPr>
        <m:oMath>
          <m:eqArr>
            <m:e>
              <m:sSup>
                <m:e>
                  <m:r>
                    <m:t xml:space="preserve">f</m:t>
                  </m:r>
                </m:e>
                <m:sup>
                  <m:r>
                    <m:t xml:space="preserve">i</m:t>
                  </m:r>
                </m:sup>
              </m:sSup>
              <m:r>
                <m:t xml:space="preserve">(</m:t>
              </m:r>
              <m:r>
                <m:t xml:space="preserve">A</m:t>
              </m:r>
              <m:r>
                <m:rPr>
                  <m:lit/>
                  <m:nor/>
                </m:rPr>
                <m:t xml:space="preserve">-</m:t>
              </m:r>
              <m:r>
                <m:t xml:space="preserve">B</m:t>
              </m:r>
              <m:r>
                <m:t xml:space="preserve">)</m:t>
              </m:r>
              <m:r>
                <m:rPr>
                  <m:lit/>
                  <m:nor/>
                </m:rPr>
                <m:t xml:space="preserve">&amp;</m:t>
              </m:r>
              <m:r>
                <m:rPr>
                  <m:lit/>
                  <m:nor/>
                </m:rPr>
                <m:t xml:space="preserve">=</m:t>
              </m:r>
              <m:nary>
                <m:naryPr>
                  <m:chr m:val="∑"/>
                </m:naryPr>
                <m:sub>
                  <m:r>
                    <m:t xml:space="preserve">k</m:t>
                  </m:r>
                  <m:r>
                    <m:rPr>
                      <m:lit/>
                      <m:nor/>
                    </m:rPr>
                    <m:t xml:space="preserve">=</m:t>
                  </m:r>
                  <m:r>
                    <m:t xml:space="preserve">1</m:t>
                  </m:r>
                </m:sub>
                <m:sup>
                  <m:r>
                    <m:rPr>
                      <m:lit/>
                      <m:nor/>
                    </m:rPr>
                    <m:t xml:space="preserve">|</m:t>
                  </m:r>
                  <m:r>
                    <m:t xml:space="preserve">Ω</m:t>
                  </m:r>
                  <m:r>
                    <m:rPr>
                      <m:lit/>
                      <m:nor/>
                    </m:rPr>
                    <m:t xml:space="preserve">|</m:t>
                  </m:r>
                </m:sup>
                <m:e>
                  <m:r>
                    <m:t xml:space="preserve">(</m:t>
                  </m:r>
                </m:e>
              </m:nary>
              <m:r>
                <m:t xml:space="preserve">a</m:t>
              </m:r>
              <m:r>
                <m:t xml:space="preserve">⋅</m:t>
              </m:r>
              <m:sSub>
                <m:e>
                  <m:r>
                    <m:t xml:space="preserve">f</m:t>
                  </m:r>
                </m:e>
                <m:sub>
                  <m:r>
                    <m:t xml:space="preserve">k</m:t>
                  </m:r>
                </m:sub>
              </m:sSub>
            </m:e>
            <m:e/>
          </m:eqArr>
          <m:r>
            <m:t xml:space="preserve">⋅</m:t>
          </m:r>
          <m:r>
            <m:t xml:space="preserve">I</m:t>
          </m:r>
          <m:r>
            <m:t xml:space="preserve">⋅</m:t>
          </m:r>
          <m:r>
            <m:t xml:space="preserve">I</m:t>
          </m:r>
        </m:oMath>
      </m:oMathPara>
    </w:p>
    <w:p>
      <w:pPr>
        <w:pStyle w:val="BodyText"/>
        <w:rPr/>
      </w:pPr>
      <w:r>
        <w:rPr/>
        <w:t xml:space="preserve">В первом случае учитываются только признаки, которые есть в </w:t>
      </w:r>
      <w:r>
        <w:rPr/>
      </w:r>
      <m:oMath xmlns:m="http://schemas.openxmlformats.org/officeDocument/2006/math">
        <m:r>
          <m:t xml:space="preserve">a</m:t>
        </m:r>
      </m:oMath>
      <w:r>
        <w:rPr/>
        <w:t xml:space="preserve"> и нет в </w:t>
      </w:r>
      <w:r>
        <w:rPr/>
      </w:r>
      <m:oMath xmlns:m="http://schemas.openxmlformats.org/officeDocument/2006/math">
        <m:r>
          <m:t xml:space="preserve">b</m:t>
        </m:r>
      </m:oMath>
      <w:r>
        <w:rPr/>
        <w:t xml:space="preserve">, а во втором случае учитываются признаки, которые есть в </w:t>
      </w:r>
      <w:r>
        <w:rPr/>
      </w:r>
      <m:oMath xmlns:m="http://schemas.openxmlformats.org/officeDocument/2006/math">
        <m:r>
          <m:t xml:space="preserve">a</m:t>
        </m:r>
      </m:oMath>
      <w:r>
        <w:rPr/>
        <w:t xml:space="preserve"> и </w:t>
      </w:r>
      <w:r>
        <w:rPr/>
      </w:r>
      <m:oMath xmlns:m="http://schemas.openxmlformats.org/officeDocument/2006/math">
        <m:r>
          <m:t xml:space="preserve">b</m:t>
        </m:r>
      </m:oMath>
      <w:r>
        <w:rPr/>
        <w:t xml:space="preserve">, но их значимость в </w:t>
      </w:r>
      <w:r>
        <w:rPr/>
      </w:r>
      <m:oMath xmlns:m="http://schemas.openxmlformats.org/officeDocument/2006/math">
        <m:r>
          <m:t xml:space="preserve">a</m:t>
        </m:r>
      </m:oMath>
      <w:r>
        <w:rPr/>
        <w:t xml:space="preserve"> больше (</w:t>
      </w:r>
      <w:r>
        <w:rPr/>
      </w:r>
      <m:oMath xmlns:m="http://schemas.openxmlformats.org/officeDocument/2006/math">
        <m:r>
          <m:t xml:space="preserve">a</m:t>
        </m:r>
        <m:r>
          <m:t xml:space="preserve">⋅</m:t>
        </m:r>
        <m:sSub>
          <m:e>
            <m:r>
              <m:t xml:space="preserve">f</m:t>
            </m:r>
          </m:e>
          <m:sub>
            <m:r>
              <m:t xml:space="preserve">k</m:t>
            </m:r>
          </m:sub>
        </m:sSub>
        <m:r>
          <m:rPr>
            <m:lit/>
            <m:nor/>
          </m:rPr>
          <m:t xml:space="preserve">&gt;</m:t>
        </m:r>
        <m:r>
          <m:t xml:space="preserve">b</m:t>
        </m:r>
        <m:r>
          <m:t xml:space="preserve">⋅</m:t>
        </m:r>
        <m:sSub>
          <m:e>
            <m:r>
              <m:t xml:space="preserve">f</m:t>
            </m:r>
          </m:e>
          <m:sub>
            <m:r>
              <m:t xml:space="preserve">k</m:t>
            </m:r>
          </m:sub>
        </m:sSub>
      </m:oMath>
      <w:r>
        <w:rPr/>
        <w:t>).</w:t>
      </w:r>
    </w:p>
    <w:p>
      <w:pPr>
        <w:pStyle w:val="Heading3"/>
        <w:numPr>
          <w:ilvl w:val="2"/>
          <w:numId w:val="2"/>
        </w:numPr>
        <w:ind w:start="708"/>
        <w:rPr/>
      </w:pPr>
      <w:bookmarkStart w:id="30" w:name="_Toc216534283"/>
      <w:r>
        <w:rPr/>
        <w:t>2.3 Описание метода решения</w:t>
      </w:r>
      <w:bookmarkEnd w:id="30"/>
    </w:p>
    <w:p>
      <w:pPr>
        <w:pStyle w:val="BodyText"/>
        <w:rPr/>
      </w:pPr>
      <w:r>
        <w:rPr/>
        <w:t>Описываемый метод заключается в модификации механизма внимания, при которой стандартная операция скалярного произведения заменяется на дифференцируемую меру сходства Тверски. Это позволяет перейти от геометрической парадигмы сравнения векторов к теоретико-множественной, обеспечивая возможность моделирования асимметричных отношений при использовании единого пространства признаков.</w:t>
      </w:r>
    </w:p>
    <w:p>
      <w:pPr>
        <w:pStyle w:val="BodyText"/>
        <w:rPr/>
      </w:pPr>
      <w:r>
        <w:rPr/>
        <w:t>Интеграция описанной математической модели в архитектуру Transformer выполняется следующим образом:</w:t>
      </w:r>
    </w:p>
    <w:p>
      <w:pPr>
        <w:pStyle w:val="BodyText"/>
        <w:numPr>
          <w:ilvl w:val="0"/>
          <w:numId w:val="7"/>
        </w:numPr>
        <w:rPr/>
      </w:pPr>
      <w:r>
        <w:rPr/>
        <w:t xml:space="preserve">Используется единая матрица проекции </w:t>
      </w:r>
      <w:r>
        <w:rPr/>
      </w:r>
      <m:oMath xmlns:m="http://schemas.openxmlformats.org/officeDocument/2006/math">
        <m:sSub>
          <m:e>
            <m:r>
              <m:t xml:space="preserve">W</m:t>
            </m:r>
          </m:e>
          <m:sub>
            <m:r>
              <m:t xml:space="preserve">proj</m:t>
            </m:r>
          </m:sub>
        </m:sSub>
      </m:oMath>
      <w:r>
        <w:rPr/>
        <w:t xml:space="preserve"> для преобразования входных эмбеддингов </w:t>
      </w:r>
      <w:r>
        <w:rPr/>
      </w:r>
      <m:oMath xmlns:m="http://schemas.openxmlformats.org/officeDocument/2006/math">
        <m:r>
          <m:t xml:space="preserve">X</m:t>
        </m:r>
      </m:oMath>
      <w:r>
        <w:rPr/>
        <w:t xml:space="preserve"> в скрытое представление </w:t>
      </w:r>
      <w:r>
        <w:rPr/>
      </w:r>
      <m:oMath xmlns:m="http://schemas.openxmlformats.org/officeDocument/2006/math">
        <m:r>
          <m:t xml:space="preserve">Z</m:t>
        </m:r>
        <m:r>
          <m:rPr>
            <m:lit/>
            <m:nor/>
          </m:rPr>
          <m:t xml:space="preserve">=</m:t>
        </m:r>
        <m:r>
          <m:t xml:space="preserve">X</m:t>
        </m:r>
        <m:sSub>
          <m:e>
            <m:r>
              <m:t xml:space="preserve">W</m:t>
            </m:r>
          </m:e>
          <m:sub>
            <m:r>
              <m:t xml:space="preserve">proj</m:t>
            </m:r>
          </m:sub>
        </m:sSub>
      </m:oMath>
      <w:r>
        <w:rPr/>
        <w:t xml:space="preserve">. Каждый вектор </w:t>
      </w:r>
      <w:r>
        <w:rPr/>
      </w:r>
      <m:oMath xmlns:m="http://schemas.openxmlformats.org/officeDocument/2006/math">
        <m:r>
          <m:t xml:space="preserve">z</m:t>
        </m:r>
      </m:oMath>
      <w:r>
        <w:rPr/>
        <w:t xml:space="preserve"> (строка матрицы </w:t>
      </w:r>
      <w:r>
        <w:rPr/>
      </w:r>
      <m:oMath xmlns:m="http://schemas.openxmlformats.org/officeDocument/2006/math">
        <m:r>
          <m:t xml:space="preserve">Z</m:t>
        </m:r>
      </m:oMath>
      <w:r>
        <w:rPr/>
        <w:t xml:space="preserve">) рассматривается как объект </w:t>
      </w:r>
      <w:r>
        <w:rPr/>
      </w:r>
      <m:oMath xmlns:m="http://schemas.openxmlformats.org/officeDocument/2006/math">
        <m:acc>
          <m:accPr>
            <m:chr m:val="~"/>
          </m:accPr>
          <m:e>
            <m:r>
              <m:t xml:space="preserve">Z</m:t>
            </m:r>
          </m:e>
        </m:acc>
      </m:oMath>
      <w:r>
        <w:rPr/>
        <w:t xml:space="preserve">, характеризующийся набором признаков из банка </w:t>
      </w:r>
      <w:r>
        <w:rPr/>
      </w:r>
      <m:oMath xmlns:m="http://schemas.openxmlformats.org/officeDocument/2006/math">
        <m:r>
          <m:t xml:space="preserve">Ω</m:t>
        </m:r>
      </m:oMath>
      <w:r>
        <w:rPr/>
        <w:t>.</w:t>
      </w:r>
    </w:p>
    <w:p>
      <w:pPr>
        <w:pStyle w:val="BodyText"/>
        <w:numPr>
          <w:ilvl w:val="0"/>
          <w:numId w:val="7"/>
        </w:numPr>
        <w:rPr/>
      </w:pPr>
      <w:r>
        <w:rPr/>
        <w:t xml:space="preserve">Элементы матрицы весов внимания </w:t>
      </w:r>
      <w:r>
        <w:rPr/>
      </w:r>
      <m:oMath xmlns:m="http://schemas.openxmlformats.org/officeDocument/2006/math">
        <m:sSub>
          <m:e>
            <m:r>
              <m:t xml:space="preserve">S</m:t>
            </m:r>
          </m:e>
          <m:sub>
            <m:r>
              <m:t xml:space="preserve">ij</m:t>
            </m:r>
          </m:sub>
        </m:sSub>
      </m:oMath>
      <w:r>
        <w:rPr/>
        <w:t xml:space="preserve"> вычисляются путем применения формулы к парам векторов </w:t>
      </w:r>
      <w:r>
        <w:rPr/>
      </w:r>
      <m:oMath xmlns:m="http://schemas.openxmlformats.org/officeDocument/2006/math">
        <m:r>
          <m:t xml:space="preserve">(</m:t>
        </m:r>
        <m:sSub>
          <m:e>
            <m:r>
              <m:t xml:space="preserve">z</m:t>
            </m:r>
          </m:e>
          <m:sub>
            <m:r>
              <m:t xml:space="preserve">i</m:t>
            </m:r>
          </m:sub>
        </m:sSub>
        <m:r>
          <m:t xml:space="preserve">,</m:t>
        </m:r>
        <m:sSub>
          <m:e>
            <m:r>
              <m:t xml:space="preserve">z</m:t>
            </m:r>
          </m:e>
          <m:sub>
            <m:r>
              <m:t xml:space="preserve">j</m:t>
            </m:r>
          </m:sub>
        </m:sSub>
        <m:r>
          <m:t xml:space="preserve">)</m:t>
        </m:r>
      </m:oMath>
      <w:r>
        <w:rPr/>
        <w:t xml:space="preserve">: </w:t>
      </w:r>
      <w:r>
        <w:rPr/>
      </w:r>
      <m:oMath xmlns:m="http://schemas.openxmlformats.org/officeDocument/2006/math">
        <m:sSub>
          <m:e>
            <m:r>
              <m:t xml:space="preserve">S</m:t>
            </m:r>
          </m:e>
          <m:sub>
            <m:r>
              <m:t xml:space="preserve">ij</m:t>
            </m:r>
          </m:sub>
        </m:sSub>
        <m:r>
          <m:rPr>
            <m:lit/>
            <m:nor/>
          </m:rPr>
          <m:t xml:space="preserve">=</m:t>
        </m:r>
        <m:r>
          <m:t xml:space="preserve">θf</m:t>
        </m:r>
        <m:r>
          <m:t xml:space="preserve">(</m:t>
        </m:r>
        <m:acc>
          <m:accPr>
            <m:chr m:val="~"/>
          </m:accPr>
          <m:e>
            <m:sSub>
              <m:e>
                <m:r>
                  <m:t xml:space="preserve">Z</m:t>
                </m:r>
              </m:e>
              <m:sub>
                <m:r>
                  <m:t xml:space="preserve">i</m:t>
                </m:r>
              </m:sub>
            </m:sSub>
          </m:e>
        </m:acc>
        <m:r>
          <m:t xml:space="preserve">∩</m:t>
        </m:r>
        <m:acc>
          <m:accPr>
            <m:chr m:val="~"/>
          </m:accPr>
          <m:e>
            <m:sSub>
              <m:e>
                <m:r>
                  <m:t xml:space="preserve">Z</m:t>
                </m:r>
              </m:e>
              <m:sub>
                <m:r>
                  <m:t xml:space="preserve">j</m:t>
                </m:r>
              </m:sub>
            </m:sSub>
          </m:e>
        </m:acc>
        <m:r>
          <m:t xml:space="preserve">)</m:t>
        </m:r>
        <m:r>
          <m:rPr>
            <m:lit/>
            <m:nor/>
          </m:rPr>
          <m:t xml:space="preserve">-</m:t>
        </m:r>
        <m:r>
          <m:t xml:space="preserve">αf</m:t>
        </m:r>
        <m:r>
          <m:t xml:space="preserve">(</m:t>
        </m:r>
        <m:acc>
          <m:accPr>
            <m:chr m:val="~"/>
          </m:accPr>
          <m:e>
            <m:sSub>
              <m:e>
                <m:r>
                  <m:t xml:space="preserve">Z</m:t>
                </m:r>
              </m:e>
              <m:sub>
                <m:r>
                  <m:t xml:space="preserve">i</m:t>
                </m:r>
              </m:sub>
            </m:sSub>
          </m:e>
        </m:acc>
        <m:r>
          <m:rPr>
            <m:lit/>
            <m:nor/>
          </m:rPr>
          <m:t xml:space="preserve">-</m:t>
        </m:r>
        <m:acc>
          <m:accPr>
            <m:chr m:val="~"/>
          </m:accPr>
          <m:e>
            <m:sSub>
              <m:e>
                <m:r>
                  <m:t xml:space="preserve">Z</m:t>
                </m:r>
              </m:e>
              <m:sub>
                <m:r>
                  <m:t xml:space="preserve">j</m:t>
                </m:r>
              </m:sub>
            </m:sSub>
          </m:e>
        </m:acc>
        <m:r>
          <m:t xml:space="preserve">)</m:t>
        </m:r>
        <m:r>
          <m:rPr>
            <m:lit/>
            <m:nor/>
          </m:rPr>
          <m:t xml:space="preserve">-</m:t>
        </m:r>
        <m:r>
          <m:t xml:space="preserve">βf</m:t>
        </m:r>
        <m:r>
          <m:t xml:space="preserve">(</m:t>
        </m:r>
        <m:acc>
          <m:accPr>
            <m:chr m:val="~"/>
          </m:accPr>
          <m:e>
            <m:sSub>
              <m:e>
                <m:r>
                  <m:t xml:space="preserve">Z</m:t>
                </m:r>
              </m:e>
              <m:sub>
                <m:r>
                  <m:t xml:space="preserve">j</m:t>
                </m:r>
              </m:sub>
            </m:sSub>
          </m:e>
        </m:acc>
        <m:r>
          <m:rPr>
            <m:lit/>
            <m:nor/>
          </m:rPr>
          <m:t xml:space="preserve">-</m:t>
        </m:r>
        <m:acc>
          <m:accPr>
            <m:chr m:val="~"/>
          </m:accPr>
          <m:e>
            <m:sSub>
              <m:e>
                <m:r>
                  <m:t xml:space="preserve">Z</m:t>
                </m:r>
              </m:e>
              <m:sub>
                <m:r>
                  <m:t xml:space="preserve">i</m:t>
                </m:r>
              </m:sub>
            </m:sSub>
          </m:e>
        </m:acc>
        <m:r>
          <m:t xml:space="preserve">)</m:t>
        </m:r>
      </m:oMath>
    </w:p>
    <w:p>
      <w:pPr>
        <w:pStyle w:val="BodyText"/>
        <w:numPr>
          <w:ilvl w:val="0"/>
          <w:numId w:val="7"/>
        </w:numPr>
        <w:rPr/>
      </w:pPr>
      <w:r>
        <w:rPr/>
        <w:t xml:space="preserve">Полученные оценки преобразуются в вероятностное распределение с помощью функции Softmax и используются для взвешенной суммы векторов значений </w:t>
      </w:r>
      <w:r>
        <w:rPr/>
      </w:r>
      <m:oMath xmlns:m="http://schemas.openxmlformats.org/officeDocument/2006/math">
        <m:r>
          <m:t xml:space="preserve">V</m:t>
        </m:r>
      </m:oMath>
      <w:r>
        <w:rPr/>
        <w:t>:</w:t>
      </w:r>
    </w:p>
    <w:p>
      <w:pPr>
        <w:pStyle w:val="BodyText"/>
        <w:ind w:hanging="0" w:start="1429"/>
        <w:jc w:val="center"/>
        <w:rPr>
          <w:lang w:val="en-US"/>
        </w:rPr>
      </w:pPr>
      <w:r>
        <w:rPr/>
      </w:r>
      <m:oMathPara xmlns:m="http://schemas.openxmlformats.org/officeDocument/2006/math">
        <m:oMathParaPr>
          <m:jc m:val="center"/>
        </m:oMathParaPr>
        <m:oMath>
          <m:sSub>
            <m:e>
              <m:r>
                <m:t xml:space="preserve">A</m:t>
              </m:r>
            </m:e>
            <m:sub>
              <m:r>
                <m:t xml:space="preserve">ij</m:t>
              </m:r>
            </m:sub>
          </m:sSub>
          <m:r>
            <m:rPr>
              <m:lit/>
              <m:nor/>
            </m:rPr>
            <m:t xml:space="preserve">=</m:t>
          </m:r>
          <m:r>
            <m:rPr>
              <m:lit/>
              <m:nor/>
            </m:rPr>
            <m:t xml:space="preserve">softmax</m:t>
          </m:r>
          <m:r>
            <m:t xml:space="preserve">(</m:t>
          </m:r>
          <m:sSub>
            <m:e>
              <m:r>
                <m:t xml:space="preserve">S</m:t>
              </m:r>
            </m:e>
            <m:sub>
              <m:r>
                <m:t xml:space="preserve">ij</m:t>
              </m:r>
            </m:sub>
          </m:sSub>
          <m:r>
            <m:t xml:space="preserve">)</m:t>
          </m:r>
          <m:r>
            <m:rPr>
              <m:lit/>
              <m:nor/>
            </m:rPr>
            <m:t xml:space="preserve">=</m:t>
          </m:r>
          <m:f>
            <m:num>
              <m:r>
                <m:t xml:space="preserve">exp</m:t>
              </m:r>
              <m:r>
                <m:t xml:space="preserve">(</m:t>
              </m:r>
              <m:sSub>
                <m:e>
                  <m:r>
                    <m:t xml:space="preserve">S</m:t>
                  </m:r>
                </m:e>
                <m:sub>
                  <m:r>
                    <m:t xml:space="preserve">ij</m:t>
                  </m:r>
                </m:sub>
              </m:sSub>
              <m:r>
                <m:t xml:space="preserve">)</m:t>
              </m:r>
            </m:num>
            <m:den>
              <m:nary>
                <m:naryPr>
                  <m:chr m:val="∑"/>
                </m:naryPr>
                <m:sub>
                  <m:r>
                    <m:t xml:space="preserve">k</m:t>
                  </m:r>
                  <m:r>
                    <m:rPr>
                      <m:lit/>
                      <m:nor/>
                    </m:rPr>
                    <m:t xml:space="preserve">=</m:t>
                  </m:r>
                  <m:r>
                    <m:t xml:space="preserve">1</m:t>
                  </m:r>
                </m:sub>
                <m:sup>
                  <m:r>
                    <m:t xml:space="preserve">N</m:t>
                  </m:r>
                </m:sup>
                <m:e>
                  <m:r>
                    <m:t xml:space="preserve">exp</m:t>
                  </m:r>
                </m:e>
              </m:nary>
              <m:r>
                <m:t xml:space="preserve">(</m:t>
              </m:r>
              <m:sSub>
                <m:e>
                  <m:r>
                    <m:t xml:space="preserve">S</m:t>
                  </m:r>
                </m:e>
                <m:sub>
                  <m:r>
                    <m:t xml:space="preserve">ik</m:t>
                  </m:r>
                </m:sub>
              </m:sSub>
              <m:r>
                <m:t xml:space="preserve">)</m:t>
              </m:r>
            </m:den>
          </m:f>
        </m:oMath>
      </m:oMathPara>
    </w:p>
    <w:p>
      <w:pPr>
        <w:pStyle w:val="BodyText"/>
        <w:ind w:hanging="0" w:start="1429"/>
        <w:jc w:val="center"/>
        <w:rPr/>
      </w:pPr>
      <w:r>
        <w:rPr/>
      </w:r>
      <m:oMathPara xmlns:m="http://schemas.openxmlformats.org/officeDocument/2006/math">
        <m:oMathParaPr>
          <m:jc m:val="center"/>
        </m:oMathParaPr>
        <m:oMath>
          <m:r>
            <m:rPr>
              <m:lit/>
              <m:nor/>
            </m:rPr>
            <m:t xml:space="preserve">Output</m:t>
          </m:r>
          <m:r>
            <m:rPr>
              <m:lit/>
              <m:nor/>
            </m:rPr>
            <m:t xml:space="preserve">=</m:t>
          </m:r>
          <m:r>
            <m:t xml:space="preserve">A</m:t>
          </m:r>
          <m:r>
            <m:t xml:space="preserve">⋅</m:t>
          </m:r>
          <m:r>
            <m:t xml:space="preserve">V</m:t>
          </m:r>
        </m:oMath>
      </m:oMathPara>
    </w:p>
    <w:p>
      <w:pPr>
        <w:pStyle w:val="BodyText"/>
        <w:ind w:hanging="0" w:start="1429"/>
        <w:rPr/>
      </w:pPr>
      <w:r>
        <w:rPr/>
        <w:t xml:space="preserve">Итоговый тензор имеет размерность </w:t>
      </w:r>
      <w:r>
        <w:rPr/>
      </w:r>
      <m:oMath xmlns:m="http://schemas.openxmlformats.org/officeDocument/2006/math">
        <m:r>
          <m:t xml:space="preserve">N</m:t>
        </m:r>
        <m:r>
          <m:t xml:space="preserve">×</m:t>
        </m:r>
        <m:r>
          <m:t xml:space="preserve">d</m:t>
        </m:r>
      </m:oMath>
      <w:r>
        <w:rPr/>
        <w:t>.</w:t>
      </w:r>
    </w:p>
    <w:p>
      <w:pPr>
        <w:pStyle w:val="BodyText"/>
        <w:numPr>
          <w:ilvl w:val="0"/>
          <w:numId w:val="8"/>
        </w:numPr>
        <w:rPr/>
      </w:pPr>
      <w:r>
        <w:rPr/>
        <w:t xml:space="preserve">Использование коэффициентов </w:t>
      </w:r>
      <w:r>
        <w:rPr/>
      </w:r>
      <m:oMath xmlns:m="http://schemas.openxmlformats.org/officeDocument/2006/math">
        <m:r>
          <m:t xml:space="preserve">α</m:t>
        </m:r>
      </m:oMath>
      <w:r>
        <w:rPr/>
        <w:t xml:space="preserve"> и </w:t>
      </w:r>
      <w:r>
        <w:rPr/>
      </w:r>
      <m:oMath xmlns:m="http://schemas.openxmlformats.org/officeDocument/2006/math">
        <m:r>
          <m:t xml:space="preserve">β</m:t>
        </m:r>
      </m:oMath>
      <w:r>
        <w:rPr/>
        <w:t xml:space="preserve"> позволяет функции сходства быть асимметричной (</w:t>
      </w:r>
      <w:r>
        <w:rPr/>
      </w:r>
      <m:oMath xmlns:m="http://schemas.openxmlformats.org/officeDocument/2006/math">
        <m:r>
          <m:t xml:space="preserve">S</m:t>
        </m:r>
        <m:r>
          <m:t xml:space="preserve">(</m:t>
        </m:r>
        <m:r>
          <m:t xml:space="preserve">a</m:t>
        </m:r>
        <m:r>
          <m:t xml:space="preserve">,</m:t>
        </m:r>
        <m:r>
          <m:t xml:space="preserve">b</m:t>
        </m:r>
        <m:r>
          <m:t xml:space="preserve">)</m:t>
        </m:r>
        <m:r>
          <m:t xml:space="preserve">≠</m:t>
        </m:r>
        <m:r>
          <m:t xml:space="preserve">S</m:t>
        </m:r>
        <m:r>
          <m:t xml:space="preserve">(</m:t>
        </m:r>
        <m:r>
          <m:t xml:space="preserve">b</m:t>
        </m:r>
        <m:r>
          <m:t xml:space="preserve">,</m:t>
        </m:r>
        <m:r>
          <m:t xml:space="preserve">a</m:t>
        </m:r>
        <m:r>
          <m:t xml:space="preserve">)</m:t>
        </m:r>
      </m:oMath>
      <w:r>
        <w:rPr/>
        <w:t xml:space="preserve"> при </w:t>
      </w:r>
      <w:r>
        <w:rPr/>
      </w:r>
      <m:oMath xmlns:m="http://schemas.openxmlformats.org/officeDocument/2006/math">
        <m:r>
          <m:t xml:space="preserve">α</m:t>
        </m:r>
        <m:r>
          <m:t xml:space="preserve">≠</m:t>
        </m:r>
        <m:r>
          <m:t xml:space="preserve">β</m:t>
        </m:r>
      </m:oMath>
      <w:r>
        <w:rPr/>
        <w:t xml:space="preserve">). Это снимает необходимость в раздельных проекциях для моделирования направленных связей, позволяя сократить количество параметров слоя внимания. Более того, все слои внимания могут использовать общий банк признаков </w:t>
      </w:r>
      <w:r>
        <w:rPr/>
      </w:r>
      <m:oMath xmlns:m="http://schemas.openxmlformats.org/officeDocument/2006/math">
        <m:r>
          <m:t xml:space="preserve">Ω</m:t>
        </m:r>
      </m:oMath>
      <w:r>
        <w:rPr/>
        <w:t>, что открывает пространство для еще большего повышения параметрической эффективности.</w:t>
      </w:r>
    </w:p>
    <w:p>
      <w:pPr>
        <w:pStyle w:val="BodyText"/>
        <w:rPr/>
      </w:pPr>
      <w:r>
        <w:rPr/>
        <w:t xml:space="preserve">Итоговый модуль полностью дифференцируем, что позволяет обучать банк признаков </w:t>
      </w:r>
      <w:r>
        <w:rPr/>
      </w:r>
      <m:oMath xmlns:m="http://schemas.openxmlformats.org/officeDocument/2006/math">
        <m:r>
          <m:t xml:space="preserve">Ω</m:t>
        </m:r>
      </m:oMath>
      <w:r>
        <w:rPr/>
        <w:t xml:space="preserve"> и веса </w:t>
      </w:r>
      <w:r>
        <w:rPr/>
      </w:r>
      <m:oMath xmlns:m="http://schemas.openxmlformats.org/officeDocument/2006/math">
        <m:r>
          <m:t xml:space="preserve">θ</m:t>
        </m:r>
        <m:r>
          <m:t xml:space="preserve">,</m:t>
        </m:r>
        <m:r>
          <m:t xml:space="preserve">α</m:t>
        </m:r>
        <m:r>
          <m:t xml:space="preserve">,</m:t>
        </m:r>
        <m:r>
          <m:t xml:space="preserve">β</m:t>
        </m:r>
      </m:oMath>
      <w:r>
        <w:rPr/>
        <w:t xml:space="preserve"> методом обратного распространения ошибки вместе с остальной сетью.</w:t>
      </w:r>
    </w:p>
    <w:p>
      <w:pPr>
        <w:pStyle w:val="Heading3"/>
        <w:numPr>
          <w:ilvl w:val="2"/>
          <w:numId w:val="2"/>
        </w:numPr>
        <w:ind w:start="708"/>
        <w:rPr/>
      </w:pPr>
      <w:bookmarkStart w:id="31" w:name="_Toc216534284"/>
      <w:r>
        <w:rPr/>
        <w:t>2.3 Методика экспериментального исследования</w:t>
      </w:r>
      <w:bookmarkEnd w:id="31"/>
    </w:p>
    <w:p>
      <w:pPr>
        <w:pStyle w:val="BodyText"/>
        <w:rPr/>
      </w:pPr>
      <w:r>
        <w:rPr/>
        <w:t>Для оценки эффективности формируется следующая методика:</w:t>
      </w:r>
    </w:p>
    <w:p>
      <w:pPr>
        <w:pStyle w:val="BodyText"/>
        <w:numPr>
          <w:ilvl w:val="0"/>
          <w:numId w:val="8"/>
        </w:numPr>
        <w:rPr/>
      </w:pPr>
      <w:r>
        <w:rPr/>
        <w:t xml:space="preserve">Экспериментальные группы:  </w:t>
      </w:r>
      <w:r>
        <w:rPr>
          <w:lang w:val="en-US"/>
        </w:rPr>
        <w:t>Baseline</w:t>
      </w:r>
      <w:r>
        <w:rPr/>
        <w:t xml:space="preserve">: </w:t>
      </w:r>
      <w:r>
        <w:rPr>
          <w:lang w:val="en-US"/>
        </w:rPr>
        <w:t>GPT</w:t>
      </w:r>
      <w:r>
        <w:rPr/>
        <w:t xml:space="preserve">-2 </w:t>
      </w:r>
      <w:r>
        <w:rPr>
          <w:lang w:val="en-US"/>
        </w:rPr>
        <w:t>Small</w:t>
      </w:r>
      <w:r>
        <w:rPr/>
        <w:t xml:space="preserve"> (12 слоев, </w:t>
      </w:r>
      <w:r>
        <w:rPr>
          <w:lang w:val="en-US"/>
        </w:rPr>
        <w:t>d</w:t>
      </w:r>
      <w:r>
        <w:rPr/>
        <w:t xml:space="preserve">=768), стандартный </w:t>
      </w:r>
      <w:r>
        <w:rPr>
          <w:lang w:val="en-US"/>
        </w:rPr>
        <w:t>Attention</w:t>
      </w:r>
      <w:r>
        <w:rPr/>
        <w:t xml:space="preserve">. Экспериментальная модель (Tversky-GPT): Модификация, где слои внимания заменены на Tversky Self-Attention c единым банком признаков </w:t>
      </w:r>
      <w:r>
        <w:rPr/>
      </w:r>
      <m:oMath xmlns:m="http://schemas.openxmlformats.org/officeDocument/2006/math">
        <m:r>
          <m:t xml:space="preserve">Ω</m:t>
        </m:r>
      </m:oMath>
      <w:r>
        <w:rPr/>
        <w:t>.</w:t>
      </w:r>
    </w:p>
    <w:p>
      <w:pPr>
        <w:pStyle w:val="BodyText"/>
        <w:numPr>
          <w:ilvl w:val="0"/>
          <w:numId w:val="8"/>
        </w:numPr>
        <w:rPr/>
      </w:pPr>
      <w:r>
        <w:rPr/>
        <w:t>Метриками выступят количество параметров и PPL на тестовой выборке WikiText-103.</w:t>
      </w:r>
    </w:p>
    <w:p>
      <w:pPr>
        <w:pStyle w:val="BodyText"/>
        <w:numPr>
          <w:ilvl w:val="0"/>
          <w:numId w:val="8"/>
        </w:numPr>
        <w:rPr/>
      </w:pPr>
      <w:r>
        <w:rPr/>
        <w:t xml:space="preserve">Обучение с нуля и идентичными гиперпараметрами. Критерий успеха: снижение PPL или паритет PPL при уменьшении </w:t>
      </w:r>
      <w:r>
        <w:rPr/>
      </w:r>
      <m:oMath xmlns:m="http://schemas.openxmlformats.org/officeDocument/2006/math">
        <m:sSub>
          <m:e>
            <m:r>
              <m:t xml:space="preserve">N</m:t>
            </m:r>
          </m:e>
          <m:sub>
            <m:r>
              <m:rPr>
                <m:lit/>
                <m:nor/>
              </m:rPr>
              <m:t xml:space="preserve">params</m:t>
            </m:r>
          </m:sub>
        </m:sSub>
      </m:oMath>
      <w:r>
        <w:rPr/>
        <w:t>.</w:t>
      </w:r>
    </w:p>
    <w:p>
      <w:pPr>
        <w:pStyle w:val="BodyText"/>
        <w:rPr/>
      </w:pPr>
      <w:r>
        <w:rPr/>
        <w:t>Таким образом, поставленные согласно описанной методике эксперименты, позволят оценить эффективность предлагаемого решения.</w:t>
      </w:r>
    </w:p>
    <w:p>
      <w:pPr>
        <w:pStyle w:val="Normal"/>
        <w:rPr>
          <w:rFonts w:ascii="Times New Roman" w:hAnsi="Times New Roman" w:cs="Cambria"/>
          <w:b/>
          <w:bCs/>
          <w:kern w:val="2"/>
          <w:sz w:val="28"/>
          <w:szCs w:val="28"/>
        </w:rPr>
      </w:pPr>
      <w:r>
        <w:rPr>
          <w:rFonts w:cs="Cambria" w:ascii="Times New Roman" w:hAnsi="Times New Roman"/>
          <w:b/>
          <w:bCs/>
          <w:kern w:val="2"/>
          <w:sz w:val="28"/>
          <w:szCs w:val="28"/>
        </w:rPr>
      </w:r>
      <w:r>
        <w:br w:type="page"/>
      </w:r>
    </w:p>
    <w:p>
      <w:pPr>
        <w:pStyle w:val="Heading2"/>
        <w:numPr>
          <w:ilvl w:val="1"/>
          <w:numId w:val="2"/>
        </w:numPr>
        <w:spacing w:before="0" w:after="0"/>
        <w:ind w:start="709"/>
        <w:rPr/>
      </w:pPr>
      <w:r>
        <w:rPr/>
      </w:r>
    </w:p>
    <w:p>
      <w:pPr>
        <w:pStyle w:val="Heading2"/>
        <w:numPr>
          <w:ilvl w:val="0"/>
          <w:numId w:val="0"/>
        </w:numPr>
        <w:ind w:hanging="0" w:start="709"/>
        <w:jc w:val="center"/>
        <w:rPr>
          <w:rFonts w:cs="Times New Roman"/>
        </w:rPr>
      </w:pPr>
      <w:bookmarkStart w:id="32" w:name="_Toc216534285"/>
      <w:r>
        <w:rPr>
          <w:rFonts w:cs="Times New Roman"/>
        </w:rPr>
        <w:t>ЗАКЛЮЧЕНИЕ</w:t>
      </w:r>
      <w:bookmarkEnd w:id="32"/>
    </w:p>
    <w:p>
      <w:pPr>
        <w:pStyle w:val="BodyText"/>
        <w:rPr/>
      </w:pPr>
      <w:r>
        <w:rPr/>
        <w:t>Была проведена теоретическая проработка и проектирование модифицированного механизма внимания на основе меры сходства Тверски. Основным итогом работы является формирование теоретико-методологической базы для преодоления структурного барьера по повышению параметрической эффективности языковых моделей.</w:t>
      </w:r>
    </w:p>
    <w:p>
      <w:pPr>
        <w:pStyle w:val="BodyText"/>
        <w:rPr/>
      </w:pPr>
      <w:r>
        <w:rPr/>
        <w:t>В соответствии с поставленными задачами были получены следующие результаты:</w:t>
      </w:r>
    </w:p>
    <w:p>
      <w:pPr>
        <w:pStyle w:val="BodyText"/>
        <w:rPr/>
      </w:pPr>
      <w:r>
        <w:rPr/>
        <w:t>Были выявлены структурные ограничения современных подходов. Анализ предметной области показал, что доминирующая в индустрии геометрическая модель сходства накладывает ограничения на архитектуру сетей: из-за симметрии операции скалярного произведения модели вынуждены использовать раздельные матрицы проекций для запросов и ключей, что создает структурный барьер для повышения параметрической эффективности. Установлено, что существующие аналоги либо не решают эту проблему, либо решают её ценой усложнения алгоритма и потери гибкости.</w:t>
      </w:r>
    </w:p>
    <w:p>
      <w:pPr>
        <w:pStyle w:val="BodyText"/>
        <w:rPr/>
      </w:pPr>
      <w:r>
        <w:rPr/>
        <w:t xml:space="preserve">Было предложено математическое описание механизма внимания, использующего дифференцируемую меру Тверски с глобальным банком признаков </w:t>
      </w:r>
      <w:r>
        <w:rPr/>
      </w:r>
      <m:oMath xmlns:m="http://schemas.openxmlformats.org/officeDocument/2006/math">
        <m:r>
          <m:t xml:space="preserve">Ω</m:t>
        </m:r>
      </m:oMath>
      <w:r>
        <w:rPr/>
        <w:t>. Показано, что благодаря внутренней асимметрии данной меры, становится возможным использование единой матрицы проекции для формирования представлений запроса и ключа. Теоретически обосновано, что данный подход позволяет сократить количество параметров слоя внимания в 2 раза, а при использовании разделяемого банка признаков - снизить общую емкость модели еще существеннее.</w:t>
      </w:r>
    </w:p>
    <w:p>
      <w:pPr>
        <w:pStyle w:val="BodyText"/>
        <w:rPr/>
      </w:pPr>
      <w:r>
        <w:rPr/>
        <w:t>Был разработан дизайн сравнительного эксперимента, предполагающий обучение моделей архитектуры GPT-2 “с нуля”. Определены ключевые метрики и критерии успеха, позволяющие объективно оценить эффективность предлагаемого метода по сравнению с базовым Scaled Dot-Product Attention.</w:t>
      </w:r>
    </w:p>
    <w:p>
      <w:pPr>
        <w:pStyle w:val="BodyText"/>
        <w:rPr/>
      </w:pPr>
      <w:r>
        <w:rPr/>
        <w:t>Таким образом, разработана формальная модель механизма внимания на основе меры Тверски с определением методики оценки его параметрической эффективности.</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Heading2"/>
        <w:numPr>
          <w:ilvl w:val="0"/>
          <w:numId w:val="0"/>
        </w:numPr>
        <w:spacing w:before="0" w:after="0"/>
        <w:ind w:hanging="0" w:start="709"/>
        <w:jc w:val="center"/>
        <w:rPr>
          <w:rFonts w:cs="Times New Roman"/>
        </w:rPr>
      </w:pPr>
      <w:bookmarkStart w:id="33" w:name="_Toc216534286"/>
      <w:bookmarkStart w:id="34" w:name="_Toc73173388"/>
      <w:r>
        <w:rPr>
          <w:rFonts w:cs="Times New Roman"/>
        </w:rPr>
        <w:t>СПИСОК ИСПОЛЬЗОВАННЫХ ИСТОЧНИКОВ</w:t>
      </w:r>
      <w:bookmarkEnd w:id="33"/>
      <w:bookmarkEnd w:id="34"/>
    </w:p>
    <w:p>
      <w:pPr>
        <w:pStyle w:val="BodyText"/>
        <w:numPr>
          <w:ilvl w:val="0"/>
          <w:numId w:val="4"/>
        </w:numPr>
        <w:rPr/>
      </w:pPr>
      <w:r>
        <w:rPr>
          <w:lang w:val="en-US"/>
        </w:rPr>
        <w:t>Vaswani A., Shazeer N., Parmar N., Uszkoreit J., Jones L., Gomez A. N., Kaiser L., Polosukhin I. “Attention Is All You Need” [</w:t>
      </w:r>
      <w:r>
        <w:rPr/>
        <w:t>Электронный</w:t>
      </w:r>
      <w:r>
        <w:rPr>
          <w:lang w:val="en-US"/>
        </w:rPr>
        <w:t xml:space="preserve"> </w:t>
      </w:r>
      <w:r>
        <w:rPr/>
        <w:t>ресурс</w:t>
      </w:r>
      <w:r>
        <w:rPr>
          <w:lang w:val="en-US"/>
        </w:rPr>
        <w:t xml:space="preserve">]. </w:t>
      </w:r>
      <w:r>
        <w:rPr/>
        <w:t xml:space="preserve">URL: </w:t>
      </w:r>
      <w:hyperlink r:id="rId2">
        <w:r>
          <w:rPr>
            <w:rStyle w:val="Hyperlink"/>
          </w:rPr>
          <w:t>https://arxiv.org/abs/1706.03762</w:t>
        </w:r>
      </w:hyperlink>
      <w:r>
        <w:rPr/>
        <w:t xml:space="preserve"> (дата обращения: 08.11.2025).</w:t>
      </w:r>
    </w:p>
    <w:p>
      <w:pPr>
        <w:pStyle w:val="BodyText"/>
        <w:numPr>
          <w:ilvl w:val="0"/>
          <w:numId w:val="4"/>
        </w:numPr>
        <w:rPr/>
      </w:pPr>
      <w:r>
        <w:rPr>
          <w:lang w:val="en-US"/>
        </w:rPr>
        <w:t>Zhao H., Chen H., Yang F. et al. “A Survey of Large Language Models” [</w:t>
      </w:r>
      <w:r>
        <w:rPr/>
        <w:t>Электронный</w:t>
      </w:r>
      <w:r>
        <w:rPr>
          <w:lang w:val="en-US"/>
        </w:rPr>
        <w:t xml:space="preserve"> </w:t>
      </w:r>
      <w:r>
        <w:rPr/>
        <w:t>ресурс</w:t>
      </w:r>
      <w:r>
        <w:rPr>
          <w:lang w:val="en-US"/>
        </w:rPr>
        <w:t xml:space="preserve">]. </w:t>
      </w:r>
      <w:r>
        <w:rPr/>
        <w:t xml:space="preserve">URL: </w:t>
      </w:r>
      <w:hyperlink r:id="rId3">
        <w:r>
          <w:rPr>
            <w:rStyle w:val="Hyperlink"/>
          </w:rPr>
          <w:t>https://arxiv.org/abs/2303.18223</w:t>
        </w:r>
      </w:hyperlink>
      <w:r>
        <w:rPr/>
        <w:t xml:space="preserve"> (дата обращения: 25.11.2025).</w:t>
      </w:r>
    </w:p>
    <w:p>
      <w:pPr>
        <w:pStyle w:val="BodyText"/>
        <w:numPr>
          <w:ilvl w:val="0"/>
          <w:numId w:val="4"/>
        </w:numPr>
        <w:rPr/>
      </w:pPr>
      <w:r>
        <w:rPr>
          <w:lang w:val="en-US"/>
        </w:rPr>
        <w:t xml:space="preserve">Tversky A. “Features of Similarity” [PDF]. </w:t>
      </w:r>
      <w:r>
        <w:rPr/>
        <w:t xml:space="preserve">URL: </w:t>
      </w:r>
      <w:hyperlink r:id="rId4">
        <w:r>
          <w:rPr>
            <w:rStyle w:val="Hyperlink"/>
          </w:rPr>
          <w:t>https://pages.ucsd.edu/~scoulson/203/tversky-features.pdf</w:t>
        </w:r>
      </w:hyperlink>
      <w:r>
        <w:rPr/>
        <w:t xml:space="preserve"> (дата обращения 15.11.2025)</w:t>
      </w:r>
    </w:p>
    <w:p>
      <w:pPr>
        <w:pStyle w:val="BodyText"/>
        <w:numPr>
          <w:ilvl w:val="0"/>
          <w:numId w:val="4"/>
        </w:numPr>
        <w:rPr/>
      </w:pPr>
      <w:r>
        <w:rPr>
          <w:lang w:val="en-US"/>
        </w:rPr>
        <w:t>Doumbouya M. K. B., Jurafsky D., Manning C. D. “Tversky Neural Networks: Psychologically Plausible Deep Learning with Differentiable Tversky Similarity” [</w:t>
      </w:r>
      <w:r>
        <w:rPr/>
        <w:t>Электронный</w:t>
      </w:r>
      <w:r>
        <w:rPr>
          <w:lang w:val="en-US"/>
        </w:rPr>
        <w:t xml:space="preserve"> </w:t>
      </w:r>
      <w:r>
        <w:rPr/>
        <w:t>ресурс</w:t>
      </w:r>
      <w:r>
        <w:rPr>
          <w:lang w:val="en-US"/>
        </w:rPr>
        <w:t xml:space="preserve">]. </w:t>
      </w:r>
      <w:r>
        <w:rPr/>
        <w:t xml:space="preserve">URL: </w:t>
      </w:r>
      <w:hyperlink r:id="rId5">
        <w:r>
          <w:rPr>
            <w:rStyle w:val="Hyperlink"/>
          </w:rPr>
          <w:t>https://arxiv.org/abs/2506.11035</w:t>
        </w:r>
      </w:hyperlink>
      <w:r>
        <w:rPr/>
        <w:t xml:space="preserve"> (дата обращения: 08.11.2025).</w:t>
      </w:r>
    </w:p>
    <w:p>
      <w:pPr>
        <w:pStyle w:val="BodyText"/>
        <w:numPr>
          <w:ilvl w:val="0"/>
          <w:numId w:val="4"/>
        </w:numPr>
        <w:rPr/>
      </w:pPr>
      <w:r>
        <w:rPr>
          <w:lang w:val="en-US"/>
        </w:rPr>
        <w:t>Jain S., Wallace B. C. “Attention is not Explanation” [</w:t>
      </w:r>
      <w:r>
        <w:rPr/>
        <w:t>Электронный</w:t>
      </w:r>
      <w:r>
        <w:rPr>
          <w:lang w:val="en-US"/>
        </w:rPr>
        <w:t xml:space="preserve"> </w:t>
      </w:r>
      <w:r>
        <w:rPr/>
        <w:t>ресурс</w:t>
      </w:r>
      <w:r>
        <w:rPr>
          <w:lang w:val="en-US"/>
        </w:rPr>
        <w:t xml:space="preserve">]. </w:t>
      </w:r>
      <w:r>
        <w:rPr/>
        <w:t xml:space="preserve">URL: </w:t>
      </w:r>
      <w:hyperlink r:id="rId6">
        <w:r>
          <w:rPr>
            <w:rStyle w:val="Hyperlink"/>
          </w:rPr>
          <w:t>https://arxiv.org/abs/1902.10186</w:t>
        </w:r>
      </w:hyperlink>
      <w:r>
        <w:rPr/>
        <w:t xml:space="preserve"> (дата обращения 15.11.2025)</w:t>
      </w:r>
    </w:p>
    <w:p>
      <w:pPr>
        <w:pStyle w:val="BodyText"/>
        <w:numPr>
          <w:ilvl w:val="0"/>
          <w:numId w:val="4"/>
        </w:numPr>
        <w:rPr/>
      </w:pPr>
      <w:r>
        <w:rPr>
          <w:lang w:val="en-US"/>
        </w:rPr>
        <w:t>Pandey L. N., Vashisht R., Ramaswamy H. G. “On the Interpretability of Attention Networks” [</w:t>
      </w:r>
      <w:r>
        <w:rPr/>
        <w:t>Электронный</w:t>
      </w:r>
      <w:r>
        <w:rPr>
          <w:lang w:val="en-US"/>
        </w:rPr>
        <w:t xml:space="preserve"> </w:t>
      </w:r>
      <w:r>
        <w:rPr/>
        <w:t>ресурс</w:t>
      </w:r>
      <w:r>
        <w:rPr>
          <w:lang w:val="en-US"/>
        </w:rPr>
        <w:t xml:space="preserve">]. </w:t>
      </w:r>
      <w:r>
        <w:rPr/>
        <w:t xml:space="preserve">URL: </w:t>
      </w:r>
      <w:hyperlink r:id="rId7">
        <w:r>
          <w:rPr>
            <w:rStyle w:val="Hyperlink"/>
          </w:rPr>
          <w:t>https://arxiv.org/abs/2212.14776</w:t>
        </w:r>
      </w:hyperlink>
      <w:r>
        <w:rPr/>
        <w:t xml:space="preserve"> (дата обращения 08.11.2025)</w:t>
      </w:r>
    </w:p>
    <w:p>
      <w:pPr>
        <w:pStyle w:val="BodyText"/>
        <w:numPr>
          <w:ilvl w:val="0"/>
          <w:numId w:val="4"/>
        </w:numPr>
        <w:rPr>
          <w:lang w:val="en-US"/>
        </w:rPr>
      </w:pPr>
      <w:r>
        <w:rPr>
          <w:lang w:val="en-US"/>
        </w:rPr>
        <w:t>Mongaras G., Dohm T., Larson E. “Cottention: Linear Attention with Cosine Similarity” [</w:t>
      </w:r>
      <w:r>
        <w:rPr/>
        <w:t>Электронный</w:t>
      </w:r>
      <w:r>
        <w:rPr>
          <w:lang w:val="en-US"/>
        </w:rPr>
        <w:t xml:space="preserve"> </w:t>
      </w:r>
      <w:r>
        <w:rPr/>
        <w:t>ресурс</w:t>
      </w:r>
      <w:r>
        <w:rPr>
          <w:lang w:val="en-US"/>
        </w:rPr>
        <w:t xml:space="preserve">]. URL: </w:t>
      </w:r>
      <w:hyperlink r:id="rId8">
        <w:r>
          <w:rPr>
            <w:rStyle w:val="Hyperlink"/>
            <w:lang w:val="en-US"/>
          </w:rPr>
          <w:t>https://arxiv.org/abs/2409.18747</w:t>
        </w:r>
      </w:hyperlink>
      <w:r>
        <w:rPr>
          <w:lang w:val="en-US"/>
        </w:rPr>
        <w:t xml:space="preserve"> (</w:t>
      </w:r>
      <w:r>
        <w:rPr/>
        <w:t>дата</w:t>
      </w:r>
      <w:r>
        <w:rPr>
          <w:lang w:val="en-US"/>
        </w:rPr>
        <w:t xml:space="preserve"> </w:t>
      </w:r>
      <w:r>
        <w:rPr/>
        <w:t>обращения</w:t>
      </w:r>
      <w:r>
        <w:rPr>
          <w:lang w:val="en-US"/>
        </w:rPr>
        <w:t>: 30.11.2025).</w:t>
      </w:r>
    </w:p>
    <w:p>
      <w:pPr>
        <w:pStyle w:val="BodyText"/>
        <w:numPr>
          <w:ilvl w:val="0"/>
          <w:numId w:val="4"/>
        </w:numPr>
        <w:rPr>
          <w:lang w:val="en-US"/>
        </w:rPr>
      </w:pPr>
      <w:r>
        <w:rPr>
          <w:lang w:val="en-US"/>
        </w:rPr>
        <w:t>Nielsen S., Abdullaev L., Teo R., Nguyen T. “Elliptical Attention” [</w:t>
      </w:r>
      <w:r>
        <w:rPr/>
        <w:t>Электронный</w:t>
      </w:r>
      <w:r>
        <w:rPr>
          <w:lang w:val="en-US"/>
        </w:rPr>
        <w:t xml:space="preserve"> </w:t>
      </w:r>
      <w:r>
        <w:rPr/>
        <w:t>ресурс</w:t>
      </w:r>
      <w:r>
        <w:rPr>
          <w:lang w:val="en-US"/>
        </w:rPr>
        <w:t xml:space="preserve">]. URL: </w:t>
      </w:r>
      <w:hyperlink r:id="rId9">
        <w:r>
          <w:rPr>
            <w:rStyle w:val="Hyperlink"/>
            <w:lang w:val="en-US"/>
          </w:rPr>
          <w:t>https://arxiv.org/abs/2406.13770</w:t>
        </w:r>
      </w:hyperlink>
      <w:r>
        <w:rPr>
          <w:lang w:val="en-US"/>
        </w:rPr>
        <w:t xml:space="preserve"> (</w:t>
      </w:r>
      <w:r>
        <w:rPr/>
        <w:t>дата</w:t>
      </w:r>
      <w:r>
        <w:rPr>
          <w:lang w:val="en-US"/>
        </w:rPr>
        <w:t xml:space="preserve"> </w:t>
      </w:r>
      <w:r>
        <w:rPr/>
        <w:t>обращения</w:t>
      </w:r>
      <w:r>
        <w:rPr>
          <w:lang w:val="en-US"/>
        </w:rPr>
        <w:t>: 30.11.2025).</w:t>
      </w:r>
    </w:p>
    <w:p>
      <w:pPr>
        <w:pStyle w:val="BodyText"/>
        <w:numPr>
          <w:ilvl w:val="0"/>
          <w:numId w:val="4"/>
        </w:numPr>
        <w:rPr>
          <w:lang w:val="en-US"/>
        </w:rPr>
      </w:pPr>
      <w:r>
        <w:rPr>
          <w:lang w:val="en-US"/>
        </w:rPr>
        <w:t>Tay Y., Bahri D., Metzler D., Juan D.-C., Zhao, Z., Zheng, C. “Synthesizer: Rethinking Self-Attention in Transformer Models” [</w:t>
      </w:r>
      <w:r>
        <w:rPr/>
        <w:t>Электронный</w:t>
      </w:r>
      <w:r>
        <w:rPr>
          <w:lang w:val="en-US"/>
        </w:rPr>
        <w:t xml:space="preserve"> </w:t>
      </w:r>
      <w:r>
        <w:rPr/>
        <w:t>ресурс</w:t>
      </w:r>
      <w:r>
        <w:rPr>
          <w:lang w:val="en-US"/>
        </w:rPr>
        <w:t xml:space="preserve">]. URL: </w:t>
      </w:r>
      <w:hyperlink r:id="rId10">
        <w:r>
          <w:rPr>
            <w:rStyle w:val="Hyperlink"/>
            <w:lang w:val="en-US"/>
          </w:rPr>
          <w:t>https://arxiv.org/abs/2005.00743</w:t>
        </w:r>
      </w:hyperlink>
      <w:r>
        <w:rPr>
          <w:lang w:val="en-US"/>
        </w:rPr>
        <w:t xml:space="preserve"> (</w:t>
      </w:r>
      <w:r>
        <w:rPr/>
        <w:t>дата</w:t>
      </w:r>
      <w:r>
        <w:rPr>
          <w:lang w:val="en-US"/>
        </w:rPr>
        <w:t xml:space="preserve"> </w:t>
      </w:r>
      <w:r>
        <w:rPr/>
        <w:t>обращения</w:t>
      </w:r>
      <w:r>
        <w:rPr>
          <w:lang w:val="en-US"/>
        </w:rPr>
        <w:t>: 30.11.2025).</w:t>
      </w:r>
    </w:p>
    <w:p>
      <w:pPr>
        <w:pStyle w:val="BodyText"/>
        <w:numPr>
          <w:ilvl w:val="0"/>
          <w:numId w:val="4"/>
        </w:numPr>
        <w:rPr/>
      </w:pPr>
      <w:r>
        <w:rPr>
          <w:lang w:val="en-US"/>
        </w:rPr>
        <w:t>Kitaev N., Kaiser Ł., Levskaya A. “Reformer: The Efficient Transformer” [</w:t>
      </w:r>
      <w:r>
        <w:rPr/>
        <w:t>Электронный</w:t>
      </w:r>
      <w:r>
        <w:rPr>
          <w:lang w:val="en-US"/>
        </w:rPr>
        <w:t xml:space="preserve"> </w:t>
      </w:r>
      <w:r>
        <w:rPr/>
        <w:t>ресурс</w:t>
      </w:r>
      <w:r>
        <w:rPr>
          <w:lang w:val="en-US"/>
        </w:rPr>
        <w:t xml:space="preserve">]. </w:t>
      </w:r>
      <w:r>
        <w:rPr/>
        <w:t xml:space="preserve">URL: </w:t>
      </w:r>
      <w:hyperlink r:id="rId11">
        <w:r>
          <w:rPr>
            <w:rStyle w:val="Hyperlink"/>
          </w:rPr>
          <w:t>https://arxiv.org/abs/2001.04451</w:t>
        </w:r>
      </w:hyperlink>
      <w:r>
        <w:rPr/>
        <w:t xml:space="preserve"> (дата обращения: 30.11.2025).</w:t>
      </w:r>
    </w:p>
    <w:sectPr>
      <w:footerReference w:type="even" r:id="rId12"/>
      <w:footerReference w:type="default" r:id="rId13"/>
      <w:footerReference w:type="first" r:id="rId14"/>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каф. МОЭВМ" w:date="2025-09-17T21:25:00Z" w:initials="МОЭВМ">
    <w:p>
      <w:pPr>
        <w:overflowPunct w:val="false"/>
        <w:rPr/>
      </w:pPr>
      <w:r>
        <w:annotationRef/>
      </w:r>
      <w:r>
        <w:rPr/>
        <w:t>Уч. степень, уч. звание указывается над соответствующей надписью, шрифт – аналогичный ФИО.</w:t>
      </w:r>
    </w:p>
    <w:p>
      <w:pPr>
        <w:overflowPunct w:val="false"/>
        <w:rPr/>
      </w:pPr>
      <w:r>
        <w:rPr/>
        <w:t>Уч. степень – кандидат или доктор наук, указывается сокращение, например, «к.т.н.» или «д.э.н.»</w:t>
      </w:r>
    </w:p>
    <w:p>
      <w:pPr>
        <w:overflowPunct w:val="false"/>
        <w:rPr/>
      </w:pPr>
      <w:r>
        <w:rPr/>
        <w:t>Уч. звание – доцент или профессор (не путать с должностью в вузе)</w:t>
      </w:r>
    </w:p>
    <w:p>
      <w:pPr>
        <w:overflowPunct w:val="false"/>
        <w:rPr/>
      </w:pPr>
      <w:r>
        <w:rPr/>
        <w:t>Иные надписи / должности не допускаются, в случае если у консультанта нет уч. степени/звания – подпись можно убрать, оставив столбец пустым.</w:t>
      </w:r>
    </w:p>
  </w:comment>
  <w:comment w:id="1" w:author="каф. МОЭВМ" w:date="2025-09-17T20:11:00Z" w:initials="МОЭВМ">
    <w:p>
      <w:pPr>
        <w:overflowPunct w:val="false"/>
        <w:rPr/>
      </w:pPr>
      <w:r>
        <w:annotationRef/>
      </w:r>
      <w:r>
        <w:rPr/>
        <w:t>Указывается для всех ВКР (кроме тех, в которых является руководителем), т.к. является консультантом от кафедры</w:t>
      </w:r>
    </w:p>
  </w:comment>
  <w:comment w:id="2" w:author="каф. МОЭВМ" w:date="2025-09-19T14:02:00Z" w:initials="МОЭВМ">
    <w:p>
      <w:pPr>
        <w:overflowPunct w:val="false"/>
        <w:rPr/>
      </w:pPr>
      <w:r>
        <w:annotationRef/>
      </w:r>
      <w:r>
        <w:rPr/>
        <w:t>Раздел должен занимать строго 1 страницу, «вылезшие» подписи руководителей / консультантов не допускаются</w:t>
      </w:r>
    </w:p>
  </w:comment>
  <w:comment w:id="3" w:author="каф. МОЭВМ" w:date="2025-09-17T23:11:00Z" w:initials="МОЭВМ">
    <w:p>
      <w:pPr>
        <w:overflowPunct w:val="false"/>
        <w:rPr/>
      </w:pPr>
      <w:r>
        <w:annotationRef/>
      </w:r>
      <w:r>
        <w:rPr/>
        <w:t>Дата начала преддипломной практики</w:t>
      </w:r>
    </w:p>
  </w:comment>
  <w:comment w:id="4" w:author="каф. МОЭВМ" w:date="2025-09-17T23:11:00Z" w:initials="МОЭВМ">
    <w:p>
      <w:pPr>
        <w:overflowPunct w:val="false"/>
        <w:rPr/>
      </w:pPr>
      <w:r>
        <w:annotationRef/>
      </w:r>
      <w:r>
        <w:rPr/>
        <w:t>Дата защиты ВКР</w:t>
      </w:r>
    </w:p>
  </w:comment>
  <w:comment w:id="5" w:author="каф. МОЭВМ" w:date="2025-09-19T14:03:00Z" w:initials="МОЭВМ">
    <w:p>
      <w:pPr>
        <w:overflowPunct w:val="false"/>
        <w:rPr/>
      </w:pPr>
      <w:r>
        <w:annotationRef/>
      </w:r>
      <w:r>
        <w:rPr/>
        <w:t>Раздел должен занимать строго 1 страницу, «вылезшие» подписи руководителей / консультантов не допускаются</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onsolas">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end="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end="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
    <w:lvl w:ilvl="0">
      <w:start w:val="1"/>
      <w:numFmt w:val="decimal"/>
      <w:lvlText w:val="%1."/>
      <w:lvlJc w:val="start"/>
      <w:pPr>
        <w:tabs>
          <w:tab w:val="num" w:pos="0"/>
        </w:tabs>
        <w:ind w:start="1778"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5">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509" w:hanging="360"/>
      </w:pPr>
      <w:rPr>
        <w:rFonts w:ascii="Courier New" w:hAnsi="Courier New" w:cs="Courier New" w:hint="default"/>
      </w:rPr>
    </w:lvl>
    <w:lvl w:ilvl="2">
      <w:start w:val="1"/>
      <w:numFmt w:val="bullet"/>
      <w:lvlText w:val=""/>
      <w:lvlJc w:val="start"/>
      <w:pPr>
        <w:tabs>
          <w:tab w:val="num" w:pos="0"/>
        </w:tabs>
        <w:ind w:start="3229" w:hanging="360"/>
      </w:pPr>
      <w:rPr>
        <w:rFonts w:ascii="Wingdings" w:hAnsi="Wingdings" w:cs="Wingdings" w:hint="default"/>
      </w:rPr>
    </w:lvl>
    <w:lvl w:ilvl="3">
      <w:start w:val="1"/>
      <w:numFmt w:val="bullet"/>
      <w:lvlText w:val=""/>
      <w:lvlJc w:val="start"/>
      <w:pPr>
        <w:tabs>
          <w:tab w:val="num" w:pos="0"/>
        </w:tabs>
        <w:ind w:start="3949" w:hanging="360"/>
      </w:pPr>
      <w:rPr>
        <w:rFonts w:ascii="Symbol" w:hAnsi="Symbol" w:cs="Symbol" w:hint="default"/>
      </w:rPr>
    </w:lvl>
    <w:lvl w:ilvl="4">
      <w:start w:val="1"/>
      <w:numFmt w:val="bullet"/>
      <w:lvlText w:val="o"/>
      <w:lvlJc w:val="start"/>
      <w:pPr>
        <w:tabs>
          <w:tab w:val="num" w:pos="0"/>
        </w:tabs>
        <w:ind w:start="4669" w:hanging="360"/>
      </w:pPr>
      <w:rPr>
        <w:rFonts w:ascii="Courier New" w:hAnsi="Courier New" w:cs="Courier New" w:hint="default"/>
      </w:rPr>
    </w:lvl>
    <w:lvl w:ilvl="5">
      <w:start w:val="1"/>
      <w:numFmt w:val="bullet"/>
      <w:lvlText w:val=""/>
      <w:lvlJc w:val="start"/>
      <w:pPr>
        <w:tabs>
          <w:tab w:val="num" w:pos="0"/>
        </w:tabs>
        <w:ind w:start="5389" w:hanging="360"/>
      </w:pPr>
      <w:rPr>
        <w:rFonts w:ascii="Wingdings" w:hAnsi="Wingdings" w:cs="Wingdings" w:hint="default"/>
      </w:rPr>
    </w:lvl>
    <w:lvl w:ilvl="6">
      <w:start w:val="1"/>
      <w:numFmt w:val="bullet"/>
      <w:lvlText w:val=""/>
      <w:lvlJc w:val="start"/>
      <w:pPr>
        <w:tabs>
          <w:tab w:val="num" w:pos="0"/>
        </w:tabs>
        <w:ind w:start="6109" w:hanging="360"/>
      </w:pPr>
      <w:rPr>
        <w:rFonts w:ascii="Symbol" w:hAnsi="Symbol" w:cs="Symbol" w:hint="default"/>
      </w:rPr>
    </w:lvl>
    <w:lvl w:ilvl="7">
      <w:start w:val="1"/>
      <w:numFmt w:val="bullet"/>
      <w:lvlText w:val="o"/>
      <w:lvlJc w:val="start"/>
      <w:pPr>
        <w:tabs>
          <w:tab w:val="num" w:pos="0"/>
        </w:tabs>
        <w:ind w:start="6829" w:hanging="360"/>
      </w:pPr>
      <w:rPr>
        <w:rFonts w:ascii="Courier New" w:hAnsi="Courier New" w:cs="Courier New" w:hint="default"/>
      </w:rPr>
    </w:lvl>
    <w:lvl w:ilvl="8">
      <w:start w:val="1"/>
      <w:numFmt w:val="bullet"/>
      <w:lvlText w:val=""/>
      <w:lvlJc w:val="start"/>
      <w:pPr>
        <w:tabs>
          <w:tab w:val="num" w:pos="0"/>
        </w:tabs>
        <w:ind w:start="7549" w:hanging="360"/>
      </w:pPr>
      <w:rPr>
        <w:rFonts w:ascii="Wingdings" w:hAnsi="Wingdings" w:cs="Wingdings" w:hint="default"/>
      </w:rPr>
    </w:lvl>
  </w:abstractNum>
  <w:abstractNum w:abstractNumId="6">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8">
    <w:lvl w:ilvl="0">
      <w:start w:val="1"/>
      <w:numFmt w:val="bullet"/>
      <w:lvlText w:val=""/>
      <w:lvlJc w:val="start"/>
      <w:pPr>
        <w:tabs>
          <w:tab w:val="num" w:pos="0"/>
        </w:tabs>
        <w:ind w:start="1134" w:hanging="425"/>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27ea"/>
    <w:pPr>
      <w:widowControl/>
      <w:bidi w:val="0"/>
      <w:spacing w:before="0" w:after="0"/>
      <w:jc w:val="start"/>
    </w:pPr>
    <w:rPr>
      <w:rFonts w:ascii="Liberation Serif" w:hAnsi="Liberation Serif" w:eastAsia="Noto Serif CJK SC" w:cs="Lohit Devanagari"/>
      <w:color w:val="auto"/>
      <w:kern w:val="0"/>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d684c"/>
    <w:pPr>
      <w:numPr>
        <w:ilvl w:val="1"/>
        <w:numId w:val="2"/>
      </w:numPr>
      <w:spacing w:lineRule="auto" w:line="360"/>
      <w:ind w:start="709"/>
      <w:outlineLvl w:val="1"/>
    </w:pPr>
    <w:rPr>
      <w:rFonts w:ascii="Times New Roman" w:hAnsi="Times New Roman" w:cs="Cambria"/>
      <w:b/>
      <w:bCs/>
      <w:kern w:val="2"/>
      <w:sz w:val="28"/>
      <w:szCs w:val="28"/>
    </w:rPr>
  </w:style>
  <w:style w:type="paragraph" w:styleId="Heading3">
    <w:name w:val="heading 3"/>
    <w:basedOn w:val="Normal"/>
    <w:next w:val="BodyText"/>
    <w:qFormat/>
    <w:rsid w:val="009d684c"/>
    <w:pPr>
      <w:numPr>
        <w:ilvl w:val="2"/>
        <w:numId w:val="2"/>
      </w:numPr>
      <w:spacing w:lineRule="auto" w:line="360"/>
      <w:ind w:start="708"/>
      <w:outlineLvl w:val="2"/>
    </w:pPr>
    <w:rPr>
      <w:rFonts w:ascii="Times New Roman" w:hAnsi="Times New Roman" w:cs="Cambria"/>
      <w:b/>
      <w:bCs/>
      <w:kern w:val="2"/>
      <w:sz w:val="28"/>
      <w:szCs w:val="28"/>
    </w:rPr>
  </w:style>
  <w:style w:type="paragraph" w:styleId="Heading4">
    <w:name w:val="heading 4"/>
    <w:basedOn w:val="Heading3"/>
    <w:next w:val="BodyText"/>
    <w:qFormat/>
    <w:rsid w:val="001013bd"/>
    <w:pPr>
      <w:outlineLvl w:val="3"/>
    </w:pPr>
    <w:rPr/>
  </w:style>
  <w:style w:type="character" w:styleId="DefaultParagraphFont" w:default="1">
    <w:name w:val="Default Paragraph Font"/>
    <w:uiPriority w:val="1"/>
    <w:unhideWhenUsed/>
    <w:qFormat/>
    <w:rPr/>
  </w:style>
  <w:style w:type="character" w:styleId="BodyTextChar" w:customStyle="1">
    <w:name w:val="Body Text Char"/>
    <w:basedOn w:val="DefaultParagraphFont"/>
    <w:qFormat/>
    <w:rsid w:val="002e3233"/>
    <w:rPr>
      <w:rFonts w:ascii="Times New Roman" w:hAnsi="Times New Roman" w:cs="Times New Roman"/>
      <w:sz w:val="28"/>
      <w:szCs w:val="28"/>
    </w:rPr>
  </w:style>
  <w:style w:type="character" w:styleId="PageNumber">
    <w:name w:val="page number"/>
    <w:basedOn w:val="DefaultParagraphFont"/>
    <w:rPr/>
  </w:style>
  <w:style w:type="character" w:styleId="BookTitle">
    <w:name w:val="Book Title"/>
    <w:qFormat/>
    <w:rPr>
      <w:b/>
      <w:bCs/>
      <w:smallCaps/>
      <w:spacing w:val="5"/>
    </w:rPr>
  </w:style>
  <w:style w:type="character" w:styleId="Hyperlink">
    <w:name w:val="Hyperlink"/>
    <w:basedOn w:val="DefaultParagraphFont"/>
    <w:uiPriority w:val="99"/>
    <w:unhideWhenUsed/>
    <w:rsid w:val="00c54790"/>
    <w:rPr>
      <w:color w:themeColor="hyperlink" w:val="0000FF"/>
      <w:u w:val="single"/>
    </w:rPr>
  </w:style>
  <w:style w:type="character" w:styleId="CommentReference">
    <w:name w:val="annotation reference"/>
    <w:basedOn w:val="DefaultParagraphFont"/>
    <w:uiPriority w:val="99"/>
    <w:semiHidden/>
    <w:unhideWhenUsed/>
    <w:qFormat/>
    <w:rsid w:val="001d6af8"/>
    <w:rPr>
      <w:sz w:val="16"/>
      <w:szCs w:val="16"/>
    </w:rPr>
  </w:style>
  <w:style w:type="character" w:styleId="CommentTextChar" w:customStyle="1">
    <w:name w:val="Comment Text Char"/>
    <w:basedOn w:val="DefaultParagraphFont"/>
    <w:link w:val="CommentText"/>
    <w:uiPriority w:val="99"/>
    <w:semiHidden/>
    <w:qFormat/>
    <w:rsid w:val="001d6af8"/>
    <w:rPr>
      <w:rFonts w:cs="Mangal"/>
      <w:szCs w:val="18"/>
    </w:rPr>
  </w:style>
  <w:style w:type="character" w:styleId="CommentSubjectChar" w:customStyle="1">
    <w:name w:val="Comment Subject Char"/>
    <w:basedOn w:val="CommentTextChar"/>
    <w:link w:val="annotationsubject"/>
    <w:uiPriority w:val="99"/>
    <w:semiHidden/>
    <w:qFormat/>
    <w:rsid w:val="001d6af8"/>
    <w:rPr>
      <w:rFonts w:cs="Mangal"/>
      <w:b/>
      <w:bCs/>
      <w:szCs w:val="18"/>
    </w:rPr>
  </w:style>
  <w:style w:type="character" w:styleId="PlaceholderText">
    <w:name w:val="Placeholder Text"/>
    <w:basedOn w:val="DefaultParagraphFont"/>
    <w:uiPriority w:val="99"/>
    <w:semiHidden/>
    <w:qFormat/>
    <w:rsid w:val="000f06dd"/>
    <w:rPr>
      <w:color w:val="666666"/>
    </w:rPr>
  </w:style>
  <w:style w:type="character" w:styleId="VerbatimChar" w:customStyle="1">
    <w:name w:val="Verbatim Char"/>
    <w:basedOn w:val="DefaultParagraphFont"/>
    <w:link w:val="SourceCode"/>
    <w:qFormat/>
    <w:rsid w:val="005678e0"/>
    <w:rPr>
      <w:rFonts w:ascii="Consolas" w:hAnsi="Consolas"/>
      <w:sz w:val="22"/>
    </w:rPr>
  </w:style>
  <w:style w:type="character" w:styleId="HTMLCode">
    <w:name w:val="HTML Code"/>
    <w:basedOn w:val="DefaultParagraphFont"/>
    <w:uiPriority w:val="99"/>
    <w:semiHidden/>
    <w:unhideWhenUsed/>
    <w:qFormat/>
    <w:rsid w:val="00603b21"/>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fb780e"/>
    <w:rPr>
      <w:rFonts w:cs="Mangal"/>
      <w:szCs w:val="18"/>
    </w:rPr>
  </w:style>
  <w:style w:type="character" w:styleId="FooterChar" w:customStyle="1">
    <w:name w:val="Footer Char"/>
    <w:basedOn w:val="DefaultParagraphFont"/>
    <w:link w:val="Footer"/>
    <w:uiPriority w:val="99"/>
    <w:qFormat/>
    <w:rsid w:val="00fb780e"/>
    <w:rPr>
      <w:rFonts w:cs="Mangal"/>
      <w:szCs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link w:val="BodyTextChar"/>
    <w:qFormat/>
    <w:rsid w:val="002e3233"/>
    <w:pPr>
      <w:widowControl/>
      <w:tabs>
        <w:tab w:val="clear" w:pos="708"/>
        <w:tab w:val="left" w:pos="709" w:leader="none"/>
      </w:tabs>
      <w:bidi w:val="0"/>
      <w:spacing w:lineRule="auto" w:line="360" w:before="0" w:after="0"/>
      <w:ind w:firstLine="709"/>
      <w:jc w:val="both"/>
    </w:pPr>
    <w:rPr>
      <w:rFonts w:ascii="Times New Roman" w:hAnsi="Times New Roman" w:cs="Times New Roman" w:eastAsia="Noto Serif CJK SC"/>
      <w:color w:val="auto"/>
      <w:kern w:val="0"/>
      <w:sz w:val="28"/>
      <w:szCs w:val="28"/>
      <w:lang w:val="ru-RU" w:eastAsia="zh-CN" w:bidi="hi-IN"/>
    </w:rPr>
  </w:style>
  <w:style w:type="paragraph" w:styleId="List">
    <w:name w:val="List"/>
    <w:basedOn w:val="BodyText"/>
    <w:rsid w:val="008e568a"/>
    <w:pPr>
      <w:numPr>
        <w:ilvl w:val="0"/>
        <w:numId w:val="3"/>
      </w:numPr>
      <w:ind w:firstLine="709" w:start="0"/>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2">
    <w:name w:val="toc 2"/>
    <w:basedOn w:val="Normal"/>
    <w:next w:val="Normal"/>
    <w:autoRedefine/>
    <w:uiPriority w:val="39"/>
    <w:unhideWhenUsed/>
    <w:rsid w:val="006e1b68"/>
    <w:pPr>
      <w:tabs>
        <w:tab w:val="clear" w:pos="708"/>
        <w:tab w:val="right" w:pos="9345" w:leader="dot"/>
      </w:tabs>
      <w:spacing w:before="0" w:after="100"/>
      <w:ind w:start="200"/>
    </w:pPr>
    <w:rPr>
      <w:rFonts w:cs="Mangal"/>
      <w:szCs w:val="18"/>
    </w:rPr>
  </w:style>
  <w:style w:type="paragraph" w:styleId="TOC3">
    <w:name w:val="toc 3"/>
    <w:basedOn w:val="Normal"/>
    <w:next w:val="Normal"/>
    <w:autoRedefine/>
    <w:uiPriority w:val="39"/>
    <w:unhideWhenUsed/>
    <w:rsid w:val="00c54790"/>
    <w:pPr>
      <w:spacing w:before="0" w:after="100"/>
      <w:ind w:start="400"/>
    </w:pPr>
    <w:rPr>
      <w:rFonts w:cs="Mangal"/>
      <w:szCs w:val="18"/>
    </w:rPr>
  </w:style>
  <w:style w:type="paragraph" w:styleId="TOC1">
    <w:name w:val="toc 1"/>
    <w:basedOn w:val="Normal"/>
    <w:next w:val="Normal"/>
    <w:qFormat/>
    <w:rsid w:val="00f84ac7"/>
    <w:pPr>
      <w:tabs>
        <w:tab w:val="clear" w:pos="708"/>
        <w:tab w:val="right" w:pos="9345" w:leader="dot"/>
      </w:tabs>
      <w:spacing w:lineRule="auto" w:line="360"/>
      <w:jc w:val="both"/>
    </w:pPr>
    <w:rPr>
      <w:rFonts w:ascii="Times New Roman" w:hAnsi="Times New Roman" w:cs="Times New Roman"/>
      <w:sz w:val="28"/>
      <w:szCs w:val="28"/>
    </w:rPr>
  </w:style>
  <w:style w:type="paragraph" w:styleId="Style10" w:customStyle="1">
    <w:name w:val="ВКР_Содержимое таблицы"/>
    <w:basedOn w:val="Normal"/>
    <w:qFormat/>
    <w:rsid w:val="00280745"/>
    <w:pPr>
      <w:suppressLineNumbers/>
      <w:spacing w:lineRule="auto" w:line="360"/>
      <w:jc w:val="center"/>
    </w:pPr>
    <w:rPr>
      <w:rFonts w:ascii="Times New Roman" w:hAnsi="Times New Roman" w:cs="Times New Roman"/>
      <w:sz w:val="28"/>
    </w:rPr>
  </w:style>
  <w:style w:type="paragraph" w:styleId="Style11" w:customStyle="1">
    <w:name w:val="ВКР_Подпись таблицы"/>
    <w:basedOn w:val="BodyText"/>
    <w:qFormat/>
    <w:rsid w:val="00280745"/>
    <w:pPr>
      <w:spacing w:lineRule="auto" w:line="240"/>
      <w:ind w:hanging="0"/>
    </w:pPr>
    <w:rPr>
      <w:szCs w:val="20"/>
    </w:rPr>
  </w:style>
  <w:style w:type="paragraph" w:styleId="Style12" w:customStyle="1">
    <w:name w:val="ВКР_Подпись для рисунков"/>
    <w:basedOn w:val="BodyText"/>
    <w:next w:val="Normal"/>
    <w:qFormat/>
    <w:rsid w:val="00280745"/>
    <w:pPr>
      <w:ind w:hanging="0"/>
      <w:jc w:val="center"/>
    </w:pPr>
    <w:rPr/>
  </w:style>
  <w:style w:type="paragraph" w:styleId="CommentText">
    <w:name w:val="annotation text"/>
    <w:basedOn w:val="Normal"/>
    <w:link w:val="CommentTextChar"/>
    <w:uiPriority w:val="99"/>
    <w:semiHidden/>
    <w:unhideWhenUsed/>
    <w:rsid w:val="001d6af8"/>
    <w:pPr/>
    <w:rPr>
      <w:rFonts w:cs="Mangal"/>
      <w:szCs w:val="18"/>
    </w:rPr>
  </w:style>
  <w:style w:type="paragraph" w:styleId="annotationsubject">
    <w:name w:val="annotation subject"/>
    <w:basedOn w:val="CommentText"/>
    <w:next w:val="CommentText"/>
    <w:link w:val="CommentSubjectChar"/>
    <w:uiPriority w:val="99"/>
    <w:semiHidden/>
    <w:unhideWhenUsed/>
    <w:qFormat/>
    <w:rsid w:val="001d6af8"/>
    <w:pPr/>
    <w:rPr>
      <w:b/>
      <w:bCs/>
    </w:rPr>
  </w:style>
  <w:style w:type="paragraph" w:styleId="TOC4">
    <w:name w:val="toc 4"/>
    <w:basedOn w:val="Normal"/>
    <w:next w:val="Normal"/>
    <w:autoRedefine/>
    <w:uiPriority w:val="39"/>
    <w:unhideWhenUsed/>
    <w:rsid w:val="00f9109f"/>
    <w:pPr>
      <w:spacing w:before="0" w:after="100"/>
      <w:ind w:start="600"/>
    </w:pPr>
    <w:rPr>
      <w:rFonts w:cs="Mangal"/>
      <w:szCs w:val="18"/>
    </w:rPr>
  </w:style>
  <w:style w:type="paragraph" w:styleId="FirstParagraph" w:customStyle="1">
    <w:name w:val="First Paragraph"/>
    <w:basedOn w:val="BodyText"/>
    <w:next w:val="BodyText"/>
    <w:qFormat/>
    <w:rsid w:val="00d54478"/>
    <w:pPr>
      <w:tabs>
        <w:tab w:val="clear" w:pos="709"/>
      </w:tabs>
      <w:spacing w:lineRule="auto" w:line="240" w:before="180" w:after="180"/>
      <w:ind w:hanging="0"/>
      <w:jc w:val="start"/>
    </w:pPr>
    <w:rPr>
      <w:rFonts w:ascii="Calibri" w:hAnsi="Calibri" w:eastAsia="" w:cs="" w:asciiTheme="minorHAnsi" w:cstheme="minorBidi" w:eastAsiaTheme="minorEastAsia" w:hAnsiTheme="minorHAnsi"/>
      <w:sz w:val="24"/>
      <w:szCs w:val="24"/>
      <w:lang w:val="en-US" w:bidi="ar-SA"/>
    </w:rPr>
  </w:style>
  <w:style w:type="paragraph" w:styleId="Compact" w:customStyle="1">
    <w:name w:val="Compact"/>
    <w:basedOn w:val="BodyText"/>
    <w:qFormat/>
    <w:rsid w:val="00d54478"/>
    <w:pPr>
      <w:tabs>
        <w:tab w:val="clear" w:pos="709"/>
      </w:tabs>
      <w:spacing w:lineRule="auto" w:line="240" w:before="36" w:after="36"/>
      <w:ind w:hanging="0"/>
      <w:jc w:val="start"/>
    </w:pPr>
    <w:rPr>
      <w:rFonts w:ascii="Calibri" w:hAnsi="Calibri" w:eastAsia="" w:cs="" w:asciiTheme="minorHAnsi" w:cstheme="minorBidi" w:eastAsiaTheme="minorEastAsia" w:hAnsiTheme="minorHAnsi"/>
      <w:sz w:val="24"/>
      <w:szCs w:val="24"/>
      <w:lang w:val="en-US" w:bidi="ar-SA"/>
    </w:rPr>
  </w:style>
  <w:style w:type="paragraph" w:styleId="SourceCode" w:customStyle="1">
    <w:name w:val="Source Code"/>
    <w:basedOn w:val="Normal"/>
    <w:link w:val="VerbatimChar"/>
    <w:qFormat/>
    <w:rsid w:val="005678e0"/>
    <w:pPr>
      <w:spacing w:before="0" w:after="200"/>
    </w:pPr>
    <w:rPr>
      <w:rFonts w:ascii="Consolas" w:hAnsi="Consolas"/>
      <w:sz w:val="22"/>
    </w:rPr>
  </w:style>
  <w:style w:type="paragraph" w:styleId="NormalWeb">
    <w:name w:val="Normal (Web)"/>
    <w:basedOn w:val="Normal"/>
    <w:uiPriority w:val="99"/>
    <w:semiHidden/>
    <w:unhideWhenUsed/>
    <w:qFormat/>
    <w:rsid w:val="00b75cf8"/>
    <w:pPr>
      <w:spacing w:beforeAutospacing="1" w:afterAutospacing="1"/>
    </w:pPr>
    <w:rPr>
      <w:rFonts w:ascii="Times New Roman" w:hAnsi="Times New Roman" w:eastAsia="Times New Roman" w:cs="Times New Roman"/>
      <w:sz w:val="24"/>
      <w:szCs w:val="24"/>
      <w:lang w:val="en-001"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fb780e"/>
    <w:pPr>
      <w:tabs>
        <w:tab w:val="clear" w:pos="708"/>
        <w:tab w:val="center" w:pos="4680" w:leader="none"/>
        <w:tab w:val="right" w:pos="9360" w:leader="none"/>
      </w:tabs>
    </w:pPr>
    <w:rPr>
      <w:rFonts w:cs="Mangal"/>
      <w:szCs w:val="18"/>
    </w:rPr>
  </w:style>
  <w:style w:type="paragraph" w:styleId="Footer">
    <w:name w:val="footer"/>
    <w:basedOn w:val="Normal"/>
    <w:link w:val="FooterChar"/>
    <w:uiPriority w:val="99"/>
    <w:unhideWhenUsed/>
    <w:rsid w:val="00fb780e"/>
    <w:pPr>
      <w:tabs>
        <w:tab w:val="clear" w:pos="708"/>
        <w:tab w:val="center" w:pos="4680" w:leader="none"/>
        <w:tab w:val="right" w:pos="9360" w:leader="none"/>
      </w:tabs>
    </w:pPr>
    <w:rPr>
      <w:rFonts w:cs="Mangal"/>
      <w:szCs w:val="18"/>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1013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
    <w:name w:val="Table"/>
    <w:semiHidden/>
    <w:unhideWhenUsed/>
    <w:qFormat/>
    <w:rsid w:val="00d54478"/>
    <w:pPr>
      <w:spacing w:after="200"/>
    </w:pPr>
    <w:rPr>
      <w:rFonts w:asciiTheme="minorHAnsi" w:hAnsiTheme="minorHAnsi" w:eastAsiaTheme="minorEastAsia" w:cstheme="minorBidi"/>
      <w:sz w:val="24"/>
      <w:szCs w:val="24"/>
      <w:lang w:val="en-US" w:bidi="ar-SA"/>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1706.03762" TargetMode="External"/><Relationship Id="rId3" Type="http://schemas.openxmlformats.org/officeDocument/2006/relationships/hyperlink" Target="https://arxiv.org/abs/2303.18223" TargetMode="External"/><Relationship Id="rId4" Type="http://schemas.openxmlformats.org/officeDocument/2006/relationships/hyperlink" Target="https://pages.ucsd.edu/~scoulson/203/tversky-features.pdf" TargetMode="External"/><Relationship Id="rId5" Type="http://schemas.openxmlformats.org/officeDocument/2006/relationships/hyperlink" Target="https://arxiv.org/abs/2506.11035" TargetMode="External"/><Relationship Id="rId6" Type="http://schemas.openxmlformats.org/officeDocument/2006/relationships/hyperlink" Target="https://arxiv.org/abs/1902.10186" TargetMode="External"/><Relationship Id="rId7" Type="http://schemas.openxmlformats.org/officeDocument/2006/relationships/hyperlink" Target="https://arxiv.org/abs/2212.14776" TargetMode="External"/><Relationship Id="rId8" Type="http://schemas.openxmlformats.org/officeDocument/2006/relationships/hyperlink" Target="https://arxiv.org/abs/2409.18747" TargetMode="External"/><Relationship Id="rId9" Type="http://schemas.openxmlformats.org/officeDocument/2006/relationships/hyperlink" Target="https://arxiv.org/abs/2406.13770" TargetMode="External"/><Relationship Id="rId10" Type="http://schemas.openxmlformats.org/officeDocument/2006/relationships/hyperlink" Target="https://arxiv.org/abs/2005.00743" TargetMode="External"/><Relationship Id="rId11" Type="http://schemas.openxmlformats.org/officeDocument/2006/relationships/hyperlink" Target="https://arxiv.org/abs/2001.04451"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1568</TotalTime>
  <Application>LibreOffice/26.2.2.2$Linux_X86_64 LibreOffice_project/620$Build-2</Application>
  <AppVersion>15.0000</AppVersion>
  <Pages>24</Pages>
  <Words>3213</Words>
  <Characters>24247</Characters>
  <CharactersWithSpaces>27242</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2025-12-13T13:25:00Z</dcterms:created>
  <dc:creator>каф. МОЭВМ</dc:creator>
  <dc:description/>
  <dc:language>en-US</dc:language>
  <cp:lastModifiedBy/>
  <cp:lastPrinted>2025-09-17T20:14:00Z</cp:lastPrinted>
  <dcterms:modified xsi:type="dcterms:W3CDTF">2026-04-10T18:54:20Z</dcterms:modified>
  <cp:revision>20</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file>