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sz w:val="32"/>
          <w:szCs w:val="32"/>
        </w:rPr>
        <w:t xml:space="preserve">энтивио для 2027</w:t>
      </w:r>
      <w:r>
        <w:rPr>
          <w:b/>
          <w:bCs/>
          <w:i/>
          <w:iCs/>
          <w:sz w:val="32"/>
          <w:szCs w:val="32"/>
        </w:rPr>
        <w:t xml:space="preserve"> (вкл. в ЖВНЛП, ВЗН14)</w:t>
      </w:r>
    </w:p>
    <w:p>
      <w:pPr>
        <w:spacing w:after="0" w:before="0"/>
        <w:jc w:val="both"/>
      </w:pPr>
      <w:r>
        <w:rPr>
          <w:b/>
          <w:bCs/>
          <w:sz w:val="24"/>
          <w:szCs w:val="24"/>
        </w:rPr>
        <w:t xml:space="preserve">Лекарственная форма: </w:t>
      </w:r>
      <w:r>
        <w:rPr>
          <w:sz w:val="24"/>
          <w:szCs w:val="24"/>
        </w:rPr>
        <w:t xml:space="preserve">лиофилизат для приготовления раствора для внутривенного введения</w:t>
      </w:r>
    </w:p>
    <w:p>
      <w:pPr>
        <w:spacing w:after="0" w:before="0"/>
        <w:jc w:val="both"/>
      </w:pPr>
      <w:r>
        <w:rPr>
          <w:b/>
          <w:bCs/>
          <w:sz w:val="24"/>
          <w:szCs w:val="24"/>
        </w:rPr>
        <w:t xml:space="preserve">Дата регистрации ЛП: </w:t>
      </w:r>
      <w:r>
        <w:rPr>
          <w:sz w:val="24"/>
          <w:szCs w:val="24"/>
        </w:rPr>
        <w:t xml:space="preserve">30.07.2021</w:t>
      </w:r>
    </w:p>
    <w:p>
      <w:pPr>
        <w:spacing w:after="0" w:before="0"/>
        <w:jc w:val="both"/>
      </w:pPr>
      <w:r>
        <w:rPr>
          <w:b/>
          <w:bCs/>
          <w:sz w:val="24"/>
          <w:szCs w:val="24"/>
        </w:rPr>
        <w:t xml:space="preserve">Предыдущее предложение: </w:t>
      </w:r>
      <w:r>
        <w:rPr>
          <w:sz w:val="24"/>
          <w:szCs w:val="24"/>
        </w:rPr>
        <w:t xml:space="preserve">2 кв. 2024 г. — предложение отклонено</w:t>
      </w:r>
    </w:p>
    <w:p>
      <w:pPr>
        <w:spacing w:after="0" w:before="0"/>
        <w:jc w:val="both"/>
      </w:pPr>
      <w:r>
        <w:rPr>
          <w:b/>
          <w:bCs/>
          <w:sz w:val="24"/>
          <w:szCs w:val="24"/>
        </w:rPr>
        <w:t xml:space="preserve">Держатель РУ: </w:t>
      </w:r>
      <w:r>
        <w:rPr>
          <w:sz w:val="24"/>
          <w:szCs w:val="24"/>
        </w:rPr>
        <w:t xml:space="preserve">пкеп</w:t>
      </w:r>
    </w:p>
    <w:p>
      <w:pPr>
        <w:spacing w:after="0" w:before="0"/>
        <w:jc w:val="both"/>
      </w:pPr>
      <w:r>
        <w:rPr>
          <w:b/>
          <w:bCs/>
          <w:sz w:val="24"/>
          <w:szCs w:val="24"/>
        </w:rPr>
        <w:t xml:space="preserve">Производитель: </w:t>
      </w:r>
      <w:r>
        <w:rPr>
          <w:sz w:val="24"/>
          <w:szCs w:val="24"/>
        </w:rPr>
        <w:t xml:space="preserve">пкепкамва</w:t>
      </w:r>
    </w:p>
    <w:p>
      <w:pPr>
        <w:spacing w:after="0" w:before="0"/>
        <w:jc w:val="both"/>
      </w:pPr>
      <w:r>
        <w:rPr>
          <w:b/>
          <w:bCs/>
          <w:sz w:val="24"/>
          <w:szCs w:val="24"/>
        </w:rPr>
        <w:t xml:space="preserve">Наличие в перечне критической промышленной продукции в отрасли фарм. промышленности: </w:t>
      </w:r>
      <w:r>
        <w:rPr>
          <w:sz w:val="24"/>
          <w:szCs w:val="24"/>
        </w:rPr>
        <w:t xml:space="preserve">да</w:t>
      </w:r>
    </w:p>
    <w:p>
      <w:pPr>
        <w:spacing w:after="0" w:before="0"/>
        <w:jc w:val="both"/>
      </w:pPr>
      <w:r>
        <w:rPr>
          <w:b/>
          <w:bCs/>
          <w:sz w:val="24"/>
          <w:szCs w:val="24"/>
        </w:rPr>
        <w:t xml:space="preserve">Орфанный статус: </w:t>
      </w:r>
      <w:r>
        <w:rPr>
          <w:sz w:val="24"/>
          <w:szCs w:val="24"/>
        </w:rPr>
        <w:t xml:space="preserve">Нет.</w:t>
      </w:r>
    </w:p>
    <w:p>
      <w:pPr>
        <w:spacing w:after="0" w:before="0"/>
        <w:jc w:val="both"/>
      </w:pPr>
      <w:r>
        <w:rPr>
          <w:b/>
          <w:bCs/>
          <w:sz w:val="24"/>
          <w:szCs w:val="24"/>
        </w:rPr>
        <w:t xml:space="preserve">Наличие ЛП в клинических рекомендациях: </w:t>
      </w:r>
      <w:r>
        <w:rPr>
          <w:sz w:val="24"/>
          <w:szCs w:val="24"/>
        </w:rPr>
        <w:t xml:space="preserve">КР №1 «Бронхиальная астма» (2026 г.) — пересмотр не позднее 2028 г.</w:t>
      </w:r>
      <w:r>
        <w:rPr>
          <w:sz w:val="24"/>
          <w:szCs w:val="24"/>
        </w:rPr>
        <w:br/>
        <w:t xml:space="preserve">Тезисы:</w:t>
      </w:r>
      <w:r>
        <w:rPr>
          <w:sz w:val="24"/>
          <w:szCs w:val="24"/>
        </w:rPr>
        <w:br/>
        <w:t xml:space="preserve">1. Всем пациентам с гемофилией рекомендуется проведение специфической заместительной терапии факторами свертывания крови. Необходимо использовать очищенные, вирусинактивированные препараты, изготовленные из донорской плазмы человека, из группы «Факторы свертывания крови» (B02BD по АТХ классификации) – плазматические (фактор свертывания крови VIII, фактор свертывания крови IX, фактор свертывания крови VIII + фактор Виллебранда, антиингибиторный коагулянтный комплекс), или рекомбинантные (октоког альфа, мороктоког альфа, нонаког альфа, эптаког альфа (активированный), симоктоког альфа (фактор свертывания крови VIII человеческий рекомбинантный), лоноктоког альфа, туроктоког альфа), или рекомбинантные концентраты факторов свертывания крови VIII/IX с пролонгированным периодом полувыведения (эфмороктоког альфа, руриоктоког альфа пэгол, албутрепенонаког альфа) (УДД — 5; УУР — C — экспертное мнение)</w:t>
      </w:r>
      <w:r>
        <w:rPr>
          <w:sz w:val="24"/>
          <w:szCs w:val="24"/>
        </w:rPr>
        <w:br/>
        <w:t xml:space="preserve">2. У всех пациентов с гемофилией, у которых нет данных об индивидуальных особенностях фармакокинетики, рекомендовано использование усредненных доз, приведенных ниже:</w:t>
      </w:r>
      <w:r>
        <w:rPr>
          <w:sz w:val="24"/>
          <w:szCs w:val="24"/>
        </w:rPr>
        <w:br/>
        <w:t xml:space="preserve">расчет дозы фактора свертывания крови VIII/октоког альфа, мороктоког альфа, симоктоког альфа (фактор свертывания крови VIII человеческий рекомбинантный), туроктоког альфа, лоноктоког альфа, эфмороктоког альфа, руриоктоког альфа пэгол для пациентов старше 1 года: доза (МЕ) = масса тела х (требуемая активность – базальная активность)</w:t>
      </w:r>
      <w:r>
        <w:rPr>
          <w:sz w:val="24"/>
          <w:szCs w:val="24"/>
        </w:rPr>
        <w:br/>
      </w:r>
      <w:r>
        <w:rPr>
          <w:sz w:val="24"/>
          <w:szCs w:val="24"/>
        </w:rPr>
        <w:br/>
        <w:t xml:space="preserve">КР №777 «кашель» (2028 г.) — пересмотр не позднее 2021 г.</w:t>
      </w:r>
      <w:r>
        <w:rPr>
          <w:sz w:val="24"/>
          <w:szCs w:val="24"/>
        </w:rPr>
        <w:br/>
        <w:t xml:space="preserve">Тезисы:</w:t>
      </w:r>
      <w:r>
        <w:rPr>
          <w:sz w:val="24"/>
          <w:szCs w:val="24"/>
        </w:rPr>
        <w:br/>
        <w:t xml:space="preserve">1. У всех пациентов с гемофилией, у которых нет данных об индивидуальных особенностях фармакокинетики, рекомендовано использование усредненных доз, приведенных ниже:</w:t>
      </w:r>
      <w:r>
        <w:rPr>
          <w:sz w:val="24"/>
          <w:szCs w:val="24"/>
        </w:rPr>
        <w:br/>
        <w:t xml:space="preserve">расчет дозы фактора свертывания крови VIII/октоког альфа, мороктоког альфа, симоктоког альфа (фактор свертывания крови VIII человеческий рекомбинантный), туроктоког альфа, лоноктоког альфа, эфмороктоког альфа, руриоктоког альфа пэгол для пациентов старше 1 года: доза (МЕ) = масса тела х (требуемая активность – базальная активность) х 0,5 (УДД — 5; УУР — C — экспертное мнение)</w:t>
      </w:r>
    </w:p>
    <w:p>
      <w:pPr>
        <w:jc w:val="both"/>
      </w:pPr>
      <w:r>
        <w:rPr>
          <w:b/>
          <w:bCs/>
          <w:sz w:val="24"/>
          <w:szCs w:val="24"/>
        </w:rPr>
        <w:t xml:space="preserve">Заявленные показания к применению лекарственного препарата:</w:t>
      </w:r>
    </w:p>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r>
        <w:rPr>
          <w:sz w:val="24"/>
          <w:szCs w:val="24"/>
        </w:rPr>
        <w:br/>
        <w:t xml:space="preserve">- Лечения «по требованию» и контроля эпизодов кровотечения </w:t>
      </w:r>
      <w:r>
        <w:rPr>
          <w:sz w:val="24"/>
          <w:szCs w:val="24"/>
        </w:rPr>
        <w:br/>
        <w:t xml:space="preserve">- Периоперационного ведения </w:t>
      </w:r>
      <w:r>
        <w:rPr>
          <w:sz w:val="24"/>
          <w:szCs w:val="24"/>
        </w:rPr>
        <w:br/>
        <w:t xml:space="preserve">- Профилактики для уменьшения частоты кровотечений </w:t>
      </w:r>
      <w:r>
        <w:rPr>
          <w:sz w:val="24"/>
          <w:szCs w:val="24"/>
        </w:rPr>
        <w:br/>
        <w:t xml:space="preserve">Код МКБ-10 D66 Наследственный дефицит фактора VIII</w:t>
      </w:r>
    </w:p>
    <w:p>
      <w:pPr>
        <w:spacing w:after="0" w:before="0"/>
        <w:jc w:val="both"/>
      </w:pPr>
      <w:r>
        <w:rPr>
          <w:b/>
          <w:bCs/>
          <w:sz w:val="24"/>
          <w:szCs w:val="24"/>
        </w:rPr>
        <w:t xml:space="preserve">План поставок на 2024 г.:</w:t>
      </w:r>
      <w:r>
        <w:rPr>
          <w:sz w:val="24"/>
          <w:szCs w:val="24"/>
        </w:rPr>
      </w:r>
    </w:p>
    <w:p>
      <w:pPr>
        <w:spacing w:after="0" w:before="0"/>
        <w:jc w:val="both"/>
      </w:pPr>
      <w:r>
        <w:rPr>
          <w:b/>
          <w:bCs/>
          <w:sz w:val="24"/>
          <w:szCs w:val="24"/>
        </w:rPr>
        <w:t xml:space="preserve">Ценовая характеристика ЛП</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p>
            <w:pPr>
              <w:jc w:val="center"/>
            </w:pPr>
            <w:r>
              <w:rPr>
                <w:b/>
                <w:bCs/>
                <w:sz w:val="22"/>
                <w:szCs w:val="22"/>
              </w:rPr>
              <w:t xml:space="preserve">Форма выпуска/ цена</w:t>
            </w:r>
          </w:p>
        </w:tc>
        <w:tc>
          <w:p>
            <w:pPr>
              <w:jc w:val="center"/>
            </w:pPr>
            <w:r>
              <w:rPr>
                <w:b/>
                <w:bCs/>
                <w:sz w:val="22"/>
                <w:szCs w:val="22"/>
              </w:rPr>
              <w:t xml:space="preserve">План. к рег-ции, руб.</w:t>
            </w:r>
          </w:p>
        </w:tc>
        <w:tc>
          <w:p>
            <w:pPr>
              <w:jc w:val="center"/>
            </w:pPr>
            <w:r>
              <w:rPr>
                <w:b/>
                <w:bCs/>
                <w:sz w:val="22"/>
                <w:szCs w:val="22"/>
              </w:rPr>
              <w:t xml:space="preserve">Гос. закупок</w:t>
            </w:r>
            <w:r>
              <w:rPr>
                <w:b/>
                <w:bCs/>
                <w:sz w:val="22"/>
                <w:szCs w:val="22"/>
              </w:rPr>
              <w:br/>
              <w:t xml:space="preserve">(НДС + надб.), руб.</w:t>
            </w:r>
          </w:p>
        </w:tc>
        <w:tc>
          <w:p>
            <w:pPr>
              <w:jc w:val="center"/>
            </w:pPr>
            <w:r>
              <w:rPr>
                <w:b/>
                <w:bCs/>
                <w:sz w:val="22"/>
                <w:szCs w:val="22"/>
              </w:rPr>
              <w:t xml:space="preserve">Розничная цена</w:t>
            </w:r>
            <w:r>
              <w:rPr>
                <w:b/>
                <w:bCs/>
                <w:sz w:val="22"/>
                <w:szCs w:val="22"/>
              </w:rPr>
              <w:br/>
              <w:t xml:space="preserve">(НДС + надб.), руб.</w:t>
            </w:r>
          </w:p>
        </w:tc>
      </w:tr>
      <w:tr>
        <w:tc>
          <w:p>
            <w:pPr>
              <w:jc w:val="start"/>
            </w:pPr>
            <w:r>
              <w:rPr>
                <w:sz w:val="22"/>
                <w:szCs w:val="22"/>
              </w:rPr>
            </w:r>
          </w:p>
        </w:tc>
        <w:tc>
          <w:p>
            <w:pPr>
              <w:spacing w:after="0" w:before="0"/>
              <w:jc w:val="center"/>
            </w:pPr>
            <w:r>
              <w:rPr>
                <w:sz w:val="22"/>
                <w:szCs w:val="22"/>
              </w:rPr>
              <w:t xml:space="preserve">Цена без НДС отсутствует</w:t>
            </w:r>
          </w:p>
          <w:p>
            <w:pPr>
              <w:spacing w:after="0" w:before="0"/>
              <w:jc w:val="center"/>
            </w:pPr>
            <w:r>
              <w:rPr>
                <w:sz w:val="22"/>
                <w:szCs w:val="22"/>
              </w:rPr>
              <w:t xml:space="preserve">Цена с НДС отсутствует</w:t>
            </w:r>
          </w:p>
        </w:tc>
        <w:tc>
          <w:p>
            <w:pPr>
              <w:spacing w:after="0" w:before="0"/>
              <w:jc w:val="center"/>
            </w:pPr>
            <w:r>
              <w:rPr>
                <w:sz w:val="22"/>
                <w:szCs w:val="22"/>
              </w:rPr>
              <w:t xml:space="preserve">Средневзвешен. -  отсутствует</w:t>
            </w:r>
          </w:p>
          <w:p>
            <w:pPr>
              <w:spacing w:after="0" w:before="0"/>
              <w:jc w:val="center"/>
            </w:pPr>
            <w:r>
              <w:rPr>
                <w:sz w:val="22"/>
                <w:szCs w:val="22"/>
              </w:rPr>
              <w:t xml:space="preserve">Последняя -  отсутствует</w:t>
            </w:r>
          </w:p>
        </w:tc>
        <w:tc>
          <w:p>
            <w:pPr>
              <w:jc w:val="start"/>
            </w:pPr>
            <w:r>
              <w:rPr>
                <w:sz w:val="22"/>
                <w:szCs w:val="22"/>
              </w:rPr>
              <w:t xml:space="preserve">0</w:t>
            </w:r>
          </w:p>
        </w:tc>
      </w:tr>
    </w:tbl>
    <w:p>
      <w:pPr>
        <w:spacing w:after="0" w:before="0"/>
        <w:jc w:val="both"/>
      </w:pPr>
      <w:r>
        <w:rPr>
          <w:b/>
          <w:bCs/>
          <w:sz w:val="24"/>
          <w:szCs w:val="24"/>
        </w:rPr>
        <w:t xml:space="preserve">Предложение направлено на комплексную оценку в: </w:t>
      </w:r>
      <w:r>
        <w:rPr>
          <w:sz w:val="24"/>
          <w:szCs w:val="24"/>
        </w:rPr>
      </w:r>
    </w:p>
    <w:p>
      <w:pPr>
        <w:spacing w:after="100"/>
      </w:pPr>
      <w:r/>
    </w:p>
    <w:p>
      <w:pPr>
        <w:spacing w:after="0" w:before="0"/>
        <w:jc w:val="both"/>
      </w:pPr>
      <w:r>
        <w:rPr>
          <w:sz w:val="24"/>
          <w:szCs w:val="24"/>
        </w:rPr>
        <w:t xml:space="preserve">По результатам проведенной оценки сделан вывод о </w:t>
      </w:r>
      <w:r>
        <w:rPr>
          <w:b/>
          <w:bCs/>
          <w:sz w:val="24"/>
          <w:szCs w:val="24"/>
        </w:rPr>
        <w:t xml:space="preserve">нецелесообразности включения</w:t>
      </w:r>
      <w:r>
        <w:rPr>
          <w:sz w:val="24"/>
          <w:szCs w:val="24"/>
        </w:rPr>
        <w:t xml:space="preserve"> препарата в перечень ЖВНЛП, ВЗН14</w:t>
      </w:r>
    </w:p>
    <w:p>
      <w:pPr>
        <w:spacing w:after="0" w:before="0"/>
        <w:ind w:firstLine="992"/>
        <w:jc w:val="both"/>
      </w:pPr>
      <w:r>
        <w:rPr>
          <w:sz w:val="24"/>
          <w:szCs w:val="24"/>
        </w:rPr>
        <w:t xml:space="preserve">Комментарии: </w:t>
      </w:r>
    </w:p>
    <w:p>
      <w:pPr>
        <w:ind w:firstLine="708"/>
        <w:jc w:val="both"/>
      </w:pPr>
      <w:r>
        <w:rPr>
          <w:i/>
          <w:iCs/>
          <w:sz w:val="24"/>
          <w:szCs w:val="24"/>
        </w:rPr>
      </w:r>
    </w:p>
    <w:p>
      <w:pPr>
        <w:spacing w:after="0" w:before="0"/>
        <w:jc w:val="both"/>
      </w:pPr>
      <w:r>
        <w:rPr>
          <w:sz w:val="24"/>
          <w:szCs w:val="24"/>
        </w:rPr>
        <w:t xml:space="preserve">Главный внештатный () Минздрава России ()</w:t>
      </w:r>
      <w:r>
        <w:rPr>
          <w:b/>
          <w:bCs/>
          <w:sz w:val="24"/>
          <w:szCs w:val="24"/>
        </w:rPr>
        <w:t xml:space="preserve"> считает нецелесообразным включения </w:t>
      </w:r>
      <w:r>
        <w:rPr>
          <w:sz w:val="24"/>
          <w:szCs w:val="24"/>
        </w:rPr>
        <w:t xml:space="preserve">препарата в перечень </w:t>
      </w:r>
      <w:r>
        <w:rPr>
          <w:b/>
          <w:bCs/>
          <w:sz w:val="24"/>
          <w:szCs w:val="24"/>
        </w:rPr>
        <w:t xml:space="preserve">ЖВНЛП, ВЗН14</w:t>
      </w:r>
    </w:p>
    <w:p>
      <w:pPr>
        <w:spacing w:after="0" w:before="0"/>
        <w:jc w:val="both"/>
      </w:pPr>
      <w:r>
        <w:rPr>
          <w:i/>
          <w:iCs/>
          <w:sz w:val="24"/>
          <w:szCs w:val="24"/>
        </w:rPr>
        <w:t xml:space="preserve">комментарий: </w:t>
      </w:r>
    </w:p>
    <w:p>
      <w:pPr>
        <w:spacing w:after="0" w:before="0"/>
        <w:jc w:val="both"/>
      </w:pPr>
      <w:r>
        <w:rPr>
          <w:i/>
          <w:iCs/>
          <w:sz w:val="24"/>
          <w:szCs w:val="24"/>
        </w:rPr>
        <w:t xml:space="preserve">undefined</w:t>
      </w:r>
    </w:p>
    <w:p>
      <w:pPr>
        <w:spacing w:after="100"/>
      </w:pPr>
      <w:r/>
    </w:p>
    <w:p>
      <w:pPr>
        <w:spacing w:after="0" w:before="0"/>
        <w:jc w:val="both"/>
      </w:pPr>
      <w:r>
        <w:rPr>
          <w:sz w:val="24"/>
          <w:szCs w:val="24"/>
        </w:rPr>
        <w:t xml:space="preserve">По результатам рассмотрения лекарственный препарат </w:t>
      </w:r>
      <w:r>
        <w:rPr>
          <w:u w:val="single"/>
          <w:sz w:val="24"/>
          <w:szCs w:val="24"/>
        </w:rPr>
        <w:t xml:space="preserve">не набрал рекомендованное количество баллов </w:t>
      </w:r>
      <w:r>
        <w:rPr>
          <w:sz w:val="24"/>
          <w:szCs w:val="24"/>
        </w:rPr>
        <w:t xml:space="preserve">по шкалам ()</w:t>
      </w:r>
    </w:p>
    <w:p>
      <w:pPr>
        <w:spacing w:after="100"/>
      </w:pPr>
      <w:r/>
    </w:p>
    <w:p>
      <w:r>
        <w:rPr>
          <w:sz w:val="24"/>
          <w:szCs w:val="24"/>
        </w:rPr>
        <w:t xml:space="preserve">Методологическое качество исследований озвучит представитель ФГБУ «Центр экспертизы и контроля качества медицинской помощи».</w:t>
      </w:r>
    </w:p>
    <w:p>
      <w:r>
        <w:rPr>
          <w:sz w:val="24"/>
          <w:szCs w:val="24"/>
        </w:rPr>
        <w:t xml:space="preserve">Позиция органов государственной власти субъектов РФ в сфере охраны здоровья (регионов):</w:t>
      </w:r>
    </w:p>
    <w:p>
      <w:r>
        <w:rPr>
          <w:sz w:val="24"/>
          <w:szCs w:val="24"/>
        </w:rPr>
        <w:t xml:space="preserve">-  Х субъектов РФ полагают целесообразным включение ЛП в перечень ЖНВЛП, при этом Х из них отмечает увеличение бюджета;</w:t>
      </w:r>
    </w:p>
    <w:p>
      <w:r>
        <w:rPr>
          <w:sz w:val="24"/>
          <w:szCs w:val="24"/>
        </w:rPr>
        <w:t xml:space="preserve">-  Х субъектов РФ считают нецелесообразным включение ЛП в перечень ЖНВЛП ввиду отсутствия практики применения;</w:t>
      </w:r>
    </w:p>
    <w:p>
      <w:r>
        <w:rPr>
          <w:sz w:val="24"/>
          <w:szCs w:val="24"/>
        </w:rPr>
        <w:t xml:space="preserve">-  Х субъектов РФ полагает возможным включение ЛП в перечень ЖНВЛП при условии выделения дополнительных средств;</w:t>
      </w:r>
    </w:p>
    <w:p>
      <w:r>
        <w:rPr>
          <w:sz w:val="24"/>
          <w:szCs w:val="24"/>
        </w:rPr>
        <w:t xml:space="preserve">- Х субъектов РФ отмечает отсутствие пациентов и (или) опыта применения.</w:t>
      </w:r>
    </w:p>
    <w:p>
      <w:pPr>
        <w:jc w:val="center"/>
      </w:pPr>
      <w:r>
        <w:rPr>
          <w:b/>
          <w:bCs/>
          <w:sz w:val="28"/>
          <w:szCs w:val="28"/>
        </w:rPr>
        <w:t xml:space="preserve">Дополнительная информация</w:t>
      </w:r>
    </w:p>
    <w:p>
      <w:pPr>
        <w:jc w:val="center"/>
      </w:pPr>
      <w:r>
        <w:rPr>
          <w:b/>
          <w:bCs/>
          <w:u w:val="single"/>
          <w:sz w:val="28"/>
          <w:szCs w:val="28"/>
        </w:rPr>
        <w:t xml:space="preserve">Данные о сравнительной клинической эффективности</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p>
            <w:pPr>
              <w:jc w:val="center"/>
            </w:pPr>
            <w:r>
              <w:rPr>
                <w:b/>
                <w:bCs/>
                <w:sz w:val="22"/>
                <w:szCs w:val="22"/>
              </w:rPr>
              <w:t xml:space="preserve">Клиническое исследование</w:t>
            </w:r>
          </w:p>
        </w:tc>
        <w:tc>
          <w:p>
            <w:pPr>
              <w:jc w:val="center"/>
            </w:pPr>
            <w:r>
              <w:rPr>
                <w:b/>
                <w:bCs/>
                <w:sz w:val="22"/>
                <w:szCs w:val="22"/>
              </w:rPr>
              <w:t xml:space="preserve">Препарат сравнения</w:t>
            </w:r>
          </w:p>
        </w:tc>
        <w:tc>
          <w:p>
            <w:pPr>
              <w:jc w:val="center"/>
            </w:pPr>
            <w:r>
              <w:rPr>
                <w:b/>
                <w:bCs/>
                <w:sz w:val="22"/>
                <w:szCs w:val="22"/>
              </w:rPr>
              <w:t xml:space="preserve">Популяция</w:t>
            </w:r>
          </w:p>
        </w:tc>
        <w:tc>
          <w:p>
            <w:pPr>
              <w:jc w:val="center"/>
            </w:pPr>
            <w:r>
              <w:rPr>
                <w:b/>
                <w:bCs/>
                <w:sz w:val="22"/>
                <w:szCs w:val="22"/>
              </w:rPr>
              <w:t xml:space="preserve">Результат</w:t>
            </w:r>
          </w:p>
        </w:tc>
      </w:tr>
      <w:tr>
        <w:tc>
          <w:p>
            <w:pPr>
              <w:jc w:val="start"/>
            </w:pPr>
            <w:r>
              <w:rPr>
                <w:sz w:val="22"/>
                <w:szCs w:val="22"/>
              </w:rPr>
            </w:r>
          </w:p>
        </w:tc>
        <w:tc>
          <w:p>
            <w:pPr>
              <w:spacing w:after="0" w:before="0"/>
              <w:jc w:val="center"/>
            </w:pPr>
            <w:r>
              <w:rPr>
                <w:sz w:val="22"/>
                <w:szCs w:val="22"/>
              </w:rPr>
            </w:r>
          </w:p>
        </w:tc>
        <w:tc>
          <w:p>
            <w:pPr>
              <w:jc w:val="start"/>
            </w:pPr>
            <w:r>
              <w:rPr>
                <w:sz w:val="22"/>
                <w:szCs w:val="22"/>
              </w:rPr>
            </w:r>
          </w:p>
        </w:tc>
        <w:tc>
          <w:p>
            <w:pPr>
              <w:jc w:val="start"/>
            </w:pPr>
            <w:r>
              <w:rPr>
                <w:sz w:val="22"/>
                <w:szCs w:val="22"/>
              </w:rPr>
            </w:r>
          </w:p>
        </w:tc>
      </w:tr>
    </w:tbl>
    <w:p>
      <w:pPr>
        <w:spacing w:after="100"/>
      </w:pPr>
      <w:r/>
    </w:p>
    <w:p>
      <w:pPr>
        <w:jc w:val="center"/>
      </w:pPr>
      <w:r>
        <w:rPr>
          <w:b/>
          <w:bCs/>
          <w:sz w:val="28"/>
          <w:szCs w:val="28"/>
        </w:rPr>
        <w:t xml:space="preserve">Данные о клинико-экономической эффективности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tblGrid>
      <w:tr>
        <w:tc>
          <w:tcPr>
            <w:gridSpan w:val="1"/>
          </w:tcPr>
          <w:p>
            <w:pPr>
              <w:jc w:val="start"/>
            </w:pPr>
            <w:r>
              <w:rPr>
                <w:b/>
                <w:bCs/>
                <w:sz w:val="22"/>
                <w:szCs w:val="22"/>
              </w:rPr>
              <w:t xml:space="preserve">Метод. качество</w:t>
            </w:r>
          </w:p>
        </w:tc>
        <w:tc>
          <w:tcPr>
            <w:gridSpan w:val="1"/>
          </w:tcPr>
          <w:p>
            <w:pPr>
              <w:spacing w:after="0" w:before="0"/>
              <w:jc w:val="start"/>
            </w:pPr>
            <w:r>
              <w:rPr>
                <w:b/>
                <w:bCs/>
                <w:sz w:val="24"/>
                <w:szCs w:val="24"/>
              </w:rPr>
              <w:t xml:space="preserve">КЭИ-1:</w:t>
            </w:r>
            <w:r>
              <w:rPr>
                <w:sz w:val="24"/>
                <w:szCs w:val="24"/>
              </w:rPr>
              <w:t xml:space="preserve">низкое</w:t>
            </w:r>
          </w:p>
        </w:tc>
      </w:tr>
      <w:tr>
        <w:tc>
          <w:tcPr>
            <w:gridSpan w:val="2"/>
          </w:tcPr>
          <w:p>
            <w:pPr>
              <w:jc w:val="center"/>
            </w:pPr>
            <w:r>
              <w:rPr>
                <w:b/>
                <w:bCs/>
                <w:sz w:val="22"/>
                <w:szCs w:val="22"/>
              </w:rPr>
              <w:t xml:space="preserve">Показание</w:t>
            </w:r>
          </w:p>
        </w:tc>
      </w:tr>
      <w:tr>
        <w:tc>
          <w:tcPr>
            <w:gridSpan w:val="2"/>
          </w:tcPr>
          <w:p>
            <w:pPr>
              <w:spacing w:after="0" w:before="0"/>
              <w:jc w:val="start"/>
            </w:pPr>
            <w:r>
              <w:rPr>
                <w:b/>
                <w:bCs/>
                <w:sz w:val="24"/>
                <w:szCs w:val="24"/>
              </w:rPr>
              <w:t xml:space="preserve">КЭИ-1:</w:t>
            </w:r>
            <w:r>
              <w:rPr>
                <w:sz w:val="24"/>
                <w:szCs w:val="24"/>
              </w:rPr>
            </w:r>
          </w:p>
        </w:tc>
      </w:tr>
      <w:tr>
        <w:tc>
          <w:tcPr>
            <w:gridSpan w:val="2"/>
          </w:tcPr>
          <w:p>
            <w:pPr>
              <w:jc w:val="center"/>
            </w:pPr>
            <w:r>
              <w:rPr>
                <w:b/>
                <w:bCs/>
                <w:sz w:val="22"/>
                <w:szCs w:val="22"/>
              </w:rPr>
              <w:t xml:space="preserve">Использованный метод</w:t>
            </w:r>
          </w:p>
        </w:tc>
      </w:tr>
      <w:tr>
        <w:tc>
          <w:tcPr>
            <w:gridSpan w:val="2"/>
          </w:tcPr>
          <w:p>
            <w:pPr>
              <w:spacing w:after="0" w:before="0"/>
              <w:jc w:val="start"/>
            </w:pPr>
            <w:r>
              <w:rPr>
                <w:b/>
                <w:bCs/>
                <w:sz w:val="24"/>
                <w:szCs w:val="24"/>
              </w:rPr>
              <w:t xml:space="preserve">КЭИ-1:</w:t>
            </w:r>
            <w:r>
              <w:rPr>
                <w:sz w:val="24"/>
                <w:szCs w:val="24"/>
              </w:rPr>
              <w:t xml:space="preserve">нет</w:t>
            </w:r>
          </w:p>
        </w:tc>
      </w:tr>
      <w:tr>
        <w:tc>
          <w:tcPr>
            <w:gridSpan w:val="1"/>
          </w:tcPr>
          <w:p>
            <w:pPr>
              <w:jc w:val="start"/>
            </w:pPr>
            <w:r>
              <w:rPr>
                <w:b/>
                <w:bCs/>
                <w:sz w:val="22"/>
                <w:szCs w:val="22"/>
              </w:rPr>
              <w:t xml:space="preserve">Препараты сравнения</w:t>
            </w:r>
          </w:p>
        </w:tc>
        <w:tc>
          <w:tcPr>
            <w:gridSpan w:val="1"/>
          </w:tcPr>
          <w:p>
            <w:pPr>
              <w:spacing w:after="0" w:before="0"/>
              <w:jc w:val="start"/>
            </w:pPr>
            <w:r>
              <w:rPr>
                <w:b/>
                <w:bCs/>
                <w:sz w:val="24"/>
                <w:szCs w:val="24"/>
              </w:rPr>
              <w:t xml:space="preserve">КЭИ-1:</w:t>
            </w:r>
            <w:r>
              <w:rPr>
                <w:sz w:val="24"/>
                <w:szCs w:val="24"/>
              </w:rPr>
              <w:t xml:space="preserve"> Препараты сравнения, включенные в перечень [напишите название предлагаемого перечня/перечней]: [названия ЛП].</w:t>
            </w:r>
            <w:r>
              <w:rPr>
                <w:sz w:val="24"/>
                <w:szCs w:val="24"/>
              </w:rPr>
              <w:br/>
              <w:t xml:space="preserve">Препараты сравнения, не включенные в перечень [напишите название предлагаемого перечня/перечней]: [названия ЛП].</w:t>
            </w:r>
          </w:p>
        </w:tc>
      </w:tr>
      <w:tr>
        <w:tc>
          <w:tcPr>
            <w:gridSpan w:val="2"/>
          </w:tcPr>
          <w:p>
            <w:pPr>
              <w:jc w:val="center"/>
            </w:pPr>
            <w:r>
              <w:rPr>
                <w:b/>
                <w:bCs/>
                <w:sz w:val="22"/>
                <w:szCs w:val="22"/>
              </w:rPr>
              <w:t xml:space="preserve">Клинические преимущества</w:t>
            </w:r>
          </w:p>
        </w:tc>
      </w:tr>
      <w:tr>
        <w:tc>
          <w:tcPr>
            <w:gridSpan w:val="2"/>
          </w:tcPr>
          <w:p>
            <w:pPr>
              <w:spacing w:after="0" w:before="0"/>
              <w:jc w:val="start"/>
            </w:pPr>
            <w:r>
              <w:rPr>
                <w:b/>
                <w:bCs/>
                <w:sz w:val="24"/>
                <w:szCs w:val="24"/>
              </w:rPr>
              <w:t xml:space="preserve">КЭИ-1:</w:t>
            </w:r>
            <w:r>
              <w:rPr>
                <w:sz w:val="24"/>
                <w:szCs w:val="24"/>
              </w:rPr>
              <w:t xml:space="preserve"> </w:t>
            </w:r>
          </w:p>
        </w:tc>
      </w:tr>
      <w:tr>
        <w:tc>
          <w:tcPr>
            <w:gridSpan w:val="2"/>
          </w:tcPr>
          <w:p>
            <w:pPr>
              <w:jc w:val="center"/>
            </w:pPr>
            <w:r>
              <w:rPr>
                <w:b/>
                <w:bCs/>
                <w:sz w:val="22"/>
                <w:szCs w:val="22"/>
              </w:rPr>
              <w:t xml:space="preserve">Экономические преимущества</w:t>
            </w:r>
          </w:p>
        </w:tc>
      </w:tr>
      <w:tr>
        <w:tc>
          <w:tcPr>
            <w:gridSpan w:val="2"/>
          </w:tcPr>
          <w:p>
            <w:pPr>
              <w:spacing w:after="0" w:before="0"/>
              <w:jc w:val="start"/>
            </w:pPr>
            <w:r>
              <w:rPr>
                <w:b/>
                <w:bCs/>
                <w:sz w:val="24"/>
                <w:szCs w:val="24"/>
              </w:rPr>
              <w:t xml:space="preserve">КЭИ-1:</w:t>
            </w:r>
            <w:r>
              <w:rPr>
                <w:sz w:val="24"/>
                <w:szCs w:val="24"/>
              </w:rPr>
              <w:t xml:space="preserve"> </w:t>
            </w:r>
          </w:p>
        </w:tc>
      </w:tr>
      <w:tr>
        <w:tc>
          <w:tcPr>
            <w:gridSpan w:val="2"/>
          </w:tcPr>
          <w:p>
            <w:pPr>
              <w:jc w:val="center"/>
            </w:pPr>
            <w:r>
              <w:rPr>
                <w:b/>
                <w:bCs/>
                <w:sz w:val="22"/>
                <w:szCs w:val="22"/>
              </w:rPr>
              <w:t xml:space="preserve">Основные результаты</w:t>
            </w:r>
          </w:p>
        </w:tc>
      </w:tr>
      <w:tr>
        <w:tc>
          <w:tcPr>
            <w:gridSpan w:val="2"/>
          </w:tcPr>
          <w:p>
            <w:pPr>
              <w:spacing w:after="0" w:before="0"/>
              <w:jc w:val="start"/>
            </w:pPr>
            <w:r>
              <w:rPr>
                <w:b/>
                <w:bCs/>
                <w:sz w:val="24"/>
                <w:szCs w:val="24"/>
              </w:rPr>
              <w:t xml:space="preserve">КЭИ-1:</w:t>
            </w:r>
            <w:r>
              <w:rPr>
                <w:sz w:val="24"/>
                <w:szCs w:val="24"/>
              </w:rPr>
              <w:t xml:space="preserve"> </w:t>
            </w:r>
          </w:p>
        </w:tc>
      </w:tr>
    </w:tbl>
    <w:p>
      <w:pPr>
        <w:spacing w:after="100"/>
      </w:pPr>
      <w:r/>
    </w:p>
    <w:p>
      <w:pPr>
        <w:jc w:val="center"/>
      </w:pPr>
      <w:r>
        <w:rPr>
          <w:b/>
          <w:bCs/>
          <w:sz w:val="28"/>
          <w:szCs w:val="28"/>
        </w:rPr>
        <w:t xml:space="preserve">Данные о влиянии на бюджет</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tblGrid>
      <w:tr>
        <w:tc>
          <w:tcPr>
            <w:gridSpan w:val="1"/>
          </w:tcPr>
          <w:p>
            <w:pPr>
              <w:jc w:val="start"/>
            </w:pPr>
            <w:r>
              <w:rPr>
                <w:b/>
                <w:bCs/>
                <w:sz w:val="22"/>
                <w:szCs w:val="22"/>
              </w:rPr>
              <w:t xml:space="preserve">Метод. качество</w:t>
            </w:r>
          </w:p>
        </w:tc>
        <w:tc>
          <w:tcPr>
            <w:gridSpan w:val="1"/>
          </w:tcPr>
          <w:p>
            <w:pPr>
              <w:spacing w:after="0" w:before="0"/>
              <w:jc w:val="start"/>
            </w:pPr>
            <w:r>
              <w:rPr>
                <w:b/>
                <w:bCs/>
                <w:sz w:val="24"/>
                <w:szCs w:val="24"/>
              </w:rPr>
              <w:t xml:space="preserve">АВБ-1:</w:t>
            </w:r>
            <w:r>
              <w:rPr>
                <w:sz w:val="24"/>
                <w:szCs w:val="24"/>
              </w:rPr>
              <w:t xml:space="preserve">низкое</w:t>
            </w:r>
          </w:p>
        </w:tc>
        <w:tc>
          <w:tcPr>
            <w:gridSpan w:val="2"/>
          </w:tcPr>
          <w:p>
            <w:pPr>
              <w:spacing w:after="0" w:before="0"/>
              <w:jc w:val="start"/>
            </w:pPr>
            <w:r>
              <w:rPr>
                <w:b/>
                <w:bCs/>
                <w:sz w:val="24"/>
                <w:szCs w:val="24"/>
              </w:rPr>
              <w:t xml:space="preserve">АВБ-2:</w:t>
            </w:r>
            <w:r>
              <w:rPr>
                <w:sz w:val="24"/>
                <w:szCs w:val="24"/>
              </w:rPr>
            </w:r>
          </w:p>
        </w:tc>
      </w:tr>
      <w:tr>
        <w:tc>
          <w:tcPr>
            <w:gridSpan w:val="4"/>
          </w:tcPr>
          <w:p>
            <w:pPr>
              <w:jc w:val="center"/>
            </w:pPr>
            <w:r>
              <w:rPr>
                <w:b/>
                <w:bCs/>
                <w:sz w:val="22"/>
                <w:szCs w:val="22"/>
              </w:rPr>
              <w:t xml:space="preserve">Показание</w:t>
            </w:r>
          </w:p>
        </w:tc>
      </w:tr>
      <w:tr>
        <w:tc>
          <w:tcPr>
            <w:gridSpan w:val="2"/>
          </w:tcPr>
          <w:p>
            <w:pPr>
              <w:spacing w:after="0" w:before="0"/>
              <w:jc w:val="start"/>
            </w:pPr>
            <w:r>
              <w:rPr>
                <w:b/>
                <w:bCs/>
                <w:sz w:val="24"/>
                <w:szCs w:val="24"/>
              </w:rPr>
              <w:t xml:space="preserve">АВБ-1:</w:t>
            </w:r>
            <w:r>
              <w:rPr>
                <w:sz w:val="24"/>
                <w:szCs w:val="24"/>
              </w:rPr>
            </w:r>
          </w:p>
        </w:tc>
        <w:tc>
          <w:tcPr>
            <w:gridSpan w:val="2"/>
          </w:tcPr>
          <w:p>
            <w:pPr>
              <w:spacing w:after="0" w:before="0"/>
              <w:jc w:val="start"/>
            </w:pPr>
            <w:r>
              <w:rPr>
                <w:b/>
                <w:bCs/>
                <w:sz w:val="24"/>
                <w:szCs w:val="24"/>
              </w:rPr>
              <w:t xml:space="preserve">АВБ-2:</w:t>
            </w:r>
            <w:r>
              <w:rPr>
                <w:sz w:val="24"/>
                <w:szCs w:val="24"/>
              </w:rPr>
            </w:r>
          </w:p>
        </w:tc>
      </w:tr>
      <w:tr>
        <w:tc>
          <w:tcPr>
            <w:gridSpan w:val="4"/>
          </w:tcPr>
          <w:p>
            <w:pPr>
              <w:jc w:val="center"/>
            </w:pPr>
            <w:r>
              <w:rPr>
                <w:b/>
                <w:bCs/>
                <w:sz w:val="22"/>
                <w:szCs w:val="22"/>
              </w:rPr>
              <w:t xml:space="preserve">Численность целевой популяции:</w:t>
            </w:r>
          </w:p>
        </w:tc>
      </w:tr>
      <w:tr>
        <w:tc>
          <w:tcPr>
            <w:gridSpan w:val="2"/>
          </w:tcPr>
          <w:p>
            <w:pPr>
              <w:spacing w:after="0" w:before="0"/>
              <w:jc w:val="start"/>
            </w:pPr>
            <w:r>
              <w:rPr>
                <w:b/>
                <w:bCs/>
                <w:sz w:val="24"/>
                <w:szCs w:val="24"/>
              </w:rPr>
              <w:t xml:space="preserve">АВБ-1:</w:t>
            </w:r>
            <w:r>
              <w:rPr>
                <w:sz w:val="24"/>
                <w:szCs w:val="24"/>
              </w:rPr>
              <w:t xml:space="preserve"> ацелевойцелевойцелевойцелевойцелевойцелевойцелевойцелевойцелевойцелевойцелевойцелевой</w:t>
            </w:r>
          </w:p>
        </w:tc>
        <w:tc>
          <w:tcPr>
            <w:gridSpan w:val="2"/>
          </w:tcPr>
          <w:p>
            <w:pPr>
              <w:spacing w:after="0" w:before="0"/>
              <w:jc w:val="start"/>
            </w:pPr>
            <w:r>
              <w:rPr>
                <w:b/>
                <w:bCs/>
                <w:sz w:val="24"/>
                <w:szCs w:val="24"/>
              </w:rPr>
              <w:t xml:space="preserve">АВБ-2:</w:t>
            </w:r>
            <w:r>
              <w:rPr>
                <w:sz w:val="24"/>
                <w:szCs w:val="24"/>
              </w:rPr>
              <w:t xml:space="preserve"> </w:t>
            </w:r>
          </w:p>
        </w:tc>
      </w:tr>
      <w:tr>
        <w:tc>
          <w:tcPr>
            <w:gridSpan w:val="2"/>
          </w:tcPr>
          <w:p>
            <w:pPr>
              <w:jc w:val="center"/>
            </w:pPr>
            <w:r>
              <w:rPr>
                <w:b/>
                <w:bCs/>
                <w:sz w:val="22"/>
                <w:szCs w:val="22"/>
              </w:rPr>
              <w:t xml:space="preserve">Текущая практика терапии</w:t>
            </w:r>
          </w:p>
        </w:tc>
        <w:tc>
          <w:tcPr>
            <w:gridSpan w:val="2"/>
          </w:tcPr>
          <w:p>
            <w:pPr>
              <w:jc w:val="center"/>
            </w:pPr>
            <w:r>
              <w:rPr>
                <w:b/>
                <w:bCs/>
                <w:sz w:val="22"/>
                <w:szCs w:val="22"/>
              </w:rPr>
              <w:t xml:space="preserve">Ожидаемая практика терапии</w:t>
            </w:r>
          </w:p>
        </w:tc>
      </w:tr>
      <w:tr>
        <w:tc>
          <w:p>
            <w:pPr>
              <w:spacing w:after="0" w:before="0"/>
              <w:jc w:val="start"/>
            </w:pPr>
            <w:r>
              <w:rPr>
                <w:b/>
                <w:bCs/>
                <w:sz w:val="24"/>
                <w:szCs w:val="24"/>
              </w:rPr>
              <w:t xml:space="preserve">АВБ-1:</w:t>
            </w:r>
            <w:r>
              <w:rPr>
                <w:sz w:val="24"/>
                <w:szCs w:val="24"/>
              </w:rPr>
              <w:t xml:space="preserve"> Текущая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АВБ-2:</w:t>
            </w:r>
            <w:r>
              <w:rPr>
                <w:sz w:val="24"/>
                <w:szCs w:val="24"/>
              </w:rPr>
              <w:t xml:space="preserve"> Текущая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АВБ-1:</w:t>
            </w:r>
            <w:r>
              <w:rPr>
                <w:sz w:val="24"/>
                <w:szCs w:val="24"/>
              </w:rPr>
              <w:t xml:space="preserve"> Ожидаемая практика лекарственной терапии, включенная в перечень [напишите название предлагаемого перечня/перечней]: [процент (%) и название ЛП].</w:t>
            </w:r>
          </w:p>
        </w:tc>
        <w:tc>
          <w:p>
            <w:pPr>
              <w:spacing w:after="0" w:before="0"/>
              <w:jc w:val="start"/>
            </w:pPr>
            <w:r>
              <w:rPr>
                <w:b/>
                <w:bCs/>
                <w:sz w:val="24"/>
                <w:szCs w:val="24"/>
              </w:rPr>
              <w:t xml:space="preserve">АВБ-2:</w:t>
            </w:r>
            <w:r>
              <w:rPr>
                <w:sz w:val="24"/>
                <w:szCs w:val="24"/>
              </w:rPr>
              <w:t xml:space="preserve"> Ожидаемая практика лекарственной терапии, включенная в перечень [напишите название предлагаемого перечня/перечней]: [процент (%) и название ЛП].</w:t>
            </w:r>
          </w:p>
        </w:tc>
      </w:tr>
      <w:tr>
        <w:tc>
          <w:tcPr>
            <w:gridSpan w:val="4"/>
          </w:tcPr>
          <w:p>
            <w:pPr>
              <w:jc w:val="center"/>
            </w:pPr>
            <w:r>
              <w:rPr>
                <w:b/>
                <w:bCs/>
                <w:sz w:val="22"/>
                <w:szCs w:val="22"/>
              </w:rPr>
              <w:t xml:space="preserve">Основные результаты:</w:t>
            </w:r>
          </w:p>
        </w:tc>
      </w:tr>
      <w:tr>
        <w:tc>
          <w:tcPr>
            <w:gridSpan w:val="2"/>
          </w:tcPr>
          <w:p>
            <w:pPr>
              <w:spacing w:after="0" w:before="0"/>
              <w:jc w:val="start"/>
            </w:pPr>
            <w:r>
              <w:rPr>
                <w:b/>
                <w:bCs/>
                <w:sz w:val="24"/>
                <w:szCs w:val="24"/>
              </w:rPr>
              <w:t xml:space="preserve">АВБ-1:</w:t>
            </w:r>
            <w:r>
              <w:rPr>
                <w:sz w:val="24"/>
                <w:szCs w:val="24"/>
              </w:rPr>
              <w:t xml:space="preserve"> Большие/меньшие затраты: [+/-Х] руб. за Х года ([+/-Х] руб. за 1-й год)</w:t>
            </w:r>
            <w:r>
              <w:rPr>
                <w:sz w:val="24"/>
                <w:szCs w:val="24"/>
              </w:rPr>
              <w:br/>
              <w:t xml:space="preserve">Затраты на текущую практику: [Х] руб. за Х года ([Х] руб. за 1-й год)</w:t>
            </w:r>
            <w:r>
              <w:rPr>
                <w:sz w:val="24"/>
                <w:szCs w:val="24"/>
              </w:rPr>
              <w:br/>
              <w:t xml:space="preserve">Затраты на ожидаемую практику: [Х] руб. за Х года ([Х] руб. за 1-й год)</w:t>
            </w:r>
          </w:p>
        </w:tc>
        <w:tc>
          <w:tcPr>
            <w:gridSpan w:val="2"/>
          </w:tcPr>
          <w:p>
            <w:pPr>
              <w:spacing w:after="0" w:before="0"/>
              <w:jc w:val="start"/>
            </w:pPr>
            <w:r>
              <w:rPr>
                <w:b/>
                <w:bCs/>
                <w:sz w:val="24"/>
                <w:szCs w:val="24"/>
              </w:rPr>
              <w:t xml:space="preserve">АВБ-2:</w:t>
            </w:r>
            <w:r>
              <w:rPr>
                <w:sz w:val="24"/>
                <w:szCs w:val="24"/>
              </w:rPr>
              <w:t xml:space="preserve"> Большие/меньшие затраты: [+/-Х] руб. за Х года ([+/-Х] руб. за 1-й год)</w:t>
            </w:r>
            <w:r>
              <w:rPr>
                <w:sz w:val="24"/>
                <w:szCs w:val="24"/>
              </w:rPr>
              <w:br/>
              <w:t xml:space="preserve">Затраты на текущую практику: [Х] руб. за Х года ([Х] руб. за 1-й год)</w:t>
            </w:r>
            <w:r>
              <w:rPr>
                <w:sz w:val="24"/>
                <w:szCs w:val="24"/>
              </w:rPr>
              <w:br/>
              <w:t xml:space="preserve">Затраты на ожидаемую практику: [Х] руб. за Х года ([Х] руб. за 1-й год)</w:t>
            </w:r>
          </w:p>
        </w:tc>
      </w:tr>
    </w:tbl>
    <w:p>
      <w:pPr>
        <w:sectPr>
          <w:footerReference w:type="default" r:id="rId6"/>
          <w:pgSz w:w="16837" w:h="11905" w:orient="portrait"/>
          <w:pgMar w:top="1133" w:right="1133" w:bottom="850" w:left="1133" w:header="708" w:footer="708" w:gutter="0"/>
          <w:pgNumType w:fmt="decimal"/>
          <w:docGrid w:linePitch="360"/>
        </w:sectPr>
      </w:pPr>
    </w:p>
    <w:p>
      <w:pPr>
        <w:jc w:val="center"/>
      </w:pPr>
      <w:r>
        <w:rPr>
          <w:b/>
          <w:bCs/>
          <w:sz w:val="28"/>
          <w:szCs w:val="28"/>
        </w:rPr>
        <w:t xml:space="preserve">Сравнение предлагаемой к регистрации цены в РФ и</w:t>
      </w:r>
    </w:p>
    <w:p>
      <w:pPr>
        <w:jc w:val="center"/>
      </w:pPr>
      <w:r>
        <w:rPr>
          <w:b/>
          <w:bCs/>
          <w:sz w:val="28"/>
          <w:szCs w:val="28"/>
        </w:rPr>
        <w:t xml:space="preserve">зарегистрированной минимальной цены в референтных странах</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gridCol w:w="100"/>
      </w:tblGrid>
      <w:tr>
        <w:tc>
          <w:p>
            <w:pPr>
              <w:jc w:val="center"/>
            </w:pPr>
            <w:r>
              <w:rPr>
                <w:b/>
                <w:bCs/>
                <w:sz w:val="22"/>
                <w:szCs w:val="22"/>
              </w:rPr>
              <w:t xml:space="preserve">МНН, форма выпуска</w:t>
            </w:r>
          </w:p>
        </w:tc>
        <w:tc>
          <w:tcPr>
            <w:vAlign w:val="center"/>
          </w:tcPr>
          <w:p>
            <w:pPr>
              <w:jc w:val="center"/>
            </w:pPr>
            <w:r>
              <w:rPr>
                <w:b/>
                <w:bCs/>
                <w:sz w:val="22"/>
                <w:szCs w:val="22"/>
              </w:rPr>
              <w:t xml:space="preserve">Цена в Российской Федерации (руб.)</w:t>
            </w:r>
          </w:p>
        </w:tc>
        <w:tc>
          <w:tcPr>
            <w:vAlign w:val="center"/>
          </w:tcPr>
          <w:p>
            <w:pPr>
              <w:jc w:val="center"/>
            </w:pPr>
            <w:r>
              <w:rPr>
                <w:b/>
                <w:bCs/>
                <w:sz w:val="22"/>
                <w:szCs w:val="22"/>
              </w:rPr>
              <w:t xml:space="preserve">Минимальная цена в референтной стране, руб. </w:t>
            </w:r>
          </w:p>
        </w:tc>
        <w:tc>
          <w:tcPr>
            <w:vAlign w:val="center"/>
          </w:tcPr>
          <w:p>
            <w:pPr>
              <w:jc w:val="center"/>
            </w:pPr>
            <w:r>
              <w:rPr>
                <w:b/>
                <w:bCs/>
                <w:sz w:val="22"/>
                <w:szCs w:val="22"/>
              </w:rPr>
              <w:t xml:space="preserve">Референтная страна с минимальной ценой</w:t>
            </w:r>
          </w:p>
        </w:tc>
        <w:tc>
          <w:tcPr>
            <w:vAlign w:val="center"/>
          </w:tcPr>
          <w:p>
            <w:pPr>
              <w:jc w:val="center"/>
            </w:pPr>
            <w:r>
              <w:rPr>
                <w:b/>
                <w:bCs/>
                <w:sz w:val="22"/>
                <w:szCs w:val="22"/>
              </w:rPr>
              <w:t xml:space="preserve">Разница с ценой в Референтной стране (разница в %)</w:t>
            </w:r>
          </w:p>
        </w:tc>
      </w:tr>
      <w:tr>
        <w:tc>
          <w:p>
            <w:pPr>
              <w:jc w:val="start"/>
            </w:pPr>
            <w:r>
              <w:rPr>
                <w:sz w:val="22"/>
                <w:szCs w:val="22"/>
              </w:rPr>
              <w:t xml:space="preserve">энтивио для 2027, </w:t>
            </w:r>
          </w:p>
        </w:tc>
        <w:tc>
          <w:tcPr>
            <w:vAlign w:val="center"/>
          </w:tcPr>
          <w:p>
            <w:pPr>
              <w:spacing w:after="0" w:before="0"/>
              <w:jc w:val="center"/>
            </w:pPr>
            <w:r>
              <w:rPr>
                <w:sz w:val="22"/>
                <w:szCs w:val="22"/>
              </w:rPr>
              <w:t xml:space="preserve">-</w:t>
            </w:r>
          </w:p>
        </w:tc>
        <w:tc>
          <w:tcPr>
            <w:vAlign w:val="center"/>
          </w:tcPr>
          <w:p>
            <w:pPr>
              <w:spacing w:after="0" w:before="0"/>
              <w:jc w:val="center"/>
            </w:pPr>
            <w:r>
              <w:rPr>
                <w:sz w:val="22"/>
                <w:szCs w:val="22"/>
              </w:rPr>
              <w:t xml:space="preserve">Не зарегистрирована</w:t>
            </w:r>
          </w:p>
        </w:tc>
        <w:tc>
          <w:tcPr>
            <w:vAlign w:val="center"/>
          </w:tcPr>
          <w:p>
            <w:pPr>
              <w:spacing w:after="0" w:before="0"/>
              <w:jc w:val="center"/>
            </w:pPr>
            <w:r>
              <w:rPr>
                <w:sz w:val="22"/>
                <w:szCs w:val="22"/>
              </w:rPr>
              <w:t xml:space="preserve">-</w:t>
            </w:r>
          </w:p>
        </w:tc>
        <w:tc>
          <w:tcPr>
            <w:vAlign w:val="center"/>
          </w:tcPr>
          <w:p>
            <w:pPr>
              <w:spacing w:after="0" w:before="0"/>
              <w:jc w:val="center"/>
            </w:pPr>
            <w:r>
              <w:rPr>
                <w:sz w:val="22"/>
                <w:szCs w:val="22"/>
              </w:rPr>
              <w:t xml:space="preserve">-</w:t>
            </w:r>
          </w:p>
        </w:tc>
      </w:tr>
    </w:tbl>
    <w:p>
      <w:pPr>
        <w:spacing w:after="100"/>
      </w:pPr>
      <w:r/>
    </w:p>
    <w:p>
      <w:pPr>
        <w:jc w:val="center"/>
      </w:pPr>
      <w:r>
        <w:rPr>
          <w:b/>
          <w:bCs/>
          <w:sz w:val="28"/>
          <w:szCs w:val="28"/>
        </w:rPr>
        <w:t xml:space="preserve">Сведения о рекомендациях зарубежных агентств по оценке медицинских </w:t>
      </w:r>
    </w:p>
    <w:p>
      <w:pPr>
        <w:jc w:val="center"/>
      </w:pPr>
      <w:r>
        <w:rPr>
          <w:b/>
          <w:bCs/>
          <w:sz w:val="28"/>
          <w:szCs w:val="28"/>
        </w:rPr>
        <w:t xml:space="preserve">технологий о целесообразности государственного финансирования в </w:t>
      </w:r>
    </w:p>
    <w:p>
      <w:pPr>
        <w:jc w:val="center"/>
      </w:pPr>
      <w:r>
        <w:rPr>
          <w:b/>
          <w:bCs/>
          <w:sz w:val="28"/>
          <w:szCs w:val="28"/>
        </w:rPr>
        <w:t xml:space="preserve">иностранном государстве предлагаемого лекарственного препарата </w:t>
      </w:r>
    </w:p>
    <w:p>
      <w:pPr>
        <w:spacing w:after="100"/>
      </w:pPr>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tblGrid>
      <w:tr>
        <w:tc>
          <w:p>
            <w:pPr>
              <w:jc w:val="center"/>
            </w:pPr>
            <w:r>
              <w:rPr>
                <w:b/>
                <w:bCs/>
                <w:sz w:val="24"/>
                <w:szCs w:val="24"/>
              </w:rPr>
              <w:t xml:space="preserve">Показания к применению</w:t>
            </w:r>
          </w:p>
        </w:tc>
        <w:tc>
          <w:p>
            <w:pPr>
              <w:jc w:val="center"/>
            </w:pPr>
            <w:r>
              <w:rPr>
                <w:b/>
                <w:bCs/>
                <w:sz w:val="24"/>
                <w:szCs w:val="24"/>
              </w:rPr>
              <w:t xml:space="preserve">Рекомендации иностранных агентств по оценке медицинских технологий</w:t>
            </w:r>
          </w:p>
        </w:tc>
      </w:tr>
      <w:tr>
        <w:tc>
          <w:tcPr>
            <w:tcW w:type="pct" w:w="35%"/>
          </w:tcPr>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p>
          <w:p>
            <w:r>
              <w:rPr>
                <w:sz w:val="24"/>
                <w:szCs w:val="24"/>
              </w:rPr>
              <w:t xml:space="preserve">- Лечения «по требованию» и контроля эпизодов кровотечения </w:t>
            </w:r>
          </w:p>
          <w:p>
            <w:r>
              <w:rPr>
                <w:sz w:val="24"/>
                <w:szCs w:val="24"/>
              </w:rPr>
              <w:t xml:space="preserve">- Периоперационного ведения </w:t>
            </w:r>
          </w:p>
          <w:p>
            <w:r>
              <w:rPr>
                <w:sz w:val="24"/>
                <w:szCs w:val="24"/>
              </w:rPr>
              <w:t xml:space="preserve">- Профилактики для уменьшения частоты кровотечений </w:t>
            </w:r>
          </w:p>
          <w:p>
            <w:r>
              <w:rPr>
                <w:sz w:val="24"/>
                <w:szCs w:val="24"/>
              </w:rPr>
              <w:t xml:space="preserve">Код МКБ-10 D66 Наследственный дефицит фактора VIII</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анмшгпаншгапншгапншгин</w:t>
            </w:r>
          </w:p>
          <w:p>
            <w:r>
              <w:rPr>
                <w:sz w:val="24"/>
                <w:szCs w:val="24"/>
              </w:rPr>
              <w:t xml:space="preserve">Источник:</w:t>
            </w:r>
          </w:p>
          <w:p>
            <w:pPr>
              <w:spacing w:after="200"/>
            </w:pPr>
            <w:hyperlink w:history="1" r:id="rIdntbocmo6sulupxbwai0sb">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Не оценивался</w:t>
            </w:r>
          </w:p>
          <w:p>
            <w:r>
              <w:rPr>
                <w:sz w:val="24"/>
                <w:szCs w:val="24"/>
              </w:rPr>
            </w:r>
          </w:p>
          <w:p>
            <w:pPr>
              <w:spacing w:after="200"/>
            </w:pPr>
            <w:hyperlink w:history="1" r:id="rIdgftizbcxoopwvo4mqbleq">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3ljtpcwywkdm-439nzaxx">
              <w:r>
                <w:rPr>
                  <w:sz w:val="24"/>
                  <w:szCs w:val="24"/>
                  <w:rStyle w:val="Hyperlink"/>
                </w:rPr>
              </w:r>
            </w:hyperlink>
          </w:p>
        </w:tc>
      </w:tr>
      <w:tr>
        <w:tc>
          <w:tcPr>
            <w:tcW w:type="pct" w:w="35%"/>
          </w:tcPr>
          <w:p>
            <w:r>
              <w:rPr>
                <w:sz w:val="24"/>
                <w:szCs w:val="24"/>
              </w:rPr>
              <w:t xml:space="preserve">показание 2 Лечения «по требованию» и контроля эпизодов кров</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Не оценивался</w:t>
            </w:r>
          </w:p>
          <w:p>
            <w:r>
              <w:rPr>
                <w:sz w:val="24"/>
                <w:szCs w:val="24"/>
              </w:rPr>
            </w:r>
          </w:p>
          <w:p>
            <w:pPr>
              <w:spacing w:after="200"/>
            </w:pPr>
            <w:hyperlink w:history="1" r:id="rIdsngtwssny6hqvucnz2dcl">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Не оценивался</w:t>
            </w:r>
          </w:p>
          <w:p>
            <w:r>
              <w:rPr>
                <w:sz w:val="24"/>
                <w:szCs w:val="24"/>
              </w:rPr>
            </w:r>
          </w:p>
          <w:p>
            <w:pPr>
              <w:spacing w:after="200"/>
            </w:pPr>
            <w:hyperlink w:history="1" r:id="rIdcmuk3qv6x9ow83m2054ht">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6rgsy1yyceuwvqvcj6v5m">
              <w:r>
                <w:rPr>
                  <w:sz w:val="24"/>
                  <w:szCs w:val="24"/>
                  <w:rStyle w:val="Hyperlink"/>
                </w:rPr>
              </w:r>
            </w:hyperlink>
          </w:p>
        </w:tc>
      </w:tr>
      <w:tr>
        <w:tc>
          <w:tcPr>
            <w:tcW w:type="pct" w:w="35%"/>
          </w:tcPr>
          <w:p>
            <w:r>
              <w:rPr>
                <w:sz w:val="24"/>
                <w:szCs w:val="24"/>
              </w:rPr>
              <w:t xml:space="preserve">Для применения у взрослых и детей, страдающих гемофилией А (врожденный дефицит фактора свертывания VIII) и ранее получавших лечение, для: </w:t>
            </w:r>
          </w:p>
          <w:p>
            <w:r>
              <w:rPr>
                <w:sz w:val="24"/>
                <w:szCs w:val="24"/>
              </w:rPr>
              <w:t xml:space="preserve">- Лечения «по требованию» и контроля эпизодов кровотечения </w:t>
            </w:r>
          </w:p>
          <w:p>
            <w:r>
              <w:rPr>
                <w:sz w:val="24"/>
                <w:szCs w:val="24"/>
              </w:rPr>
              <w:t xml:space="preserve">- Периоперационного ведения </w:t>
            </w:r>
          </w:p>
          <w:p>
            <w:r>
              <w:rPr>
                <w:sz w:val="24"/>
                <w:szCs w:val="24"/>
              </w:rPr>
              <w:t xml:space="preserve">- Профилактики для уменьшения частоты к</w:t>
            </w:r>
          </w:p>
        </w:tc>
        <w:tc>
          <w:tcPr>
            <w:tcW w:type="pct" w:w="65%"/>
          </w:tcPr>
          <w:p>
            <w:pPr>
              <w:jc w:val="both"/>
            </w:pPr>
            <w:r>
              <w:rPr>
                <w:b/>
                <w:bCs/>
                <w:sz w:val="24"/>
                <w:szCs w:val="24"/>
              </w:rPr>
              <w:t xml:space="preserve">Национальный институт здоровья и клинического совершенствования Великобритании (NICE):</w:t>
            </w:r>
          </w:p>
          <w:p>
            <w:pPr>
              <w:jc w:val="both"/>
            </w:pPr>
            <w:r>
              <w:rPr>
                <w:sz w:val="24"/>
                <w:szCs w:val="24"/>
              </w:rPr>
              <w:t xml:space="preserve">шаrst nice man bro</w:t>
            </w:r>
          </w:p>
          <w:p>
            <w:r>
              <w:rPr>
                <w:sz w:val="24"/>
                <w:szCs w:val="24"/>
              </w:rPr>
              <w:t xml:space="preserve">Источник:</w:t>
            </w:r>
          </w:p>
          <w:p>
            <w:pPr>
              <w:spacing w:after="200"/>
            </w:pPr>
            <w:hyperlink w:history="1" r:id="rIdgy5exsx6-j2famu083l-t">
              <w:r>
                <w:rPr>
                  <w:sz w:val="24"/>
                  <w:szCs w:val="24"/>
                  <w:rStyle w:val="Hyperlink"/>
                </w:rPr>
              </w:r>
            </w:hyperlink>
          </w:p>
          <w:p>
            <w:pPr>
              <w:jc w:val="both"/>
            </w:pPr>
            <w:r>
              <w:rPr>
                <w:b/>
                <w:bCs/>
                <w:sz w:val="24"/>
                <w:szCs w:val="24"/>
              </w:rPr>
              <w:t xml:space="preserve">Институт качества и эффективности в здравоохранении Германии (IQWIG):</w:t>
            </w:r>
          </w:p>
          <w:p>
            <w:pPr>
              <w:jc w:val="both"/>
            </w:pPr>
            <w:r>
              <w:rPr>
                <w:sz w:val="24"/>
                <w:szCs w:val="24"/>
              </w:rPr>
              <w:t xml:space="preserve">9798798797</w:t>
            </w:r>
          </w:p>
          <w:p>
            <w:r>
              <w:rPr>
                <w:sz w:val="24"/>
                <w:szCs w:val="24"/>
              </w:rPr>
              <w:t xml:space="preserve">Источник:</w:t>
            </w:r>
          </w:p>
          <w:p>
            <w:pPr>
              <w:spacing w:after="200"/>
            </w:pPr>
            <w:hyperlink w:history="1" r:id="rIdgybhgzrvyoyhkdzftx8om">
              <w:r>
                <w:rPr>
                  <w:sz w:val="24"/>
                  <w:szCs w:val="24"/>
                  <w:rStyle w:val="Hyperlink"/>
                </w:rPr>
              </w:r>
            </w:hyperlink>
          </w:p>
          <w:p>
            <w:pPr>
              <w:jc w:val="both"/>
            </w:pPr>
            <w:r>
              <w:rPr>
                <w:b/>
                <w:bCs/>
                <w:sz w:val="24"/>
                <w:szCs w:val="24"/>
              </w:rPr>
              <w:t xml:space="preserve">Канадское агентство по лекарственным средствам и технологиям здравоохранения (CDA):</w:t>
            </w:r>
          </w:p>
          <w:p>
            <w:pPr>
              <w:jc w:val="both"/>
            </w:pPr>
            <w:r>
              <w:rPr>
                <w:sz w:val="24"/>
                <w:szCs w:val="24"/>
              </w:rPr>
              <w:t xml:space="preserve">Не оценивался</w:t>
            </w:r>
          </w:p>
          <w:p>
            <w:r>
              <w:rPr>
                <w:sz w:val="24"/>
                <w:szCs w:val="24"/>
              </w:rPr>
            </w:r>
          </w:p>
          <w:p>
            <w:pPr>
              <w:spacing w:after="200"/>
            </w:pPr>
            <w:hyperlink w:history="1" r:id="rId-1oehk2t8h9bbuhijh9dl">
              <w:r>
                <w:rPr>
                  <w:sz w:val="24"/>
                  <w:szCs w:val="24"/>
                  <w:rStyle w:val="Hyperlink"/>
                </w:rPr>
              </w:r>
            </w:hyperlink>
          </w:p>
        </w:tc>
      </w:tr>
    </w:tbl>
    <w:p>
      <w:pPr>
        <w:sectPr>
          <w:footerReference w:type="default" r:id="rId7"/>
          <w:pgSz w:w="16837" w:h="11905" w:orient="portrait"/>
          <w:pgMar w:top="1133" w:right="1133" w:bottom="850" w:left="1133" w:header="708" w:footer="708" w:gutter="0"/>
          <w:pgNumType w:fmt="decimal"/>
          <w:docGrid w:linePitch="360"/>
        </w:sectPr>
      </w:pPr>
    </w:p>
    <w:p>
      <w:pPr>
        <w:jc w:val="center"/>
      </w:pPr>
      <w:r>
        <w:rPr>
          <w:b/>
          <w:bCs/>
          <w:sz w:val="28"/>
          <w:szCs w:val="28"/>
        </w:rPr>
        <w:t xml:space="preserve">Расчеты по стоимости терапии ЛП финеренон, предлагаемого для включения в перечень ЖНВЛП, а также для ЛП, включенных в перечень ЖНВЛП, с аналогичными показаниями к применению при терапии взрослых пациентов с 3-4 стадиями хронической болезни почек (ХБП) (c альбуминурией) с сахарным диабетом (СД) 2 типа</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28"/>
          <w:left w:type="dxa" w:w="56"/>
          <w:bottom w:type="dxa" w:w="28"/>
          <w:right w:type="dxa" w:w="56"/>
        </w:tblCellMar>
      </w:tblPr>
      <w:tblGrid>
        <w:gridCol w:w="100"/>
        <w:gridCol w:w="100"/>
        <w:gridCol w:w="100"/>
        <w:gridCol w:w="100"/>
        <w:gridCol w:w="100"/>
        <w:gridCol w:w="100"/>
        <w:gridCol w:w="100"/>
      </w:tblGrid>
      <w:tr>
        <w:tc>
          <w:p>
            <w:pPr>
              <w:jc w:val="center"/>
            </w:pPr>
            <w:r>
              <w:rPr>
                <w:b/>
                <w:bCs/>
                <w:sz w:val="22"/>
                <w:szCs w:val="22"/>
              </w:rPr>
              <w:t xml:space="preserve">АТХ-код</w:t>
            </w:r>
          </w:p>
        </w:tc>
        <w:tc>
          <w:p>
            <w:pPr>
              <w:jc w:val="center"/>
            </w:pPr>
            <w:r>
              <w:rPr>
                <w:b/>
                <w:bCs/>
                <w:sz w:val="22"/>
                <w:szCs w:val="22"/>
              </w:rPr>
              <w:t xml:space="preserve">МНН</w:t>
            </w:r>
          </w:p>
        </w:tc>
        <w:tc>
          <w:p>
            <w:pPr>
              <w:jc w:val="center"/>
            </w:pPr>
            <w:r>
              <w:rPr>
                <w:b/>
                <w:bCs/>
                <w:sz w:val="22"/>
                <w:szCs w:val="22"/>
              </w:rPr>
              <w:t xml:space="preserve">Численность целевой популяции пациентов</w:t>
            </w:r>
          </w:p>
        </w:tc>
        <w:tc>
          <w:p>
            <w:pPr>
              <w:jc w:val="center"/>
            </w:pPr>
            <w:r>
              <w:rPr>
                <w:b/>
                <w:bCs/>
                <w:sz w:val="22"/>
                <w:szCs w:val="22"/>
              </w:rPr>
              <w:t xml:space="preserve">Единица измерения (ЕИ)</w:t>
            </w:r>
          </w:p>
        </w:tc>
        <w:tc>
          <w:p>
            <w:pPr>
              <w:jc w:val="center"/>
            </w:pPr>
            <w:r>
              <w:rPr>
                <w:b/>
                <w:bCs/>
                <w:sz w:val="22"/>
                <w:szCs w:val="22"/>
              </w:rPr>
              <w:t xml:space="preserve">Кол-во ЕИ на год (курс) терапии</w:t>
            </w:r>
          </w:p>
        </w:tc>
        <w:tc>
          <w:p>
            <w:pPr>
              <w:jc w:val="center"/>
            </w:pPr>
            <w:r>
              <w:rPr>
                <w:b/>
                <w:bCs/>
                <w:sz w:val="22"/>
                <w:szCs w:val="22"/>
              </w:rPr>
              <w:t xml:space="preserve">Цена за ЕИ согласно данным ГРПОЦ 2025 года, руб. (без НДС)</w:t>
            </w:r>
          </w:p>
        </w:tc>
        <w:tc>
          <w:p>
            <w:pPr>
              <w:jc w:val="center"/>
            </w:pPr>
            <w:r>
              <w:rPr>
                <w:b/>
                <w:bCs/>
                <w:sz w:val="22"/>
                <w:szCs w:val="22"/>
              </w:rPr>
              <w:t xml:space="preserve">Стоимость терапии одного пациента согласно ИМП в год (курс), руб. (без  НДС)</w:t>
            </w:r>
          </w:p>
        </w:tc>
      </w:tr>
      <w:tr>
        <w:tc>
          <w:tcPr>
            <w:gridSpan w:val="1"/>
          </w:tcPr>
          <w:p>
            <w:pPr>
              <w:jc w:val="center"/>
            </w:pPr>
            <w:r>
              <w:rPr>
                <w:sz w:val="22"/>
                <w:szCs w:val="22"/>
              </w:rPr>
              <w:t xml:space="preserve">Предлагаемый лекарственный препарат (расчет заявителя)</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10 мг при рСКФ ≥ 25 до &lt; 60)  (Пероральный) Иностранный</w:t>
            </w:r>
          </w:p>
        </w:tc>
        <w:tc>
          <w:tcPr>
            <w:gridSpan w:val="1"/>
            <w:vMerge w:val="restart"/>
          </w:tcPr>
          <w:p>
            <w:pPr>
              <w:jc w:val="center"/>
            </w:pPr>
            <w:r>
              <w:rPr>
                <w:sz w:val="22"/>
                <w:szCs w:val="22"/>
              </w:rPr>
              <w:t xml:space="preserve">85 586*</w:t>
            </w: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35 835,57</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20 мг при рСКФ ≥ 60)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35 835,57</w:t>
            </w:r>
          </w:p>
        </w:tc>
      </w:tr>
      <w:tr>
        <w:tc>
          <w:tcPr>
            <w:gridSpan w:val="1"/>
          </w:tcPr>
          <w:p>
            <w:pPr>
              <w:jc w:val="center"/>
            </w:pPr>
            <w:r>
              <w:rPr>
                <w:sz w:val="22"/>
                <w:szCs w:val="22"/>
              </w:rPr>
              <w:t xml:space="preserve">Предлагаемый лекарственный препарат (расчет Центра экспертизы)</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10 мг при рСКФ ≥ 25 до &lt; 60)  (Пероральный) Иностранный</w:t>
            </w:r>
          </w:p>
        </w:tc>
        <w:tc>
          <w:tcPr>
            <w:gridSpan w:val="1"/>
            <w:vMerge w:val="restart"/>
          </w:tcPr>
          <w:p>
            <w:pPr>
              <w:jc w:val="center"/>
            </w:pPr>
            <w:r>
              <w:rPr>
                <w:sz w:val="22"/>
                <w:szCs w:val="22"/>
              </w:rPr>
              <w:t xml:space="preserve">85 586*</w:t>
            </w: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35 835,70</w:t>
            </w:r>
          </w:p>
        </w:tc>
      </w:tr>
      <w:tr>
        <w:tc>
          <w:tcPr>
            <w:gridSpan w:val="1"/>
          </w:tcPr>
          <w:p>
            <w:pPr>
              <w:jc w:val="center"/>
            </w:pPr>
            <w:r>
              <w:rPr>
                <w:sz w:val="22"/>
                <w:szCs w:val="22"/>
              </w:rPr>
              <w:t xml:space="preserve">C03DA</w:t>
            </w:r>
          </w:p>
        </w:tc>
        <w:tc>
          <w:tcPr>
            <w:gridSpan w:val="1"/>
          </w:tcPr>
          <w:p>
            <w:pPr>
              <w:jc w:val="center"/>
            </w:pPr>
            <w:r>
              <w:rPr>
                <w:sz w:val="22"/>
                <w:szCs w:val="22"/>
              </w:rPr>
              <w:t xml:space="preserve">Финеренон (доза 20 мг при рСКФ ≥ 60)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98,18</w:t>
            </w:r>
          </w:p>
        </w:tc>
        <w:tc>
          <w:tcPr>
            <w:gridSpan w:val="1"/>
          </w:tcPr>
          <w:p>
            <w:pPr>
              <w:jc w:val="center"/>
            </w:pPr>
            <w:r>
              <w:rPr>
                <w:sz w:val="22"/>
                <w:szCs w:val="22"/>
              </w:rPr>
              <w:t xml:space="preserve">35 835,70</w:t>
            </w:r>
          </w:p>
        </w:tc>
      </w:tr>
      <w:tr>
        <w:tc>
          <w:tcPr>
            <w:gridSpan w:val="1"/>
          </w:tcPr>
          <w:p>
            <w:pPr>
              <w:jc w:val="center"/>
            </w:pPr>
            <w:r>
              <w:rPr>
                <w:sz w:val="22"/>
                <w:szCs w:val="22"/>
              </w:rPr>
              <w:t xml:space="preserve">Аналогичные лекарственные препараты</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c>
          <w:tcPr>
            <w:gridSpan w:val="1"/>
          </w:tcPr>
          <w:p>
            <w:pPr>
              <w:jc w:val="center"/>
            </w:pPr>
            <w:r>
              <w:rPr>
                <w:sz w:val="22"/>
                <w:szCs w:val="22"/>
              </w:rPr>
              <w:t xml:space="preserve">-</w:t>
            </w:r>
          </w:p>
        </w:tc>
      </w:tr>
      <w:tr>
        <w:tc>
          <w:tcPr>
            <w:gridSpan w:val="1"/>
          </w:tcPr>
          <w:p>
            <w:pPr>
              <w:jc w:val="center"/>
            </w:pPr>
            <w:r>
              <w:rPr>
                <w:sz w:val="22"/>
                <w:szCs w:val="22"/>
              </w:rPr>
              <w:t xml:space="preserve">A10BJ</w:t>
            </w:r>
          </w:p>
        </w:tc>
        <w:tc>
          <w:tcPr>
            <w:gridSpan w:val="1"/>
          </w:tcPr>
          <w:p>
            <w:pPr>
              <w:jc w:val="center"/>
            </w:pPr>
            <w:r>
              <w:rPr>
                <w:sz w:val="22"/>
                <w:szCs w:val="22"/>
              </w:rPr>
              <w:t xml:space="preserve">Дулаглутид (Парентеральный) Иностранный</w:t>
            </w:r>
          </w:p>
        </w:tc>
        <w:tc>
          <w:tcPr>
            <w:gridSpan w:val="1"/>
            <w:vMerge w:val="restart"/>
          </w:tcPr>
          <w:p>
            <w:pPr>
              <w:jc w:val="center"/>
            </w:pPr>
            <w:r>
              <w:rPr>
                <w:sz w:val="22"/>
                <w:szCs w:val="22"/>
              </w:rPr>
              <w:t xml:space="preserve">270 484,86</w:t>
            </w:r>
          </w:p>
        </w:tc>
        <w:tc>
          <w:tcPr>
            <w:gridSpan w:val="1"/>
          </w:tcPr>
          <w:p>
            <w:pPr>
              <w:jc w:val="center"/>
            </w:pPr>
            <w:r>
              <w:rPr>
                <w:sz w:val="22"/>
                <w:szCs w:val="22"/>
              </w:rPr>
              <w:t xml:space="preserve">мл</w:t>
            </w:r>
          </w:p>
        </w:tc>
        <w:tc>
          <w:tcPr>
            <w:gridSpan w:val="1"/>
          </w:tcPr>
          <w:p>
            <w:pPr>
              <w:jc w:val="center"/>
            </w:pPr>
            <w:r>
              <w:rPr>
                <w:sz w:val="22"/>
                <w:szCs w:val="22"/>
              </w:rPr>
              <w:t xml:space="preserve">26,00</w:t>
            </w:r>
          </w:p>
        </w:tc>
        <w:tc>
          <w:tcPr>
            <w:gridSpan w:val="1"/>
          </w:tcPr>
          <w:p>
            <w:pPr>
              <w:jc w:val="center"/>
            </w:pPr>
            <w:r>
              <w:rPr>
                <w:sz w:val="22"/>
                <w:szCs w:val="22"/>
              </w:rPr>
              <w:t xml:space="preserve">2 503,04</w:t>
            </w:r>
          </w:p>
        </w:tc>
        <w:tc>
          <w:tcPr>
            <w:gridSpan w:val="1"/>
          </w:tcPr>
          <w:p>
            <w:pPr>
              <w:jc w:val="center"/>
            </w:pPr>
            <w:r>
              <w:rPr>
                <w:sz w:val="22"/>
                <w:szCs w:val="22"/>
              </w:rPr>
              <w:t xml:space="preserve">65 079,04</w:t>
            </w:r>
          </w:p>
        </w:tc>
      </w:tr>
      <w:tr>
        <w:tc>
          <w:tcPr>
            <w:gridSpan w:val="1"/>
          </w:tcPr>
          <w:p>
            <w:pPr>
              <w:jc w:val="center"/>
            </w:pPr>
            <w:r>
              <w:rPr>
                <w:sz w:val="22"/>
                <w:szCs w:val="22"/>
              </w:rPr>
              <w:t xml:space="preserve">A10BJ</w:t>
            </w:r>
          </w:p>
        </w:tc>
        <w:tc>
          <w:tcPr>
            <w:gridSpan w:val="1"/>
          </w:tcPr>
          <w:p>
            <w:pPr>
              <w:jc w:val="center"/>
            </w:pPr>
            <w:r>
              <w:rPr>
                <w:sz w:val="22"/>
                <w:szCs w:val="22"/>
              </w:rPr>
              <w:t xml:space="preserve">[object Object]</w:t>
            </w:r>
          </w:p>
        </w:tc>
        <w:tc>
          <w:tcPr>
            <w:gridSpan w:val="1"/>
            <w:vMerge w:val="continue"/>
          </w:tcPr>
          <w:p/>
        </w:tc>
        <w:tc>
          <w:tcPr>
            <w:gridSpan w:val="1"/>
          </w:tcPr>
          <w:p>
            <w:pPr>
              <w:jc w:val="center"/>
            </w:pPr>
            <w:r>
              <w:rPr>
                <w:sz w:val="22"/>
                <w:szCs w:val="22"/>
              </w:rPr>
              <w:t xml:space="preserve">мл</w:t>
            </w:r>
          </w:p>
        </w:tc>
        <w:tc>
          <w:tcPr>
            <w:gridSpan w:val="1"/>
          </w:tcPr>
          <w:p>
            <w:pPr>
              <w:jc w:val="center"/>
            </w:pPr>
            <w:r>
              <w:rPr>
                <w:sz w:val="22"/>
                <w:szCs w:val="22"/>
              </w:rPr>
              <w:t xml:space="preserve">39,00</w:t>
            </w:r>
          </w:p>
        </w:tc>
        <w:tc>
          <w:tcPr>
            <w:gridSpan w:val="1"/>
          </w:tcPr>
          <w:p>
            <w:pPr>
              <w:jc w:val="center"/>
            </w:pPr>
            <w:r>
              <w:rPr>
                <w:sz w:val="22"/>
                <w:szCs w:val="22"/>
              </w:rPr>
              <w:t xml:space="preserve">1 450,06</w:t>
            </w:r>
          </w:p>
        </w:tc>
        <w:tc>
          <w:tcPr>
            <w:gridSpan w:val="1"/>
          </w:tcPr>
          <w:p>
            <w:pPr>
              <w:jc w:val="center"/>
            </w:pPr>
            <w:r>
              <w:rPr>
                <w:sz w:val="22"/>
                <w:szCs w:val="22"/>
              </w:rPr>
              <w:t xml:space="preserve">56 552,34</w:t>
            </w:r>
          </w:p>
        </w:tc>
      </w:tr>
      <w:tr>
        <w:tc>
          <w:tcPr>
            <w:gridSpan w:val="1"/>
          </w:tcPr>
          <w:p>
            <w:pPr>
              <w:jc w:val="center"/>
            </w:pPr>
            <w:r>
              <w:rPr>
                <w:sz w:val="22"/>
                <w:szCs w:val="22"/>
              </w:rPr>
              <w:t xml:space="preserve">A10BK</w:t>
            </w:r>
          </w:p>
        </w:tc>
        <w:tc>
          <w:tcPr>
            <w:gridSpan w:val="1"/>
          </w:tcPr>
          <w:p>
            <w:pPr>
              <w:jc w:val="center"/>
            </w:pPr>
            <w:r>
              <w:rPr>
                <w:sz w:val="22"/>
                <w:szCs w:val="22"/>
              </w:rPr>
              <w:t xml:space="preserve">Эмпаглифлозин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72,75 - 73,07</w:t>
            </w:r>
          </w:p>
        </w:tc>
        <w:tc>
          <w:tcPr>
            <w:gridSpan w:val="1"/>
          </w:tcPr>
          <w:p>
            <w:pPr>
              <w:jc w:val="center"/>
            </w:pPr>
            <w:r>
              <w:rPr>
                <w:sz w:val="22"/>
                <w:szCs w:val="22"/>
              </w:rPr>
              <w:t xml:space="preserve">26 612,15</w:t>
            </w:r>
          </w:p>
        </w:tc>
      </w:tr>
      <w:tr>
        <w:tc>
          <w:tcPr>
            <w:gridSpan w:val="1"/>
          </w:tcPr>
          <w:p>
            <w:pPr>
              <w:jc w:val="center"/>
            </w:pPr>
            <w:r>
              <w:rPr>
                <w:sz w:val="22"/>
                <w:szCs w:val="22"/>
              </w:rPr>
              <w:t xml:space="preserve">A10BK</w:t>
            </w:r>
          </w:p>
        </w:tc>
        <w:tc>
          <w:tcPr>
            <w:gridSpan w:val="1"/>
          </w:tcPr>
          <w:p>
            <w:pPr>
              <w:jc w:val="center"/>
            </w:pPr>
            <w:r>
              <w:rPr>
                <w:sz w:val="22"/>
                <w:szCs w:val="22"/>
              </w:rPr>
              <w:t xml:space="preserve">Дапаглифлозин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72,25</w:t>
            </w:r>
          </w:p>
        </w:tc>
        <w:tc>
          <w:tcPr>
            <w:gridSpan w:val="1"/>
          </w:tcPr>
          <w:p>
            <w:pPr>
              <w:jc w:val="center"/>
            </w:pPr>
            <w:r>
              <w:rPr>
                <w:sz w:val="22"/>
                <w:szCs w:val="22"/>
              </w:rPr>
              <w:t xml:space="preserve">26 371,25</w:t>
            </w:r>
          </w:p>
        </w:tc>
      </w:tr>
      <w:tr>
        <w:tc>
          <w:tcPr>
            <w:gridSpan w:val="1"/>
          </w:tcPr>
          <w:p>
            <w:pPr>
              <w:jc w:val="center"/>
            </w:pPr>
            <w:r>
              <w:rPr>
                <w:sz w:val="22"/>
                <w:szCs w:val="22"/>
              </w:rPr>
              <w:t xml:space="preserve">C09AA</w:t>
            </w:r>
          </w:p>
        </w:tc>
        <w:tc>
          <w:tcPr>
            <w:gridSpan w:val="1"/>
          </w:tcPr>
          <w:p>
            <w:pPr>
              <w:jc w:val="center"/>
            </w:pPr>
            <w:r>
              <w:rPr>
                <w:sz w:val="22"/>
                <w:szCs w:val="22"/>
              </w:rPr>
              <w:t xml:space="preserve">Лизиноприл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730,00</w:t>
            </w:r>
          </w:p>
        </w:tc>
        <w:tc>
          <w:tcPr>
            <w:gridSpan w:val="1"/>
          </w:tcPr>
          <w:p>
            <w:pPr>
              <w:jc w:val="center"/>
            </w:pPr>
            <w:r>
              <w:rPr>
                <w:sz w:val="22"/>
                <w:szCs w:val="22"/>
              </w:rPr>
              <w:t xml:space="preserve">2,67 - 3,49</w:t>
            </w:r>
          </w:p>
        </w:tc>
        <w:tc>
          <w:tcPr>
            <w:gridSpan w:val="1"/>
          </w:tcPr>
          <w:p>
            <w:pPr>
              <w:jc w:val="center"/>
            </w:pPr>
            <w:r>
              <w:rPr>
                <w:sz w:val="22"/>
                <w:szCs w:val="22"/>
              </w:rPr>
              <w:t xml:space="preserve">2 248,40</w:t>
            </w:r>
          </w:p>
        </w:tc>
      </w:tr>
      <w:tr>
        <w:tc>
          <w:tcPr>
            <w:gridSpan w:val="1"/>
          </w:tcPr>
          <w:p>
            <w:pPr>
              <w:jc w:val="center"/>
            </w:pPr>
            <w:r>
              <w:rPr>
                <w:sz w:val="22"/>
                <w:szCs w:val="22"/>
              </w:rPr>
              <w:t xml:space="preserve">C09AA</w:t>
            </w:r>
          </w:p>
        </w:tc>
        <w:tc>
          <w:tcPr>
            <w:gridSpan w:val="1"/>
          </w:tcPr>
          <w:p>
            <w:pPr>
              <w:jc w:val="center"/>
            </w:pPr>
            <w:r>
              <w:rPr>
                <w:sz w:val="22"/>
                <w:szCs w:val="22"/>
              </w:rPr>
              <w:t xml:space="preserve">Лозартан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365,00</w:t>
            </w:r>
          </w:p>
        </w:tc>
        <w:tc>
          <w:tcPr>
            <w:gridSpan w:val="1"/>
          </w:tcPr>
          <w:p>
            <w:pPr>
              <w:jc w:val="center"/>
            </w:pPr>
            <w:r>
              <w:rPr>
                <w:sz w:val="22"/>
                <w:szCs w:val="22"/>
              </w:rPr>
              <w:t xml:space="preserve">4,72 - 5,12</w:t>
            </w:r>
          </w:p>
        </w:tc>
        <w:tc>
          <w:tcPr>
            <w:gridSpan w:val="1"/>
          </w:tcPr>
          <w:p>
            <w:pPr>
              <w:jc w:val="center"/>
            </w:pPr>
            <w:r>
              <w:rPr>
                <w:sz w:val="22"/>
                <w:szCs w:val="22"/>
              </w:rPr>
              <w:t xml:space="preserve">1 795,80</w:t>
            </w:r>
          </w:p>
        </w:tc>
      </w:tr>
      <w:tr>
        <w:tc>
          <w:tcPr>
            <w:gridSpan w:val="1"/>
          </w:tcPr>
          <w:p>
            <w:pPr>
              <w:jc w:val="center"/>
            </w:pPr>
            <w:r>
              <w:rPr>
                <w:sz w:val="22"/>
                <w:szCs w:val="22"/>
              </w:rPr>
              <w:t xml:space="preserve">C09AA</w:t>
            </w:r>
          </w:p>
        </w:tc>
        <w:tc>
          <w:tcPr>
            <w:gridSpan w:val="1"/>
          </w:tcPr>
          <w:p>
            <w:pPr>
              <w:jc w:val="center"/>
            </w:pPr>
            <w:r>
              <w:rPr>
                <w:sz w:val="22"/>
                <w:szCs w:val="22"/>
              </w:rPr>
              <w:t xml:space="preserve">Рамиприл (Пероральный) Иностранный</w:t>
            </w:r>
          </w:p>
        </w:tc>
        <w:tc>
          <w:tcPr>
            <w:gridSpan w:val="1"/>
            <w:vMerge w:val="continue"/>
          </w:tcPr>
          <w:p/>
        </w:tc>
        <w:tc>
          <w:tcPr>
            <w:gridSpan w:val="1"/>
          </w:tcPr>
          <w:p>
            <w:pPr>
              <w:jc w:val="center"/>
            </w:pPr>
            <w:r>
              <w:rPr>
                <w:sz w:val="22"/>
                <w:szCs w:val="22"/>
              </w:rPr>
              <w:t xml:space="preserve">шт. (табл.)</w:t>
            </w:r>
          </w:p>
        </w:tc>
        <w:tc>
          <w:tcPr>
            <w:gridSpan w:val="1"/>
          </w:tcPr>
          <w:p>
            <w:pPr>
              <w:jc w:val="center"/>
            </w:pPr>
            <w:r>
              <w:rPr>
                <w:sz w:val="22"/>
                <w:szCs w:val="22"/>
              </w:rPr>
              <w:t xml:space="preserve">183 - 365</w:t>
            </w:r>
          </w:p>
        </w:tc>
        <w:tc>
          <w:tcPr>
            <w:gridSpan w:val="1"/>
          </w:tcPr>
          <w:p>
            <w:pPr>
              <w:jc w:val="center"/>
            </w:pPr>
            <w:r>
              <w:rPr>
                <w:sz w:val="22"/>
                <w:szCs w:val="22"/>
              </w:rPr>
              <w:t xml:space="preserve">2,28 - 3,71</w:t>
            </w:r>
          </w:p>
        </w:tc>
        <w:tc>
          <w:tcPr>
            <w:gridSpan w:val="1"/>
          </w:tcPr>
          <w:p>
            <w:pPr>
              <w:jc w:val="center"/>
            </w:pPr>
            <w:r>
              <w:rPr>
                <w:sz w:val="22"/>
                <w:szCs w:val="22"/>
              </w:rPr>
              <w:t xml:space="preserve">885,13</w:t>
            </w:r>
          </w:p>
        </w:tc>
      </w:tr>
    </w:tbl>
    <w:p>
      <w:pPr>
        <w:spacing w:after="0" w:before="0"/>
        <w:jc w:val="both"/>
      </w:pPr>
      <w:r>
        <w:rPr>
          <w:i/>
          <w:iCs/>
          <w:sz w:val="24"/>
          <w:szCs w:val="24"/>
        </w:rPr>
        <w:t xml:space="preserve">Примечания: *Численность целевой популяции взрослых пациентов с 3-4 стадиями ХБП (с альбуминурией) при СД 2 типа согласно отчету по АВБ, представленного в составе Предложения</w:t>
      </w:r>
      <w:r>
        <w:rPr>
          <w:i/>
          <w:iCs/>
          <w:sz w:val="24"/>
          <w:szCs w:val="24"/>
        </w:rPr>
        <w:br/>
        <w:t xml:space="preserve">**рСКФ – расчетная скорость клубочковой фильтрации</w:t>
      </w:r>
      <w:r>
        <w:rPr>
          <w:i/>
          <w:iCs/>
          <w:sz w:val="24"/>
          <w:szCs w:val="24"/>
        </w:rPr>
        <w:br/>
      </w:r>
    </w:p>
    <w:p>
      <w:pPr>
        <w:spacing w:after="0" w:before="0"/>
        <w:jc w:val="both"/>
      </w:pPr>
      <w:r>
        <w:rPr>
          <w:i/>
          <w:iCs/>
          <w:sz w:val="24"/>
          <w:szCs w:val="24"/>
        </w:rPr>
        <w:t xml:space="preserve">***Расчет ЛП рамиприл осуществлен без учета ЛФ капсулы, ввиду отсутствия в гражданском обороте (ГО)</w:t>
      </w:r>
    </w:p>
    <w:p>
      <w:pPr>
        <w:spacing w:after="0" w:before="0"/>
        <w:jc w:val="both"/>
      </w:pPr>
      <w:r>
        <w:rPr>
          <w:i/>
          <w:iCs/>
          <w:sz w:val="24"/>
          <w:szCs w:val="24"/>
        </w:rPr>
      </w:r>
      <w:r>
        <w:rPr>
          <w:i/>
          <w:iCs/>
          <w:sz w:val="24"/>
          <w:szCs w:val="24"/>
        </w:rPr>
        <w:br/>
      </w:r>
    </w:p>
    <w:p>
      <w:pPr>
        <w:spacing w:after="100"/>
      </w:pPr>
      <w:r/>
    </w:p>
    <w:p>
      <w:pPr>
        <w:spacing w:after="0" w:before="0"/>
        <w:jc w:val="both"/>
      </w:pPr>
      <w:r>
        <w:rPr>
          <w:b/>
          <w:bCs/>
          <w:u w:val="single"/>
          <w:sz w:val="24"/>
          <w:szCs w:val="24"/>
        </w:rPr>
        <w:t xml:space="preserve">Расчёты: (Стоимость предлагаемого ЛП) </w:t>
      </w:r>
    </w:p>
    <w:p>
      <w:r>
        <w:rPr>
          <w:sz w:val="20"/>
          <w:szCs w:val="20"/>
        </w:rPr>
        <w:t xml:space="preserve">Режим дозирования препарата -пусто- у - по инструкции (данные, использованные для расчетов) составляет: </w:t>
      </w:r>
    </w:p>
    <w:p>
      <w:r>
        <w:rPr>
          <w:sz w:val="20"/>
          <w:szCs w:val="20"/>
        </w:rPr>
        <w:t xml:space="preserve">для препарата -пусто- -, </w:t>
      </w:r>
    </w:p>
    <w:p>
      <w:r>
        <w:rPr>
          <w:sz w:val="20"/>
          <w:szCs w:val="20"/>
        </w:rPr>
        <w:t xml:space="preserve">Продолжительность терапии в год: для препарата -пусто-: ≈ -. </w:t>
      </w:r>
    </w:p>
    <w:p>
      <w:r>
        <w:rPr>
          <w:sz w:val="20"/>
          <w:szCs w:val="20"/>
        </w:rPr>
        <w:t xml:space="preserve">Стоимость 1 мг препарата -пусто-: ≈ -. </w:t>
      </w:r>
    </w:p>
    <w:p>
      <w:pPr>
        <w:spacing w:after="100"/>
      </w:pPr>
      <w:r/>
    </w:p>
    <w:p>
      <w:r>
        <w:rPr>
          <w:sz w:val="20"/>
          <w:szCs w:val="20"/>
        </w:rPr>
        <w:t xml:space="preserve">Расчет стоимости 1 года терапии одного пациента: </w:t>
      </w:r>
    </w:p>
    <w:p>
      <w:pPr>
        <w:spacing w:after="0" w:before="0"/>
        <w:jc w:val="both"/>
      </w:pPr>
      <w:r>
        <w:rPr>
          <w:b/>
          <w:bCs/>
          <w:sz w:val="20"/>
          <w:szCs w:val="20"/>
        </w:rPr>
        <w:t xml:space="preserve">-пусто-</w:t>
      </w:r>
      <w:r>
        <w:rPr>
          <w:sz w:val="20"/>
          <w:szCs w:val="20"/>
        </w:rPr>
        <w:t xml:space="preserve">-</w:t>
      </w:r>
    </w:p>
    <w:p>
      <w:pPr>
        <w:spacing w:after="100"/>
      </w:pPr>
      <w:r/>
    </w:p>
    <w:p>
      <w:pPr>
        <w:spacing w:after="0" w:before="0"/>
        <w:jc w:val="both"/>
      </w:pPr>
      <w:r>
        <w:rPr>
          <w:b/>
          <w:bCs/>
          <w:u w:val="single"/>
          <w:sz w:val="24"/>
          <w:szCs w:val="24"/>
        </w:rPr>
        <w:t xml:space="preserve">Расчёты: (Комбинация) 1</w:t>
      </w:r>
    </w:p>
    <w:p>
      <w:r>
        <w:rPr>
          <w:sz w:val="20"/>
          <w:szCs w:val="20"/>
        </w:rPr>
        <w:t xml:space="preserve">Режим дозирования препарата -пусто- у - по инструкции (данные, использованные для расчетов) составляет: </w:t>
      </w:r>
    </w:p>
    <w:p>
      <w:r>
        <w:rPr>
          <w:sz w:val="20"/>
          <w:szCs w:val="20"/>
        </w:rPr>
        <w:t xml:space="preserve">для препарата -пусто- -, </w:t>
      </w:r>
    </w:p>
    <w:p>
      <w:r>
        <w:rPr>
          <w:sz w:val="20"/>
          <w:szCs w:val="20"/>
        </w:rPr>
        <w:t xml:space="preserve">для препарата -пусто- -, </w:t>
      </w:r>
    </w:p>
    <w:p>
      <w:r>
        <w:rPr>
          <w:sz w:val="20"/>
          <w:szCs w:val="20"/>
        </w:rPr>
        <w:t xml:space="preserve">Продолжительность терапии в год: для препарата -пусто-: ≈ -. для препарата -пусто-: ≈ -. </w:t>
      </w:r>
    </w:p>
    <w:p>
      <w:r>
        <w:rPr>
          <w:sz w:val="20"/>
          <w:szCs w:val="20"/>
        </w:rPr>
        <w:t xml:space="preserve">Стоимость 1 мг препарата -пусто-: ≈ -. 1 мг препарата -пусто-: ≈ -. </w:t>
      </w:r>
    </w:p>
    <w:p>
      <w:pPr>
        <w:spacing w:after="100"/>
      </w:pPr>
      <w:r/>
    </w:p>
    <w:p>
      <w:r>
        <w:rPr>
          <w:sz w:val="20"/>
          <w:szCs w:val="20"/>
        </w:rPr>
        <w:t xml:space="preserve">Расчет стоимости 1 года терапии одного пациента: </w:t>
      </w:r>
    </w:p>
    <w:p>
      <w:pPr>
        <w:spacing w:after="0" w:before="0"/>
        <w:jc w:val="both"/>
      </w:pPr>
      <w:r>
        <w:rPr>
          <w:b/>
          <w:bCs/>
          <w:sz w:val="20"/>
          <w:szCs w:val="20"/>
        </w:rPr>
        <w:t xml:space="preserve">-пусто-</w:t>
      </w:r>
      <w:r>
        <w:rPr>
          <w:sz w:val="20"/>
          <w:szCs w:val="20"/>
        </w:rPr>
        <w:t xml:space="preserve">-</w:t>
      </w:r>
    </w:p>
    <w:p>
      <w:pPr>
        <w:spacing w:after="0" w:before="0"/>
        <w:jc w:val="both"/>
      </w:pPr>
      <w:r>
        <w:rPr>
          <w:b/>
          <w:bCs/>
          <w:sz w:val="20"/>
          <w:szCs w:val="20"/>
        </w:rPr>
        <w:t xml:space="preserve">-пусто-</w:t>
      </w:r>
      <w:r>
        <w:rPr>
          <w:sz w:val="20"/>
          <w:szCs w:val="20"/>
        </w:rPr>
        <w:t xml:space="preserve">-</w:t>
      </w:r>
    </w:p>
    <w:p>
      <w:pPr>
        <w:spacing w:after="100"/>
      </w:pPr>
      <w:r/>
    </w:p>
    <w:p>
      <w:pPr>
        <w:spacing w:after="100"/>
      </w:pPr>
      <w:r/>
    </w:p>
    <w:sectPr>
      <w:footerReference w:type="default" r:id="rId8"/>
      <w:pgSz w:w="16837" w:h="11905" w:orient="portrait"/>
      <w:pgMar w:top="1133" w:right="1133" w:bottom="850" w:left="1133"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ntbocmo6sulupxbwai0sb" Type="http://schemas.openxmlformats.org/officeDocument/2006/relationships/hyperlink" Target="" TargetMode="External"/><Relationship Id="rIdgftizbcxoopwvo4mqbleq" Type="http://schemas.openxmlformats.org/officeDocument/2006/relationships/hyperlink" Target="" TargetMode="External"/><Relationship Id="rId3ljtpcwywkdm-439nzaxx" Type="http://schemas.openxmlformats.org/officeDocument/2006/relationships/hyperlink" Target="" TargetMode="External"/><Relationship Id="rIdsngtwssny6hqvucnz2dcl" Type="http://schemas.openxmlformats.org/officeDocument/2006/relationships/hyperlink" Target="" TargetMode="External"/><Relationship Id="rIdcmuk3qv6x9ow83m2054ht" Type="http://schemas.openxmlformats.org/officeDocument/2006/relationships/hyperlink" Target="" TargetMode="External"/><Relationship Id="rId6rgsy1yyceuwvqvcj6v5m" Type="http://schemas.openxmlformats.org/officeDocument/2006/relationships/hyperlink" Target="" TargetMode="External"/><Relationship Id="rIdgy5exsx6-j2famu083l-t" Type="http://schemas.openxmlformats.org/officeDocument/2006/relationships/hyperlink" Target="" TargetMode="External"/><Relationship Id="rIdgybhgzrvyoyhkdzftx8om" Type="http://schemas.openxmlformats.org/officeDocument/2006/relationships/hyperlink" Target="" TargetMode="External"/><Relationship Id="rId-1oehk2t8h9bbuhijh9dl" Type="http://schemas.openxmlformats.org/officeDocument/2006/relationships/hyperlink" Target="" TargetMode="Externa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2026-05-29T11:20:53.481Z</dcterms:created>
  <dcterms:modified xsi:type="dcterms:W3CDTF">2026-05-29T11:20:53.481Z</dcterms:modified>
</cp:coreProperties>
</file>

<file path=docProps/custom.xml><?xml version="1.0" encoding="utf-8"?>
<Properties xmlns="http://schemas.openxmlformats.org/officeDocument/2006/custom-properties" xmlns:vt="http://schemas.openxmlformats.org/officeDocument/2006/docPropsVTypes"/>
</file>