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b/>
          <w:bCs/>
          <w:sz w:val="32"/>
          <w:szCs w:val="32"/>
        </w:rPr>
        <w:t xml:space="preserve">энтивио для 2027</w:t>
      </w:r>
      <w:r>
        <w:rPr>
          <w:b/>
          <w:bCs/>
          <w:i/>
          <w:iCs/>
          <w:sz w:val="32"/>
          <w:szCs w:val="32"/>
        </w:rPr>
        <w:t xml:space="preserve"> (вкл. в ЖВНЛП, ВЗН14)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Лекарственная форма: </w:t>
      </w:r>
      <w:r>
        <w:rPr>
          <w:sz w:val="24"/>
          <w:szCs w:val="24"/>
        </w:rPr>
        <w:t xml:space="preserve">лиофилизат для приготовления раствора для внутривенного введения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Дата регистрации ЛП: </w:t>
      </w:r>
      <w:r>
        <w:rPr>
          <w:sz w:val="24"/>
          <w:szCs w:val="24"/>
        </w:rPr>
        <w:t xml:space="preserve">30.07.2021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Предыдущее предложение: </w:t>
      </w:r>
      <w:r>
        <w:rPr>
          <w:sz w:val="24"/>
          <w:szCs w:val="24"/>
        </w:rPr>
        <w:t xml:space="preserve">2 кв. 2024 г. — предложение отклонено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Держатель РУ: </w:t>
      </w:r>
      <w:r>
        <w:rPr>
          <w:sz w:val="24"/>
          <w:szCs w:val="24"/>
        </w:rPr>
        <w:t xml:space="preserve">пкеп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Производитель: </w:t>
      </w:r>
      <w:r>
        <w:rPr>
          <w:sz w:val="24"/>
          <w:szCs w:val="24"/>
        </w:rPr>
        <w:t xml:space="preserve">пкепкамва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Наличие в перечне критической промышленной продукции в отрасли фарм. промышленности: </w:t>
      </w:r>
      <w:r>
        <w:rPr>
          <w:sz w:val="24"/>
          <w:szCs w:val="24"/>
        </w:rPr>
        <w:t xml:space="preserve">да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Орфанный статус: </w:t>
      </w:r>
      <w:r>
        <w:rPr>
          <w:sz w:val="24"/>
          <w:szCs w:val="24"/>
        </w:rPr>
        <w:t xml:space="preserve">Нет.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Наличие ЛП в клинических рекомендациях: </w:t>
      </w:r>
      <w:r>
        <w:rPr>
          <w:sz w:val="24"/>
          <w:szCs w:val="24"/>
        </w:rPr>
        <w:t xml:space="preserve">КР №1 «Бронхиальная астма» (2026 г.) — пересмотр не позднее 2028 г.</w:t>
      </w:r>
      <w:r>
        <w:rPr>
          <w:sz w:val="24"/>
          <w:szCs w:val="24"/>
        </w:rPr>
        <w:br/>
        <w:t xml:space="preserve">Комментарии / приложения:</w:t>
      </w:r>
      <w:r>
        <w:rPr>
          <w:sz w:val="24"/>
          <w:szCs w:val="24"/>
        </w:rPr>
        <w:br/>
        <w:t xml:space="preserve">1. убедительные доказательствубедительные доказательствубедительные доказательствубедительные доказательствубедительные доказательствубедительные доказательствубедительные доказательств (УДД — 3; УУР — B)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 xml:space="preserve">КР №777 «кашель» (2028 г.) — пересмотр не позднее 2021 г.</w:t>
      </w:r>
      <w:r>
        <w:rPr>
          <w:sz w:val="24"/>
          <w:szCs w:val="24"/>
        </w:rPr>
        <w:br/>
        <w:t xml:space="preserve">Тезисы:</w:t>
      </w:r>
      <w:r>
        <w:rPr>
          <w:sz w:val="24"/>
          <w:szCs w:val="24"/>
        </w:rPr>
        <w:br/>
        <w:t xml:space="preserve">1. 787987979798797</w:t>
      </w:r>
    </w:p>
    <w:p>
      <w:pPr>
        <w:jc w:val="both"/>
      </w:pPr>
      <w:r>
        <w:rPr>
          <w:b/>
          <w:bCs/>
          <w:sz w:val="24"/>
          <w:szCs w:val="24"/>
        </w:rPr>
        <w:t xml:space="preserve">Заявленные показания к применению лекарственного препарата:</w:t>
      </w:r>
    </w:p>
    <w:p>
      <w:r>
        <w:rPr>
          <w:sz w:val="24"/>
          <w:szCs w:val="24"/>
        </w:rPr>
        <w:t xml:space="preserve">Для применения у взрослых и детей, страдающих гемофилией А (врожденный дефицит фактора свертывания VIII) и ранее получавших лечение, для: </w:t>
      </w:r>
      <w:r>
        <w:rPr>
          <w:sz w:val="24"/>
          <w:szCs w:val="24"/>
        </w:rPr>
        <w:br/>
        <w:t xml:space="preserve">- Лечения «по требованию» и контроля эпизодов кровотечения </w:t>
      </w:r>
      <w:r>
        <w:rPr>
          <w:sz w:val="24"/>
          <w:szCs w:val="24"/>
        </w:rPr>
        <w:br/>
        <w:t xml:space="preserve">- Периоперационного ведения </w:t>
      </w:r>
      <w:r>
        <w:rPr>
          <w:sz w:val="24"/>
          <w:szCs w:val="24"/>
        </w:rPr>
        <w:br/>
        <w:t xml:space="preserve">- Профилактики для уменьшения частоты кровотечений </w:t>
      </w:r>
      <w:r>
        <w:rPr>
          <w:sz w:val="24"/>
          <w:szCs w:val="24"/>
        </w:rPr>
        <w:br/>
        <w:t xml:space="preserve">Код МКБ-10 D66 Наследственный дефицит фактора VIII</w:t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План поставок на 2024 г.:</w:t>
      </w:r>
      <w:r>
        <w:rPr>
          <w:sz w:val="24"/>
          <w:szCs w:val="24"/>
        </w:rPr>
      </w:r>
    </w:p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Ценовая характеристика ЛП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Форма выпуска/ цена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План. к рег-ции, руб.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Гос. закупок</w:t>
            </w:r>
            <w:r>
              <w:rPr>
                <w:b/>
                <w:bCs/>
                <w:sz w:val="22"/>
                <w:szCs w:val="22"/>
              </w:rPr>
              <w:br/>
              <w:t xml:space="preserve">(НДС + надб.), руб.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Розничная цена</w:t>
            </w:r>
            <w:r>
              <w:rPr>
                <w:b/>
                <w:bCs/>
                <w:sz w:val="22"/>
                <w:szCs w:val="22"/>
              </w:rPr>
              <w:br/>
              <w:t xml:space="preserve">(НДС + надб.), руб.</w:t>
            </w:r>
          </w:p>
        </w:tc>
      </w:tr>
      <w:tr>
        <w:tc>
          <w:p>
            <w:pPr>
              <w:jc w:val="start"/>
            </w:pPr>
            <w:r>
              <w:rPr>
                <w:sz w:val="22"/>
                <w:szCs w:val="22"/>
              </w:rPr>
            </w:r>
          </w:p>
        </w:tc>
        <w:tc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Цена без НДС отсутствует</w:t>
            </w:r>
          </w:p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Цена с НДС отсутствует</w:t>
            </w:r>
          </w:p>
        </w:tc>
        <w:tc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Средневзвешен. -  отсутствует</w:t>
            </w:r>
          </w:p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Последняя -  отсутствует</w:t>
            </w:r>
          </w:p>
        </w:tc>
        <w:tc>
          <w:p>
            <w:pPr>
              <w:jc w:val="start"/>
            </w:pPr>
            <w:r>
              <w:rPr>
                <w:sz w:val="22"/>
                <w:szCs w:val="22"/>
              </w:rPr>
              <w:t xml:space="preserve">0</w:t>
            </w:r>
          </w:p>
        </w:tc>
      </w:tr>
    </w:tbl>
    <w:p>
      <w:pPr>
        <w:spacing w:after="0" w:before="0"/>
        <w:jc w:val="both"/>
      </w:pPr>
      <w:r>
        <w:rPr>
          <w:b/>
          <w:bCs/>
          <w:sz w:val="24"/>
          <w:szCs w:val="24"/>
        </w:rPr>
        <w:t xml:space="preserve">Предложение направлено на комплексную оценку в: </w:t>
      </w:r>
      <w:r>
        <w:rPr>
          <w:sz w:val="24"/>
          <w:szCs w:val="24"/>
        </w:rPr>
      </w:r>
    </w:p>
    <w:p>
      <w:pPr>
        <w:spacing w:after="100"/>
      </w:pPr>
      <w:r/>
    </w:p>
    <w:p>
      <w:pPr>
        <w:spacing w:after="0" w:before="0"/>
        <w:jc w:val="both"/>
      </w:pPr>
      <w:r>
        <w:rPr>
          <w:sz w:val="24"/>
          <w:szCs w:val="24"/>
        </w:rPr>
        <w:t xml:space="preserve">По результатам проведенной оценки сделан вывод о </w:t>
      </w:r>
      <w:r>
        <w:rPr>
          <w:b/>
          <w:bCs/>
          <w:sz w:val="24"/>
          <w:szCs w:val="24"/>
        </w:rPr>
        <w:t xml:space="preserve">нецелесообразности включения</w:t>
      </w:r>
      <w:r>
        <w:rPr>
          <w:sz w:val="24"/>
          <w:szCs w:val="24"/>
        </w:rPr>
        <w:t xml:space="preserve"> препарата в перечень ЖВНЛП, ВЗН14</w:t>
      </w:r>
    </w:p>
    <w:p>
      <w:pPr>
        <w:spacing w:after="0" w:before="0"/>
        <w:ind w:firstLine="992"/>
        <w:jc w:val="both"/>
      </w:pPr>
      <w:r>
        <w:rPr>
          <w:sz w:val="24"/>
          <w:szCs w:val="24"/>
        </w:rPr>
        <w:t xml:space="preserve">Комментарии: </w:t>
      </w:r>
    </w:p>
    <w:p>
      <w:pPr>
        <w:ind w:firstLine="708"/>
        <w:jc w:val="both"/>
      </w:pPr>
      <w:r>
        <w:rPr>
          <w:i/>
          <w:iCs/>
          <w:sz w:val="24"/>
          <w:szCs w:val="24"/>
        </w:rPr>
      </w:r>
    </w:p>
    <w:p>
      <w:pPr>
        <w:spacing w:after="0" w:before="0"/>
        <w:jc w:val="both"/>
      </w:pPr>
      <w:r>
        <w:rPr>
          <w:sz w:val="24"/>
          <w:szCs w:val="24"/>
        </w:rPr>
        <w:t xml:space="preserve">Главный внештатный () Минздрава России ()</w:t>
      </w:r>
      <w:r>
        <w:rPr>
          <w:b/>
          <w:bCs/>
          <w:sz w:val="24"/>
          <w:szCs w:val="24"/>
        </w:rPr>
        <w:t xml:space="preserve"> считает нецелесообразным включения </w:t>
      </w:r>
      <w:r>
        <w:rPr>
          <w:sz w:val="24"/>
          <w:szCs w:val="24"/>
        </w:rPr>
        <w:t xml:space="preserve">препарата в перечень </w:t>
      </w:r>
      <w:r>
        <w:rPr>
          <w:b/>
          <w:bCs/>
          <w:sz w:val="24"/>
          <w:szCs w:val="24"/>
        </w:rPr>
        <w:t xml:space="preserve">ЖВНЛП, ВЗН14</w:t>
      </w:r>
    </w:p>
    <w:p>
      <w:pPr>
        <w:spacing w:after="0" w:before="0"/>
        <w:jc w:val="both"/>
      </w:pPr>
      <w:r>
        <w:rPr>
          <w:i/>
          <w:iCs/>
          <w:sz w:val="24"/>
          <w:szCs w:val="24"/>
        </w:rPr>
        <w:t xml:space="preserve">комментарий: </w:t>
      </w:r>
    </w:p>
    <w:p>
      <w:pPr>
        <w:spacing w:after="0" w:before="0"/>
        <w:jc w:val="both"/>
      </w:pPr>
      <w:r>
        <w:rPr>
          <w:i/>
          <w:iCs/>
          <w:sz w:val="24"/>
          <w:szCs w:val="24"/>
        </w:rPr>
        <w:t xml:space="preserve">undefined</w:t>
      </w:r>
    </w:p>
    <w:p>
      <w:pPr>
        <w:spacing w:after="100"/>
      </w:pPr>
      <w:r/>
    </w:p>
    <w:p>
      <w:pPr>
        <w:spacing w:after="0" w:before="0"/>
        <w:jc w:val="both"/>
      </w:pPr>
      <w:r>
        <w:rPr>
          <w:sz w:val="24"/>
          <w:szCs w:val="24"/>
        </w:rPr>
        <w:t xml:space="preserve">По результатам рассмотрения лекарственный препарат </w:t>
      </w:r>
      <w:r>
        <w:rPr>
          <w:u w:val="single"/>
          <w:sz w:val="24"/>
          <w:szCs w:val="24"/>
        </w:rPr>
        <w:t xml:space="preserve">не набрал рекомендованное количество баллов </w:t>
      </w:r>
      <w:r>
        <w:rPr>
          <w:sz w:val="24"/>
          <w:szCs w:val="24"/>
        </w:rPr>
        <w:t xml:space="preserve">по шкалам ()</w:t>
      </w:r>
    </w:p>
    <w:p>
      <w:pPr>
        <w:spacing w:after="100"/>
      </w:pPr>
      <w:r/>
    </w:p>
    <w:p>
      <w:r>
        <w:rPr>
          <w:sz w:val="24"/>
          <w:szCs w:val="24"/>
        </w:rPr>
        <w:t xml:space="preserve">Методологическое качество исследований озвучит представитель ФГБУ «Центр экспертизы и контроля качества медицинской помощи».</w:t>
      </w:r>
    </w:p>
    <w:p>
      <w:r>
        <w:rPr>
          <w:sz w:val="24"/>
          <w:szCs w:val="24"/>
        </w:rPr>
        <w:t xml:space="preserve">Позиция органов государственной власти субъектов РФ в сфере охраны здоровья (регионов):</w:t>
      </w:r>
    </w:p>
    <w:p>
      <w:r>
        <w:rPr>
          <w:sz w:val="24"/>
          <w:szCs w:val="24"/>
        </w:rPr>
        <w:t xml:space="preserve">-  Х субъектов РФ полагают целесообразным включение ЛП в перечень ЖНВЛП, при этом Х из них отмечает увеличение бюджета;</w:t>
      </w:r>
    </w:p>
    <w:p>
      <w:r>
        <w:rPr>
          <w:sz w:val="24"/>
          <w:szCs w:val="24"/>
        </w:rPr>
        <w:t xml:space="preserve">-  Х субъектов РФ считают нецелесообразным включение ЛП в перечень ЖНВЛП ввиду отсутствия практики применения;</w:t>
      </w:r>
    </w:p>
    <w:p>
      <w:r>
        <w:rPr>
          <w:sz w:val="24"/>
          <w:szCs w:val="24"/>
        </w:rPr>
        <w:t xml:space="preserve">-  Х субъектов РФ полагает возможным включение ЛП в перечень ЖНВЛП при условии выделения дополнительных средств;</w:t>
      </w:r>
    </w:p>
    <w:p>
      <w:r>
        <w:rPr>
          <w:sz w:val="24"/>
          <w:szCs w:val="24"/>
        </w:rPr>
        <w:t xml:space="preserve">- Х субъектов РФ отмечает отсутствие пациентов и (или) опыта применения.</w:t>
      </w:r>
    </w:p>
    <w:p>
      <w:pPr>
        <w:jc w:val="center"/>
      </w:pPr>
      <w:r>
        <w:rPr>
          <w:b/>
          <w:bCs/>
          <w:sz w:val="28"/>
          <w:szCs w:val="28"/>
        </w:rPr>
        <w:t xml:space="preserve">Дополнительная информация</w:t>
      </w:r>
    </w:p>
    <w:p>
      <w:pPr>
        <w:jc w:val="center"/>
      </w:pPr>
      <w:r>
        <w:rPr>
          <w:b/>
          <w:bCs/>
          <w:u w:val="single"/>
          <w:sz w:val="28"/>
          <w:szCs w:val="28"/>
        </w:rPr>
        <w:t xml:space="preserve">Данные о сравнительной клинической эффективности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Клиническое исследование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Препарат сравнения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Популяция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Результат</w:t>
            </w:r>
          </w:p>
        </w:tc>
      </w:tr>
      <w:tr>
        <w:tc>
          <w:p>
            <w:pPr>
              <w:jc w:val="start"/>
            </w:pPr>
            <w:r>
              <w:rPr>
                <w:sz w:val="22"/>
                <w:szCs w:val="22"/>
              </w:rPr>
            </w:r>
          </w:p>
        </w:tc>
        <w:tc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</w:r>
          </w:p>
        </w:tc>
        <w:tc>
          <w:p>
            <w:pPr>
              <w:jc w:val="start"/>
            </w:pPr>
            <w:r>
              <w:rPr>
                <w:sz w:val="22"/>
                <w:szCs w:val="22"/>
              </w:rPr>
            </w:r>
          </w:p>
        </w:tc>
        <w:tc>
          <w:p>
            <w:pPr>
              <w:jc w:val="start"/>
            </w:pPr>
            <w:r>
              <w:rPr>
                <w:sz w:val="22"/>
                <w:szCs w:val="22"/>
              </w:rPr>
            </w:r>
          </w:p>
        </w:tc>
      </w:tr>
    </w:tbl>
    <w:p>
      <w:pPr>
        <w:spacing w:after="100"/>
      </w:pPr>
      <w:r/>
    </w:p>
    <w:p>
      <w:pPr>
        <w:jc w:val="center"/>
      </w:pPr>
      <w:r>
        <w:rPr>
          <w:b/>
          <w:bCs/>
          <w:sz w:val="28"/>
          <w:szCs w:val="28"/>
        </w:rPr>
        <w:t xml:space="preserve">Данные о клинико-экономической эффективности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</w:tblGrid>
      <w:tr>
        <w:tc>
          <w:tcPr>
            <w:gridSpan w:val="1"/>
          </w:tcPr>
          <w:p>
            <w:pPr>
              <w:jc w:val="start"/>
            </w:pPr>
            <w:r>
              <w:rPr>
                <w:b/>
                <w:bCs/>
                <w:sz w:val="22"/>
                <w:szCs w:val="22"/>
              </w:rPr>
              <w:t xml:space="preserve">Метод. качество</w:t>
            </w:r>
          </w:p>
        </w:tc>
        <w:tc>
          <w:tcPr>
            <w:gridSpan w:val="1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  <w:t xml:space="preserve">низкое</w:t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Показание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Использованный метод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  <w:t xml:space="preserve">нет</w:t>
            </w:r>
          </w:p>
        </w:tc>
      </w:tr>
      <w:tr>
        <w:tc>
          <w:tcPr>
            <w:gridSpan w:val="1"/>
          </w:tcPr>
          <w:p>
            <w:pPr>
              <w:jc w:val="start"/>
            </w:pPr>
            <w:r>
              <w:rPr>
                <w:b/>
                <w:bCs/>
                <w:sz w:val="22"/>
                <w:szCs w:val="22"/>
              </w:rPr>
              <w:t xml:space="preserve">Препараты сравнения</w:t>
            </w:r>
          </w:p>
        </w:tc>
        <w:tc>
          <w:tcPr>
            <w:gridSpan w:val="1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  <w:t xml:space="preserve"> Препараты сравнения, включенные в перечень [напишите название предлагаемого перечня/перечней]: [названия ЛП].</w:t>
            </w:r>
            <w:r>
              <w:rPr>
                <w:sz w:val="24"/>
                <w:szCs w:val="24"/>
              </w:rPr>
              <w:br/>
              <w:t xml:space="preserve">Препараты сравнения, не включенные в перечень [напишите название предлагаемого перечня/перечней]: [названия ЛП].</w:t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Клинические преимущества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Экономические преимущества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Основные результаты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КЭИ-1:</w:t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spacing w:after="100"/>
      </w:pPr>
      <w:r/>
    </w:p>
    <w:p>
      <w:pPr>
        <w:jc w:val="center"/>
      </w:pPr>
      <w:r>
        <w:rPr>
          <w:b/>
          <w:bCs/>
          <w:sz w:val="28"/>
          <w:szCs w:val="28"/>
        </w:rPr>
        <w:t xml:space="preserve">Данные о влиянии на бюджет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  <w:gridCol w:w="100"/>
        <w:gridCol w:w="100"/>
      </w:tblGrid>
      <w:tr>
        <w:tc>
          <w:tcPr>
            <w:gridSpan w:val="1"/>
          </w:tcPr>
          <w:p>
            <w:pPr>
              <w:jc w:val="start"/>
            </w:pPr>
            <w:r>
              <w:rPr>
                <w:b/>
                <w:bCs/>
                <w:sz w:val="22"/>
                <w:szCs w:val="22"/>
              </w:rPr>
              <w:t xml:space="preserve">Метод. качество</w:t>
            </w:r>
          </w:p>
        </w:tc>
        <w:tc>
          <w:tcPr>
            <w:gridSpan w:val="1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АВБ-1:</w:t>
            </w:r>
            <w:r>
              <w:rPr>
                <w:sz w:val="24"/>
                <w:szCs w:val="24"/>
              </w:rPr>
              <w:t xml:space="preserve">низкое</w:t>
            </w:r>
          </w:p>
        </w:tc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АВБ-2:</w:t>
            </w:r>
            <w:r>
              <w:rPr>
                <w:sz w:val="24"/>
                <w:szCs w:val="24"/>
              </w:rPr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Показание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АВБ-1: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АВБ-2:</w:t>
            </w:r>
            <w:r>
              <w:rPr>
                <w:sz w:val="24"/>
                <w:szCs w:val="24"/>
              </w:rPr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Численность целевой популяции: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АВБ-1:</w:t>
            </w:r>
            <w:r>
              <w:rPr>
                <w:sz w:val="24"/>
                <w:szCs w:val="24"/>
              </w:rPr>
              <w:t xml:space="preserve"> ацелевойцелевойцелевойцелевойцелевойцелевойцелевойцелевойцелевойцелевойцелевойцелевой</w:t>
            </w:r>
          </w:p>
        </w:tc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АВБ-2: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Текущая практика терапии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Ожидаемая практика терапии</w:t>
            </w:r>
          </w:p>
        </w:tc>
      </w:tr>
      <w:tr>
        <w:tc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АВБ-1:</w:t>
            </w:r>
            <w:r>
              <w:rPr>
                <w:sz w:val="24"/>
                <w:szCs w:val="24"/>
              </w:rPr>
              <w:t xml:space="preserve"> Текущая практика лекарственной терапии, включенная в перечень [напишите название предлагаемого перечня/перечней]: [процент (%) и название ЛП].</w:t>
            </w:r>
          </w:p>
        </w:tc>
        <w:tc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АВБ-2:</w:t>
            </w:r>
            <w:r>
              <w:rPr>
                <w:sz w:val="24"/>
                <w:szCs w:val="24"/>
              </w:rPr>
              <w:t xml:space="preserve"> Текущая практика лекарственной терапии, включенная в перечень [напишите название предлагаемого перечня/перечней]: [процент (%) и название ЛП].</w:t>
            </w:r>
          </w:p>
        </w:tc>
        <w:tc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АВБ-1:</w:t>
            </w:r>
            <w:r>
              <w:rPr>
                <w:sz w:val="24"/>
                <w:szCs w:val="24"/>
              </w:rPr>
              <w:t xml:space="preserve"> Ожидаемая практика лекарственной терапии, включенная в перечень [напишите название предлагаемого перечня/перечней]: [процент (%) и название ЛП].</w:t>
            </w:r>
          </w:p>
        </w:tc>
        <w:tc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АВБ-2:</w:t>
            </w:r>
            <w:r>
              <w:rPr>
                <w:sz w:val="24"/>
                <w:szCs w:val="24"/>
              </w:rPr>
              <w:t xml:space="preserve"> Ожидаемая практика лекарственной терапии, включенная в перечень [напишите название предлагаемого перечня/перечней]: [процент (%) и название ЛП].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Основные результаты:</w:t>
            </w:r>
          </w:p>
        </w:tc>
      </w:tr>
      <w:tr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АВБ-1:</w:t>
            </w:r>
            <w:r>
              <w:rPr>
                <w:sz w:val="24"/>
                <w:szCs w:val="24"/>
              </w:rPr>
              <w:t xml:space="preserve"> Большие/меньшие затраты: [+/-Х] руб. за Х года ([+/-Х] руб. за 1-й год)</w:t>
            </w:r>
            <w:r>
              <w:rPr>
                <w:sz w:val="24"/>
                <w:szCs w:val="24"/>
              </w:rPr>
              <w:br/>
              <w:t xml:space="preserve">Затраты на текущую практику: [Х] руб. за Х года ([Х] руб. за 1-й год)</w:t>
            </w:r>
            <w:r>
              <w:rPr>
                <w:sz w:val="24"/>
                <w:szCs w:val="24"/>
              </w:rPr>
              <w:br/>
              <w:t xml:space="preserve">Затраты на ожидаемую практику: [Х] руб. за Х года ([Х] руб. за 1-й год)</w:t>
            </w:r>
          </w:p>
        </w:tc>
        <w:tc>
          <w:tcPr>
            <w:gridSpan w:val="2"/>
          </w:tcPr>
          <w:p>
            <w:pPr>
              <w:spacing w:after="0" w:before="0"/>
              <w:jc w:val="start"/>
            </w:pPr>
            <w:r>
              <w:rPr>
                <w:b/>
                <w:bCs/>
                <w:sz w:val="24"/>
                <w:szCs w:val="24"/>
              </w:rPr>
              <w:t xml:space="preserve">АВБ-2:</w:t>
            </w:r>
            <w:r>
              <w:rPr>
                <w:sz w:val="24"/>
                <w:szCs w:val="24"/>
              </w:rPr>
              <w:t xml:space="preserve"> Большие/меньшие затраты: [+/-Х] руб. за Х года ([+/-Х] руб. за 1-й год)</w:t>
            </w:r>
            <w:r>
              <w:rPr>
                <w:sz w:val="24"/>
                <w:szCs w:val="24"/>
              </w:rPr>
              <w:br/>
              <w:t xml:space="preserve">Затраты на текущую практику: [Х] руб. за Х года ([Х] руб. за 1-й год)</w:t>
            </w:r>
            <w:r>
              <w:rPr>
                <w:sz w:val="24"/>
                <w:szCs w:val="24"/>
              </w:rPr>
              <w:br/>
              <w:t xml:space="preserve">Затраты на ожидаемую практику: [Х] руб. за Х года ([Х] руб. за 1-й год)</w:t>
            </w:r>
          </w:p>
        </w:tc>
      </w:tr>
    </w:tbl>
    <w:p>
      <w:pPr>
        <w:sectPr>
          <w:footerReference w:type="default" r:id="rId6"/>
          <w:pgSz w:w="16837" w:h="11905" w:orient="portrait"/>
          <w:pgMar w:top="1133" w:right="1133" w:bottom="850" w:left="1133" w:header="708" w:footer="708" w:gutter="0"/>
          <w:pgNumType w:fmt="decimal"/>
          <w:docGrid w:linePitch="360"/>
        </w:sectPr>
      </w:pPr>
    </w:p>
    <w:p>
      <w:pPr>
        <w:jc w:val="center"/>
      </w:pPr>
      <w:r>
        <w:rPr>
          <w:b/>
          <w:bCs/>
          <w:sz w:val="28"/>
          <w:szCs w:val="28"/>
        </w:rPr>
        <w:t xml:space="preserve">Сравнение предлагаемой к регистрации цены в РФ и</w:t>
      </w:r>
    </w:p>
    <w:p>
      <w:pPr>
        <w:jc w:val="center"/>
      </w:pPr>
      <w:r>
        <w:rPr>
          <w:b/>
          <w:bCs/>
          <w:sz w:val="28"/>
          <w:szCs w:val="28"/>
        </w:rPr>
        <w:t xml:space="preserve">зарегистрированной минимальной цены в референтных странах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МНН, форма выпуска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Цена в Российской Федерации (руб.)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Минимальная цена в референтной стране, руб. 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Референтная страна с минимальной ценой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Разница с ценой в Референтной стране (разница в %)</w:t>
            </w:r>
          </w:p>
        </w:tc>
      </w:tr>
      <w:tr>
        <w:tc>
          <w:p>
            <w:pPr>
              <w:jc w:val="start"/>
            </w:pPr>
            <w:r>
              <w:rPr>
                <w:sz w:val="22"/>
                <w:szCs w:val="22"/>
              </w:rPr>
              <w:t xml:space="preserve">энтивио для 2027, </w:t>
            </w:r>
          </w:p>
        </w:tc>
        <w:tc>
          <w:tcPr>
            <w:vAlign w:val="center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vAlign w:val="center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Не зарегистрирована</w:t>
            </w:r>
          </w:p>
        </w:tc>
        <w:tc>
          <w:tcPr>
            <w:vAlign w:val="center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vAlign w:val="center"/>
          </w:tcPr>
          <w:p>
            <w:pPr>
              <w:spacing w:after="0" w:before="0"/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</w:tr>
    </w:tbl>
    <w:p>
      <w:pPr>
        <w:spacing w:after="100"/>
      </w:pPr>
      <w:r/>
    </w:p>
    <w:p>
      <w:pPr>
        <w:jc w:val="center"/>
      </w:pPr>
      <w:r>
        <w:rPr>
          <w:b/>
          <w:bCs/>
          <w:sz w:val="28"/>
          <w:szCs w:val="28"/>
        </w:rPr>
        <w:t xml:space="preserve">Сведения о рекомендациях зарубежных агентств по оценке медицинских </w:t>
      </w:r>
    </w:p>
    <w:p>
      <w:pPr>
        <w:jc w:val="center"/>
      </w:pPr>
      <w:r>
        <w:rPr>
          <w:b/>
          <w:bCs/>
          <w:sz w:val="28"/>
          <w:szCs w:val="28"/>
        </w:rPr>
        <w:t xml:space="preserve">технологий о целесообразности государственного финансирования в </w:t>
      </w:r>
    </w:p>
    <w:p>
      <w:pPr>
        <w:jc w:val="center"/>
      </w:pPr>
      <w:r>
        <w:rPr>
          <w:b/>
          <w:bCs/>
          <w:sz w:val="28"/>
          <w:szCs w:val="28"/>
        </w:rPr>
        <w:t xml:space="preserve">иностранном государстве предлагаемого лекарственного препарата </w:t>
      </w:r>
    </w:p>
    <w:p>
      <w:pPr>
        <w:spacing w:after="100"/>
      </w:pPr>
      <w:r/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Показания к применению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Рекомендации иностранных агентств по оценке медицинских технологий</w:t>
            </w:r>
          </w:p>
        </w:tc>
      </w:tr>
      <w:tr>
        <w:tc>
          <w:tcPr>
            <w:tcW w:type="pct" w:w="35%"/>
          </w:tcPr>
          <w:p>
            <w:r>
              <w:rPr>
                <w:sz w:val="24"/>
                <w:szCs w:val="24"/>
              </w:rPr>
              <w:t xml:space="preserve">Для применения у взрослых и детей, страдающих гемофилией А (врожденный дефицит фактора свертывания VIII) и ранее получавших лечение, для: </w:t>
            </w:r>
          </w:p>
          <w:p>
            <w:r>
              <w:rPr>
                <w:sz w:val="24"/>
                <w:szCs w:val="24"/>
              </w:rPr>
              <w:t xml:space="preserve">- Лечения «по требованию» и контроля эпизодов кровотечения </w:t>
            </w:r>
          </w:p>
          <w:p>
            <w:r>
              <w:rPr>
                <w:sz w:val="24"/>
                <w:szCs w:val="24"/>
              </w:rPr>
              <w:t xml:space="preserve">- Периоперационного ведения </w:t>
            </w:r>
          </w:p>
          <w:p>
            <w:r>
              <w:rPr>
                <w:sz w:val="24"/>
                <w:szCs w:val="24"/>
              </w:rPr>
              <w:t xml:space="preserve">- Профилактики для уменьшения частоты кровотечений </w:t>
            </w:r>
          </w:p>
          <w:p>
            <w:r>
              <w:rPr>
                <w:sz w:val="24"/>
                <w:szCs w:val="24"/>
              </w:rPr>
              <w:t xml:space="preserve">Код МКБ-10 D66 Наследственный дефицит фактора VIII</w:t>
            </w:r>
          </w:p>
        </w:tc>
        <w:tc>
          <w:tcPr>
            <w:tcW w:type="pct" w:w="65%"/>
          </w:tcPr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Национальный институт здоровья и клинического совершенствования Великобритании (NICE):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анмшгпаншгапншгапншгин</w:t>
            </w:r>
          </w:p>
          <w:p>
            <w:r>
              <w:rPr>
                <w:sz w:val="24"/>
                <w:szCs w:val="24"/>
              </w:rPr>
              <w:t xml:space="preserve">Источник:</w:t>
            </w:r>
          </w:p>
          <w:p>
            <w:pPr>
              <w:spacing w:after="200"/>
            </w:pPr>
            <w:hyperlink w:history="1" r:id="rIdfzsfa3id5oeuilqfcz4pg">
              <w:r>
                <w:rPr>
                  <w:sz w:val="24"/>
                  <w:szCs w:val="24"/>
                  <w:rStyle w:val="Hyperlink"/>
                </w:rPr>
              </w:r>
            </w:hyperlink>
          </w:p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Институт качества и эффективности в здравоохранении Германии (IQWIG):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Не оценивался</w:t>
            </w:r>
          </w:p>
          <w:p>
            <w:r>
              <w:rPr>
                <w:sz w:val="24"/>
                <w:szCs w:val="24"/>
              </w:rPr>
            </w:r>
          </w:p>
          <w:p>
            <w:pPr>
              <w:spacing w:after="200"/>
            </w:pPr>
            <w:hyperlink w:history="1" r:id="rIdlj8wyxx1uq_obnwfxjuf6">
              <w:r>
                <w:rPr>
                  <w:sz w:val="24"/>
                  <w:szCs w:val="24"/>
                  <w:rStyle w:val="Hyperlink"/>
                </w:rPr>
              </w:r>
            </w:hyperlink>
          </w:p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Канадское агентство по лекарственным средствам и технологиям здравоохранения (CDA):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Не оценивался</w:t>
            </w:r>
          </w:p>
          <w:p>
            <w:r>
              <w:rPr>
                <w:sz w:val="24"/>
                <w:szCs w:val="24"/>
              </w:rPr>
            </w:r>
          </w:p>
          <w:p>
            <w:pPr>
              <w:spacing w:after="200"/>
            </w:pPr>
            <w:hyperlink w:history="1" r:id="rIde9bysbtoulsrfnhaknbid">
              <w:r>
                <w:rPr>
                  <w:sz w:val="24"/>
                  <w:szCs w:val="24"/>
                  <w:rStyle w:val="Hyperlink"/>
                </w:rPr>
              </w:r>
            </w:hyperlink>
          </w:p>
        </w:tc>
      </w:tr>
      <w:tr>
        <w:tc>
          <w:tcPr>
            <w:tcW w:type="pct" w:w="35%"/>
          </w:tcPr>
          <w:p>
            <w:r>
              <w:rPr>
                <w:sz w:val="24"/>
                <w:szCs w:val="24"/>
              </w:rPr>
              <w:t xml:space="preserve">показание 2 Лечения «по требованию» и контроля эпизодов кров</w:t>
            </w:r>
          </w:p>
        </w:tc>
        <w:tc>
          <w:tcPr>
            <w:tcW w:type="pct" w:w="65%"/>
          </w:tcPr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Национальный институт здоровья и клинического совершенствования Великобритании (NICE):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Не оценивался</w:t>
            </w:r>
          </w:p>
          <w:p>
            <w:r>
              <w:rPr>
                <w:sz w:val="24"/>
                <w:szCs w:val="24"/>
              </w:rPr>
            </w:r>
          </w:p>
          <w:p>
            <w:pPr>
              <w:spacing w:after="200"/>
            </w:pPr>
            <w:hyperlink w:history="1" r:id="rIdi1cnmbjwr75ljtzwivzur">
              <w:r>
                <w:rPr>
                  <w:sz w:val="24"/>
                  <w:szCs w:val="24"/>
                  <w:rStyle w:val="Hyperlink"/>
                </w:rPr>
              </w:r>
            </w:hyperlink>
          </w:p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Институт качества и эффективности в здравоохранении Германии (IQWIG):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Не оценивался</w:t>
            </w:r>
          </w:p>
          <w:p>
            <w:r>
              <w:rPr>
                <w:sz w:val="24"/>
                <w:szCs w:val="24"/>
              </w:rPr>
            </w:r>
          </w:p>
          <w:p>
            <w:pPr>
              <w:spacing w:after="200"/>
            </w:pPr>
            <w:hyperlink w:history="1" r:id="rIdqmcroba5-5fh6t0xkkr7d">
              <w:r>
                <w:rPr>
                  <w:sz w:val="24"/>
                  <w:szCs w:val="24"/>
                  <w:rStyle w:val="Hyperlink"/>
                </w:rPr>
              </w:r>
            </w:hyperlink>
          </w:p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Канадское агентство по лекарственным средствам и технологиям здравоохранения (CDA):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Не оценивался</w:t>
            </w:r>
          </w:p>
          <w:p>
            <w:r>
              <w:rPr>
                <w:sz w:val="24"/>
                <w:szCs w:val="24"/>
              </w:rPr>
            </w:r>
          </w:p>
          <w:p>
            <w:pPr>
              <w:spacing w:after="200"/>
            </w:pPr>
            <w:hyperlink w:history="1" r:id="rIdbgsxwapggdsuh-snxsr9i">
              <w:r>
                <w:rPr>
                  <w:sz w:val="24"/>
                  <w:szCs w:val="24"/>
                  <w:rStyle w:val="Hyperlink"/>
                </w:rPr>
              </w:r>
            </w:hyperlink>
          </w:p>
        </w:tc>
      </w:tr>
      <w:tr>
        <w:tc>
          <w:tcPr>
            <w:tcW w:type="pct" w:w="35%"/>
          </w:tcPr>
          <w:p>
            <w:r>
              <w:rPr>
                <w:sz w:val="24"/>
                <w:szCs w:val="24"/>
              </w:rPr>
              <w:t xml:space="preserve">Для применения у взрослых и детей, страдающих гемофилией А (врожденный дефицит фактора свертывания VIII) и ранее получавших лечение, для: </w:t>
            </w:r>
          </w:p>
          <w:p>
            <w:r>
              <w:rPr>
                <w:sz w:val="24"/>
                <w:szCs w:val="24"/>
              </w:rPr>
              <w:t xml:space="preserve">- Лечения «по требованию» и контроля эпизодов кровотечения </w:t>
            </w:r>
          </w:p>
          <w:p>
            <w:r>
              <w:rPr>
                <w:sz w:val="24"/>
                <w:szCs w:val="24"/>
              </w:rPr>
              <w:t xml:space="preserve">- Периоперационного ведения </w:t>
            </w:r>
          </w:p>
          <w:p>
            <w:r>
              <w:rPr>
                <w:sz w:val="24"/>
                <w:szCs w:val="24"/>
              </w:rPr>
              <w:t xml:space="preserve">- Профилактики для уменьшения частоты к</w:t>
            </w:r>
          </w:p>
        </w:tc>
        <w:tc>
          <w:tcPr>
            <w:tcW w:type="pct" w:w="65%"/>
          </w:tcPr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Национальный институт здоровья и клинического совершенствования Великобритании (NICE):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шаrst nice man bro</w:t>
            </w:r>
          </w:p>
          <w:p>
            <w:r>
              <w:rPr>
                <w:sz w:val="24"/>
                <w:szCs w:val="24"/>
              </w:rPr>
              <w:t xml:space="preserve">Источник:</w:t>
            </w:r>
          </w:p>
          <w:p>
            <w:pPr>
              <w:spacing w:after="200"/>
            </w:pPr>
            <w:hyperlink w:history="1" r:id="rId4fdjzlyxsdi2ldzvdj22o">
              <w:r>
                <w:rPr>
                  <w:sz w:val="24"/>
                  <w:szCs w:val="24"/>
                  <w:rStyle w:val="Hyperlink"/>
                </w:rPr>
              </w:r>
            </w:hyperlink>
          </w:p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Институт качества и эффективности в здравоохранении Германии (IQWIG):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9798798797</w:t>
            </w:r>
          </w:p>
          <w:p>
            <w:r>
              <w:rPr>
                <w:sz w:val="24"/>
                <w:szCs w:val="24"/>
              </w:rPr>
              <w:t xml:space="preserve">Источник:</w:t>
            </w:r>
          </w:p>
          <w:p>
            <w:pPr>
              <w:spacing w:after="200"/>
            </w:pPr>
            <w:hyperlink w:history="1" r:id="rId225edu0vom1wamf5q8o10">
              <w:r>
                <w:rPr>
                  <w:sz w:val="24"/>
                  <w:szCs w:val="24"/>
                  <w:rStyle w:val="Hyperlink"/>
                </w:rPr>
              </w:r>
            </w:hyperlink>
          </w:p>
          <w:p>
            <w:pPr>
              <w:jc w:val="both"/>
            </w:pPr>
            <w:r>
              <w:rPr>
                <w:b/>
                <w:bCs/>
                <w:sz w:val="24"/>
                <w:szCs w:val="24"/>
              </w:rPr>
              <w:t xml:space="preserve">Канадское агентство по лекарственным средствам и технологиям здравоохранения (CDA):</w:t>
            </w:r>
          </w:p>
          <w:p>
            <w:pPr>
              <w:jc w:val="both"/>
            </w:pPr>
            <w:r>
              <w:rPr>
                <w:sz w:val="24"/>
                <w:szCs w:val="24"/>
              </w:rPr>
              <w:t xml:space="preserve">Не оценивался</w:t>
            </w:r>
          </w:p>
          <w:p>
            <w:r>
              <w:rPr>
                <w:sz w:val="24"/>
                <w:szCs w:val="24"/>
              </w:rPr>
            </w:r>
          </w:p>
          <w:p>
            <w:pPr>
              <w:spacing w:after="200"/>
            </w:pPr>
            <w:hyperlink w:history="1" r:id="rIdb_mxm69k9qvuf8sw5qs58">
              <w:r>
                <w:rPr>
                  <w:sz w:val="24"/>
                  <w:szCs w:val="24"/>
                  <w:rStyle w:val="Hyperlink"/>
                </w:rPr>
              </w:r>
            </w:hyperlink>
          </w:p>
        </w:tc>
      </w:tr>
    </w:tbl>
    <w:p>
      <w:pPr>
        <w:sectPr>
          <w:footerReference w:type="default" r:id="rId7"/>
          <w:pgSz w:w="16837" w:h="11905" w:orient="portrait"/>
          <w:pgMar w:top="1133" w:right="1133" w:bottom="850" w:left="1133" w:header="708" w:footer="708" w:gutter="0"/>
          <w:pgNumType w:fmt="decimal"/>
          <w:docGrid w:linePitch="360"/>
        </w:sectPr>
      </w:pPr>
    </w:p>
    <w:p>
      <w:pPr>
        <w:jc w:val="center"/>
      </w:pPr>
      <w:r>
        <w:rPr>
          <w:b/>
          <w:bCs/>
          <w:sz w:val="28"/>
          <w:szCs w:val="28"/>
        </w:rPr>
        <w:t xml:space="preserve">Расчеты по стоимости терапии ЛП финеренон, предлагаемого для включения в перечень ЖНВЛП, а также для ЛП, включенных в перечень ЖНВЛП, с аналогичными показаниями к применению при терапии взрослых пациентов с 3-4 стадиями хронической болезни почек (ХБП) (c альбуминурией) с сахарным диабетом (СД) 2 типа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8"/>
          <w:left w:type="dxa" w:w="56"/>
          <w:bottom w:type="dxa" w:w="28"/>
          <w:right w:type="dxa" w:w="56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АТХ-код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МНН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Численность целевой популяции пациентов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Единица измерения (ЕИ)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Кол-во ЕИ на год (курс) терапии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Цена за ЕИ согласно данным ГРПОЦ 2025 года, руб. (без НДС)</w:t>
            </w:r>
          </w:p>
        </w:tc>
        <w:tc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Стоимость терапии одного пациента согласно ИМП в год (курс), руб. (без  НДС)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Предлагаемый лекарственный препарат (расчет заявителя)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C03DA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Финеренон (доза 10 мг при рСКФ ≥ 25 до &lt; 60)  (Пероральный) Иностранный</w:t>
            </w:r>
          </w:p>
        </w:tc>
        <w:tc>
          <w:tcPr>
            <w:gridSpan w:val="1"/>
            <w:vMerge w:val="restart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85 586*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98,18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35 835,57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C03DA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Финеренон (доза 20 мг при рСКФ ≥ 60) 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98,18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35 835,57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Предлагаемый лекарственный препарат (расчет Центра экспертизы)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C03DA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Финеренон (доза 10 мг при рСКФ ≥ 25 до &lt; 60)  (Пероральный) Иностранный</w:t>
            </w:r>
          </w:p>
        </w:tc>
        <w:tc>
          <w:tcPr>
            <w:gridSpan w:val="1"/>
            <w:vMerge w:val="restart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85 586*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98,18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35 835,70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C03DA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Финеренон (доза 20 мг при рСКФ ≥ 60) 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98,18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35 835,70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Аналогичные лекарственные препараты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-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A10BJ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Дулаглутид (Парентеральный) Иностранный</w:t>
            </w:r>
          </w:p>
        </w:tc>
        <w:tc>
          <w:tcPr>
            <w:gridSpan w:val="1"/>
            <w:vMerge w:val="restart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270 484,86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мл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26,00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2 503,04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65 079,04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A10BJ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[object Object]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мл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39,00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1 450,06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56 552,34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A10BK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Эмпаглифлозин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72,75 - 73,07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26 612,15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A10BK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Дапаглифлозин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72,25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26 371,25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C09AA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Лизиноприл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730,00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2,67 - 3,49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2 248,40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C09AA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Лозартан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365,00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4,72 - 5,12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1 795,80</w:t>
            </w:r>
          </w:p>
        </w:tc>
      </w:tr>
      <w:tr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C09AA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Рамиприл (Пероральный) Иностранный</w:t>
            </w:r>
          </w:p>
        </w:tc>
        <w:tc>
          <w:tcPr>
            <w:gridSpan w:val="1"/>
            <w:vMerge w:val="continue"/>
          </w:tcPr>
          <w:p/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шт. (табл.)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183 - 365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2,28 - 3,71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sz w:val="22"/>
                <w:szCs w:val="22"/>
              </w:rPr>
              <w:t xml:space="preserve">885,13</w:t>
            </w:r>
          </w:p>
        </w:tc>
      </w:tr>
    </w:tbl>
    <w:p>
      <w:pPr>
        <w:spacing w:after="0" w:before="0"/>
        <w:jc w:val="both"/>
      </w:pPr>
      <w:r>
        <w:rPr>
          <w:i/>
          <w:iCs/>
          <w:sz w:val="24"/>
          <w:szCs w:val="24"/>
        </w:rPr>
        <w:t xml:space="preserve">Примечания: *Численность целевой популяции взрослых пациентов с 3-4 стадиями ХБП (с альбуминурией) при СД 2 типа согласно отчету по АВБ, представленного в составе Предложения</w:t>
      </w:r>
      <w:r>
        <w:rPr>
          <w:i/>
          <w:iCs/>
          <w:sz w:val="24"/>
          <w:szCs w:val="24"/>
        </w:rPr>
        <w:br/>
        <w:t xml:space="preserve">**рСКФ – расчетная скорость клубочковой фильтрации</w:t>
      </w:r>
      <w:r>
        <w:rPr>
          <w:i/>
          <w:iCs/>
          <w:sz w:val="24"/>
          <w:szCs w:val="24"/>
        </w:rPr>
        <w:br/>
      </w:r>
    </w:p>
    <w:p>
      <w:pPr>
        <w:spacing w:after="0" w:before="0"/>
        <w:jc w:val="both"/>
      </w:pPr>
      <w:r>
        <w:rPr>
          <w:i/>
          <w:iCs/>
          <w:sz w:val="24"/>
          <w:szCs w:val="24"/>
        </w:rPr>
        <w:t xml:space="preserve">***Расчет ЛП рамиприл осуществлен без учета ЛФ капсулы, ввиду отсутствия в гражданском обороте (ГО)</w:t>
      </w:r>
    </w:p>
    <w:p>
      <w:pPr>
        <w:spacing w:after="0" w:before="0"/>
        <w:jc w:val="both"/>
      </w:pPr>
      <w:r>
        <w:rPr>
          <w:i/>
          <w:iCs/>
          <w:sz w:val="24"/>
          <w:szCs w:val="24"/>
        </w:rPr>
      </w:r>
      <w:r>
        <w:rPr>
          <w:i/>
          <w:iCs/>
          <w:sz w:val="24"/>
          <w:szCs w:val="24"/>
        </w:rPr>
        <w:br/>
      </w:r>
    </w:p>
    <w:p>
      <w:pPr>
        <w:spacing w:after="100"/>
      </w:pPr>
      <w:r/>
    </w:p>
    <w:p>
      <w:pPr>
        <w:spacing w:after="0" w:before="0"/>
        <w:jc w:val="both"/>
      </w:pPr>
      <w:r>
        <w:rPr>
          <w:b/>
          <w:bCs/>
          <w:u w:val="single"/>
          <w:sz w:val="24"/>
          <w:szCs w:val="24"/>
        </w:rPr>
        <w:t xml:space="preserve">Расчёты: (Стоимость предлагаемого ЛП) </w:t>
      </w:r>
    </w:p>
    <w:p>
      <w:r>
        <w:rPr>
          <w:sz w:val="20"/>
          <w:szCs w:val="20"/>
        </w:rPr>
        <w:t xml:space="preserve">Режим дозирования препарата -пусто- у - по инструкции (данные, использованные для расчетов) составляет: </w:t>
      </w:r>
    </w:p>
    <w:p>
      <w:r>
        <w:rPr>
          <w:sz w:val="20"/>
          <w:szCs w:val="20"/>
        </w:rPr>
        <w:t xml:space="preserve">для препарата -пусто- -, </w:t>
      </w:r>
    </w:p>
    <w:p>
      <w:r>
        <w:rPr>
          <w:sz w:val="20"/>
          <w:szCs w:val="20"/>
        </w:rPr>
        <w:t xml:space="preserve">Продолжительность терапии в год: для препарата -пусто-: ≈ -. </w:t>
      </w:r>
    </w:p>
    <w:p>
      <w:r>
        <w:rPr>
          <w:sz w:val="20"/>
          <w:szCs w:val="20"/>
        </w:rPr>
        <w:t xml:space="preserve">Стоимость 1 мг препарата -пусто-: ≈ -. </w:t>
      </w:r>
    </w:p>
    <w:p>
      <w:pPr>
        <w:spacing w:after="100"/>
      </w:pPr>
      <w:r/>
    </w:p>
    <w:p>
      <w:r>
        <w:rPr>
          <w:sz w:val="20"/>
          <w:szCs w:val="20"/>
        </w:rPr>
        <w:t xml:space="preserve">Расчет стоимости 1 года терапии одного пациента: </w:t>
      </w:r>
    </w:p>
    <w:p>
      <w:pPr>
        <w:spacing w:after="0" w:before="0"/>
        <w:jc w:val="both"/>
      </w:pPr>
      <w:r>
        <w:rPr>
          <w:b/>
          <w:bCs/>
          <w:sz w:val="20"/>
          <w:szCs w:val="20"/>
        </w:rPr>
        <w:t xml:space="preserve">-пусто-</w:t>
      </w:r>
      <w:r>
        <w:rPr>
          <w:sz w:val="20"/>
          <w:szCs w:val="20"/>
        </w:rPr>
        <w:t xml:space="preserve">-</w:t>
      </w:r>
    </w:p>
    <w:p>
      <w:pPr>
        <w:spacing w:after="100"/>
      </w:pPr>
      <w:r/>
    </w:p>
    <w:p>
      <w:pPr>
        <w:spacing w:after="0" w:before="0"/>
        <w:jc w:val="both"/>
      </w:pPr>
      <w:r>
        <w:rPr>
          <w:b/>
          <w:bCs/>
          <w:u w:val="single"/>
          <w:sz w:val="24"/>
          <w:szCs w:val="24"/>
        </w:rPr>
        <w:t xml:space="preserve">Расчёты: (Комбинация) 1</w:t>
      </w:r>
    </w:p>
    <w:p>
      <w:r>
        <w:rPr>
          <w:sz w:val="20"/>
          <w:szCs w:val="20"/>
        </w:rPr>
        <w:t xml:space="preserve">Режим дозирования препарата -пусто- у - по инструкции (данные, использованные для расчетов) составляет: </w:t>
      </w:r>
    </w:p>
    <w:p>
      <w:r>
        <w:rPr>
          <w:sz w:val="20"/>
          <w:szCs w:val="20"/>
        </w:rPr>
        <w:t xml:space="preserve">для препарата -пусто- -, </w:t>
      </w:r>
    </w:p>
    <w:p>
      <w:r>
        <w:rPr>
          <w:sz w:val="20"/>
          <w:szCs w:val="20"/>
        </w:rPr>
        <w:t xml:space="preserve">для препарата -пусто- -, </w:t>
      </w:r>
    </w:p>
    <w:p>
      <w:r>
        <w:rPr>
          <w:sz w:val="20"/>
          <w:szCs w:val="20"/>
        </w:rPr>
        <w:t xml:space="preserve">Продолжительность терапии в год: для препарата -пусто-: ≈ -. для препарата -пусто-: ≈ -. </w:t>
      </w:r>
    </w:p>
    <w:p>
      <w:r>
        <w:rPr>
          <w:sz w:val="20"/>
          <w:szCs w:val="20"/>
        </w:rPr>
        <w:t xml:space="preserve">Стоимость 1 мг препарата -пусто-: ≈ -. 1 мг препарата -пусто-: ≈ -. </w:t>
      </w:r>
    </w:p>
    <w:p>
      <w:pPr>
        <w:spacing w:after="100"/>
      </w:pPr>
      <w:r/>
    </w:p>
    <w:p>
      <w:r>
        <w:rPr>
          <w:sz w:val="20"/>
          <w:szCs w:val="20"/>
        </w:rPr>
        <w:t xml:space="preserve">Расчет стоимости 1 года терапии одного пациента: </w:t>
      </w:r>
    </w:p>
    <w:p>
      <w:pPr>
        <w:spacing w:after="0" w:before="0"/>
        <w:jc w:val="both"/>
      </w:pPr>
      <w:r>
        <w:rPr>
          <w:b/>
          <w:bCs/>
          <w:sz w:val="20"/>
          <w:szCs w:val="20"/>
        </w:rPr>
        <w:t xml:space="preserve">-пусто-</w:t>
      </w:r>
      <w:r>
        <w:rPr>
          <w:sz w:val="20"/>
          <w:szCs w:val="20"/>
        </w:rPr>
        <w:t xml:space="preserve">-</w:t>
      </w:r>
    </w:p>
    <w:p>
      <w:pPr>
        <w:spacing w:after="0" w:before="0"/>
        <w:jc w:val="both"/>
      </w:pPr>
      <w:r>
        <w:rPr>
          <w:b/>
          <w:bCs/>
          <w:sz w:val="20"/>
          <w:szCs w:val="20"/>
        </w:rPr>
        <w:t xml:space="preserve">-пусто-</w:t>
      </w:r>
      <w:r>
        <w:rPr>
          <w:sz w:val="20"/>
          <w:szCs w:val="20"/>
        </w:rPr>
        <w:t xml:space="preserve">-</w:t>
      </w:r>
    </w:p>
    <w:p>
      <w:pPr>
        <w:spacing w:after="100"/>
      </w:pPr>
      <w:r/>
    </w:p>
    <w:p>
      <w:pPr>
        <w:spacing w:after="100"/>
      </w:pPr>
      <w:r/>
    </w:p>
    <w:sectPr>
      <w:footerReference w:type="default" r:id="rId8"/>
      <w:pgSz w:w="16837" w:h="11905" w:orient="portrait"/>
      <w:pgMar w:top="1133" w:right="1133" w:bottom="850" w:left="1133" w:header="708" w:footer="708" w:gutter="0"/>
      <w:pgNumType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fzsfa3id5oeuilqfcz4pg" Type="http://schemas.openxmlformats.org/officeDocument/2006/relationships/hyperlink" Target="" TargetMode="External"/><Relationship Id="rIdlj8wyxx1uq_obnwfxjuf6" Type="http://schemas.openxmlformats.org/officeDocument/2006/relationships/hyperlink" Target="" TargetMode="External"/><Relationship Id="rIde9bysbtoulsrfnhaknbid" Type="http://schemas.openxmlformats.org/officeDocument/2006/relationships/hyperlink" Target="" TargetMode="External"/><Relationship Id="rIdi1cnmbjwr75ljtzwivzur" Type="http://schemas.openxmlformats.org/officeDocument/2006/relationships/hyperlink" Target="" TargetMode="External"/><Relationship Id="rIdqmcroba5-5fh6t0xkkr7d" Type="http://schemas.openxmlformats.org/officeDocument/2006/relationships/hyperlink" Target="" TargetMode="External"/><Relationship Id="rIdbgsxwapggdsuh-snxsr9i" Type="http://schemas.openxmlformats.org/officeDocument/2006/relationships/hyperlink" Target="" TargetMode="External"/><Relationship Id="rId4fdjzlyxsdi2ldzvdj22o" Type="http://schemas.openxmlformats.org/officeDocument/2006/relationships/hyperlink" Target="" TargetMode="External"/><Relationship Id="rId225edu0vom1wamf5q8o10" Type="http://schemas.openxmlformats.org/officeDocument/2006/relationships/hyperlink" Target="" TargetMode="External"/><Relationship Id="rIdb_mxm69k9qvuf8sw5qs58" Type="http://schemas.openxmlformats.org/officeDocument/2006/relationships/hyperlink" Target="" TargetMode="Externa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2026-05-29T11:14:36.189Z</dcterms:created>
  <dcterms:modified xsi:type="dcterms:W3CDTF">2026-05-29T11:14:36.189Z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