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4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Двоичные деревья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_Toc30565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_Toc30565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_Toc14052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_Toc14052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_Toc31347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_Toc31347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_Toc30347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_Toc30347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30565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 структуру данных двоичное дерево поиска и следующие методы: нахождение минимума, нахождение максимума,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прямой (</w:t>
      </w:r>
      <w:r>
        <w:rPr>
          <w:sz w:val="24"/>
          <w:szCs w:val="24"/>
          <w:lang w:val="en-US"/>
        </w:rPr>
        <w:t>preorder</w:t>
      </w:r>
      <w:r>
        <w:rPr>
          <w:sz w:val="24"/>
          <w:szCs w:val="24"/>
          <w:lang w:val="ru-RU"/>
        </w:rPr>
        <w:t>), центрированный (</w:t>
      </w:r>
      <w:r>
        <w:rPr>
          <w:sz w:val="24"/>
          <w:szCs w:val="24"/>
          <w:lang w:val="en-US"/>
        </w:rPr>
        <w:t>inorder</w:t>
      </w:r>
      <w:r>
        <w:rPr>
          <w:sz w:val="24"/>
          <w:szCs w:val="24"/>
          <w:lang w:val="ru-RU"/>
        </w:rPr>
        <w:t>) 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обратный обход (</w:t>
      </w:r>
      <w:r>
        <w:rPr>
          <w:sz w:val="24"/>
          <w:szCs w:val="24"/>
          <w:lang w:val="en-US"/>
        </w:rPr>
        <w:t>postorder</w:t>
      </w:r>
      <w:r>
        <w:rPr>
          <w:sz w:val="24"/>
          <w:szCs w:val="24"/>
          <w:lang w:val="ru-RU"/>
        </w:rPr>
        <w:t>) по дереву,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поиск элемента, нахождение следующего и предыдущего элемента,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удаление элемента,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обход в ширину.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Реализовать визуализацию дерева. 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Указать теоретическую временную сложность для всех операций.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>
      <w:pPr>
        <w:pStyle w:val="2"/>
        <w:bidi w:val="0"/>
      </w:pPr>
      <w:bookmarkStart w:id="4" w:name="_Toc14052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20"/>
        <w:tblW w:w="9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1680"/>
        <w:gridCol w:w="240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3300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5910" w:type="dxa"/>
            <w:gridSpan w:val="3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3300" w:type="dxa"/>
            <w:vMerge w:val="continue"/>
            <w:vAlign w:val="center"/>
          </w:tcPr>
          <w:p>
            <w:pPr>
              <w:pStyle w:val="35"/>
            </w:pPr>
          </w:p>
        </w:tc>
        <w:tc>
          <w:tcPr>
            <w:tcW w:w="1680" w:type="dxa"/>
            <w:vAlign w:val="center"/>
          </w:tcPr>
          <w:p>
            <w:pPr>
              <w:pStyle w:val="35"/>
              <w:ind w:firstLine="0" w:firstLineChars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Лучший случай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ind w:firstLine="0" w:firstLineChars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Средний случай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ind w:firstLine="0" w:firstLineChars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Худший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bookmarkStart w:id="8" w:name="_Toc27089"/>
            <w:r>
              <w:rPr>
                <w:rFonts w:hint="default"/>
                <w:lang w:val="ru-RU"/>
              </w:rPr>
              <w:t>Нахождение минимума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O(h), h - </w:t>
            </w:r>
            <w:r>
              <w:rPr>
                <w:rFonts w:hint="default"/>
                <w:lang w:val="ru-RU"/>
              </w:rPr>
              <w:t>высота дерева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Нахождение максимума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 xml:space="preserve">O(h), h - </w:t>
            </w:r>
            <w:r>
              <w:rPr>
                <w:rFonts w:hint="default"/>
                <w:lang w:val="ru-RU"/>
              </w:rPr>
              <w:t>высота дерева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Прямой обход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Центрированный обход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Обратный обход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Поиск элемента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Нахождение следующего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Нахождение предыдущего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Удаление элемента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jc w:val="center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Обход в ширину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</w:tbl>
    <w:p>
      <w:pPr>
        <w:pStyle w:val="2"/>
      </w:pPr>
      <w:bookmarkStart w:id="9" w:name="_Toc31347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Использование </w:t>
      </w:r>
      <w:r>
        <w:rPr>
          <w:rFonts w:hint="default"/>
          <w:b/>
          <w:bCs/>
          <w:lang w:val="en-US"/>
        </w:rPr>
        <w:t xml:space="preserve">api </w:t>
      </w:r>
      <w:r>
        <w:rPr>
          <w:rFonts w:hint="default"/>
          <w:b/>
          <w:bCs/>
          <w:lang w:val="ru-RU"/>
        </w:rPr>
        <w:t>двоичного дерева поиска.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“MyBinaryTree.h”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&lt;iostream&gt;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int main() {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std::vector&lt;int&gt; v {5,1,8,3,-10,23,55};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BinarySearchTree&lt;int&gt; tree(v.begin(), v.end());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std::cout&lt;&lt;"min: "&lt;&lt;tree.getMin()&lt;&lt;"\nmax: "&lt;&lt;tree.getMax()&lt;&lt;"\n";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tree.inorderPrint();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tree.preorderPrint();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tree.preorderPrint();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 &lt;&lt; "is 1 in tree: " &lt;&lt; bool(tree.contains(1)) 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 &lt;&lt; "is 4 in tree: " &lt;&lt; bool(tree.contains(4))&lt;&lt;"\n";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std::cout&lt;&lt;"next after 5"&lt;&lt;tree.findPreorderSuccessor(5)&lt;&lt;"\n";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std::cout&lt;&lt;"next before 5"&lt;&lt;tree.findInorderSuccessor(5)&lt;&lt;"\n";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std::cout&lt;&lt;"bfs:\n";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tree.bfsPrint();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tree.remove(5);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std::cout&lt;&lt;"beauty print after 5 removed:\n";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tree.beautyPrint();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return 0;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 работы:</w:t>
      </w:r>
    </w:p>
    <w:p>
      <w:r>
        <w:drawing>
          <wp:inline distT="0" distB="0" distL="114300" distR="114300">
            <wp:extent cx="3943985" cy="3218815"/>
            <wp:effectExtent l="0" t="0" r="1841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Изменение нотации математического выражения.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“MyBinaryTree.h”</w:t>
      </w:r>
    </w:p>
    <w:p>
      <w:pPr>
        <w:rPr>
          <w:rFonts w:hint="default"/>
          <w:lang w:val="ru-RU"/>
        </w:rPr>
      </w:pPr>
      <w:r>
        <w:rPr>
          <w:rFonts w:hint="default"/>
          <w:sz w:val="20"/>
          <w:szCs w:val="20"/>
          <w:lang w:val="en-US"/>
        </w:rPr>
        <w:t>#include &lt;iostream&gt;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main(){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lang w:val="ru-RU"/>
        </w:rPr>
        <w:t xml:space="preserve">   </w:t>
      </w:r>
      <w:r>
        <w:rPr>
          <w:rFonts w:hint="default"/>
          <w:sz w:val="20"/>
          <w:szCs w:val="20"/>
          <w:lang w:val="ru-RU"/>
        </w:rPr>
        <w:t>MathExpression expr;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expr.parseExpr("-+/ABC*DE", Prefix);</w:t>
      </w:r>
    </w:p>
    <w:p>
      <w:pPr>
        <w:ind w:left="0" w:leftChars="0" w:firstLine="0" w:firstLineChars="0"/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std::cout&lt;&lt;"Infix 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expr.printInfix();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std::cout&lt;&lt;"Prefix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expr.printPrefix();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std::cout&lt;&lt;"Postfix: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expr.printPostfix();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std::cout&lt;&lt;"\ntree:\n";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expr.beautyPrint();</w:t>
      </w:r>
      <w:bookmarkStart w:id="12" w:name="_GoBack"/>
      <w:bookmarkEnd w:id="12"/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expr.parseExpr("KCDE**AB---", Postfix);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std::cout&lt;&lt;"Infix 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expr.printInfix();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std::cout&lt;&lt;"Prefix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expr.printPrefix();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std::cout&lt;&lt;"Postfix: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expr.printPostfix();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std::cout&lt;&lt;"\ntree:\n";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expr.beautyPrint();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626360" cy="3423920"/>
            <wp:effectExtent l="0" t="0" r="254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0" w:name="_Toc30347"/>
      <w:bookmarkStart w:id="11" w:name="_Toc29748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2CAE6BFB"/>
    <w:rsid w:val="3C6B7ACC"/>
    <w:rsid w:val="4559035C"/>
    <w:rsid w:val="45CA2622"/>
    <w:rsid w:val="62A62EA7"/>
    <w:rsid w:val="65B24013"/>
    <w:rsid w:val="69B73425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qFormat/>
    <w:uiPriority w:val="99"/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qFormat/>
    <w:uiPriority w:val="37"/>
  </w:style>
  <w:style w:type="character" w:customStyle="1" w:styleId="33">
    <w:name w:val="Текст примечания Знак"/>
    <w:basedOn w:val="4"/>
    <w:link w:val="12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qFormat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</TotalTime>
  <ScaleCrop>false</ScaleCrop>
  <LinksUpToDate>false</LinksUpToDate>
  <CharactersWithSpaces>2017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2022-11-09T11:00:09Z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A61C6B662FC54AE4AAB5C5E85C8CBE60</vt:lpwstr>
  </property>
</Properties>
</file>