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сред-</w:t>
      </w:r>
      <w:r>
        <w:t xml:space="preserve"> </w:t>
      </w:r>
      <w:r>
        <w:t xml:space="preserve">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шаблон сценария для NS-2;</w:t>
      </w:r>
    </w:p>
    <w:p>
      <w:pPr>
        <w:numPr>
          <w:ilvl w:val="0"/>
          <w:numId w:val="1001"/>
        </w:numPr>
        <w:pStyle w:val="Compact"/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усложнённой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кольцевой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5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Network Simulator (NS-2) — один из программных симуляторов моделирования</w:t>
      </w:r>
      <w:r>
        <w:t xml:space="preserve"> </w:t>
      </w:r>
      <w:r>
        <w:t xml:space="preserve">процессов в компьютерных сетях. NS-2 позволяет описать топологию сети, кон-</w:t>
      </w:r>
      <w:r>
        <w:t xml:space="preserve"> </w:t>
      </w:r>
      <w:r>
        <w:t xml:space="preserve">фигурацию источников и приёмников трафика, параметры соединений (полосу</w:t>
      </w:r>
      <w:r>
        <w:t xml:space="preserve"> </w:t>
      </w:r>
      <w:r>
        <w:t xml:space="preserve">пропускания, задержку, вероятность потерь пакетов и т.д.) и множество других</w:t>
      </w:r>
      <w:r>
        <w:t xml:space="preserve"> </w:t>
      </w:r>
      <w:r>
        <w:t xml:space="preserve">параметров моделируемой системы. Данные о динамике трафика, состоянии со-</w:t>
      </w:r>
      <w:r>
        <w:t xml:space="preserve"> </w:t>
      </w:r>
      <w:r>
        <w:t xml:space="preserve">единений и объектов сети, а также информация о работе протоколов фиксируются</w:t>
      </w:r>
      <w:r>
        <w:t xml:space="preserve"> </w:t>
      </w:r>
      <w:r>
        <w:t xml:space="preserve">в генерируемом trace-файле</w:t>
      </w:r>
      <w:r>
        <w:t xml:space="preserve"> </w:t>
      </w:r>
      <w:r>
        <w:t xml:space="preserve"># Выполнение лабораторной работы</w:t>
      </w:r>
    </w:p>
    <w:p>
      <w:pPr>
        <w:pStyle w:val="BodyText"/>
      </w:pPr>
      <w:r>
        <w:t xml:space="preserve">Создали директорию и файл shablon.tcl(рис. 1).</w:t>
      </w:r>
    </w:p>
    <w:p>
      <w:pPr>
        <w:pStyle w:val="CaptionedFigure"/>
      </w:pPr>
      <w:bookmarkStart w:id="25" w:name="fig:1"/>
      <w:r>
        <w:drawing>
          <wp:inline>
            <wp:extent cx="5334000" cy="3000375"/>
            <wp:effectExtent b="0" l="0" r="0" t="0"/>
            <wp:docPr descr="Рис. 1: Директор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Директория</w:t>
      </w:r>
    </w:p>
    <w:p>
      <w:pPr>
        <w:pStyle w:val="BodyText"/>
      </w:pPr>
      <w:r>
        <w:t xml:space="preserve">Создали шаблон, который будем использовать в дальнейшем (рис. 2).</w:t>
      </w:r>
    </w:p>
    <w:p>
      <w:pPr>
        <w:pStyle w:val="CaptionedFigure"/>
      </w:pPr>
      <w:bookmarkStart w:id="29" w:name="fig:2"/>
      <w:r>
        <w:drawing>
          <wp:inline>
            <wp:extent cx="5334000" cy="3000375"/>
            <wp:effectExtent b="0" l="0" r="0" t="0"/>
            <wp:docPr descr="Рис. 2: Шаблон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Шаблон</w:t>
      </w:r>
    </w:p>
    <w:p>
      <w:pPr>
        <w:pStyle w:val="BodyText"/>
      </w:pPr>
      <w:r>
        <w:t xml:space="preserve">Простой пример описания топологии сети, состоящей из двух</w:t>
      </w:r>
      <w:r>
        <w:t xml:space="preserve"> </w:t>
      </w:r>
      <w:r>
        <w:t xml:space="preserve">узлов и одного соединения (рис. 3).</w:t>
      </w:r>
    </w:p>
    <w:p>
      <w:pPr>
        <w:pStyle w:val="CaptionedFigure"/>
      </w:pPr>
      <w:bookmarkStart w:id="33" w:name="fig:3"/>
      <w:r>
        <w:drawing>
          <wp:inline>
            <wp:extent cx="5334000" cy="3000375"/>
            <wp:effectExtent b="0" l="0" r="0" t="0"/>
            <wp:docPr descr="Рис. 3: пример 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пример 1</w:t>
      </w:r>
    </w:p>
    <w:p>
      <w:pPr>
        <w:pStyle w:val="BodyText"/>
      </w:pPr>
      <w:r>
        <w:t xml:space="preserve">Пример с усложнённой топологией сети (рис. 4).</w:t>
      </w:r>
    </w:p>
    <w:p>
      <w:pPr>
        <w:pStyle w:val="CaptionedFigure"/>
      </w:pPr>
      <w:bookmarkStart w:id="37" w:name="fig:4"/>
      <w:r>
        <w:drawing>
          <wp:inline>
            <wp:extent cx="5334000" cy="3000375"/>
            <wp:effectExtent b="0" l="0" r="0" t="0"/>
            <wp:docPr descr="Рис. 4: пример 2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пример 2</w:t>
      </w:r>
    </w:p>
    <w:p>
      <w:pPr>
        <w:pStyle w:val="BodyText"/>
      </w:pPr>
      <w:r>
        <w:t xml:space="preserve">Пример с кольцевой топологией сети, где при разрыве соединения маршрут передачи данных не изменится (рис. 5).</w:t>
      </w:r>
    </w:p>
    <w:p>
      <w:pPr>
        <w:pStyle w:val="CaptionedFigure"/>
      </w:pPr>
      <w:bookmarkStart w:id="41" w:name="fig:5"/>
      <w:r>
        <w:drawing>
          <wp:inline>
            <wp:extent cx="5334000" cy="3000375"/>
            <wp:effectExtent b="0" l="0" r="0" t="0"/>
            <wp:docPr descr="Рис. 5: пример 3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пример 3</w:t>
      </w:r>
    </w:p>
    <w:p>
      <w:pPr>
        <w:pStyle w:val="BodyText"/>
      </w:pPr>
      <w:r>
        <w:t xml:space="preserve">Пример с кольцевой топологией сети, где при разрыве соединения маршрут передачи данных изменится на резервный(рис. 6).</w:t>
      </w:r>
    </w:p>
    <w:p>
      <w:pPr>
        <w:pStyle w:val="CaptionedFigure"/>
      </w:pPr>
      <w:bookmarkStart w:id="45" w:name="fig:6"/>
      <w:r>
        <w:drawing>
          <wp:inline>
            <wp:extent cx="5334000" cy="3000375"/>
            <wp:effectExtent b="0" l="0" r="0" t="0"/>
            <wp:docPr descr="Рис. 6: пример 3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пример 3</w:t>
      </w:r>
    </w:p>
    <w:p>
      <w:pPr>
        <w:pStyle w:val="BodyText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</w:t>
      </w:r>
      <w:r>
        <w:t xml:space="preserve"> </w:t>
      </w:r>
      <w:r>
        <w:t xml:space="preserve">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n(1)(рис. 7), (8).</w:t>
      </w:r>
    </w:p>
    <w:p>
      <w:pPr>
        <w:pStyle w:val="CaptionedFigure"/>
      </w:pPr>
      <w:bookmarkStart w:id="49" w:name="fig:7"/>
      <w:r>
        <w:drawing>
          <wp:inline>
            <wp:extent cx="5334000" cy="3000375"/>
            <wp:effectExtent b="0" l="0" r="0" t="0"/>
            <wp:docPr descr="Рис. 7: Передача данных по сети в случае разрыва соединен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Передача данных по сети в случае разрыва соединения</w:t>
      </w:r>
    </w:p>
    <w:p>
      <w:pPr>
        <w:pStyle w:val="CaptionedFigure"/>
      </w:pPr>
      <w:bookmarkStart w:id="53" w:name="fig:8"/>
      <w:r>
        <w:drawing>
          <wp:inline>
            <wp:extent cx="5334000" cy="3000375"/>
            <wp:effectExtent b="0" l="0" r="0" t="0"/>
            <wp:docPr descr="Рис. 8: Программа для упражнения по построению топологии сет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Программа для упражнения по построению топологии сети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Горяйнова Алёна Андреевна</dc:creator>
  <dc:language>ru-RU</dc:language>
  <cp:keywords/>
  <dcterms:created xsi:type="dcterms:W3CDTF">2025-02-14T14:12:15Z</dcterms:created>
  <dcterms:modified xsi:type="dcterms:W3CDTF">2025-02-14T14:12:15Z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Простые модели компьютерной сети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