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t xml:space="preserve">LLM-Powered Personalized Health Education Assistant</w:t>
      </w:r>
    </w:p>
    <w:p>
      <w:pPr>
        <w:spacing w:after="400"/>
        <w:jc w:val="center"/>
      </w:pPr>
      <w:r>
        <w:t xml:space="preserve">Bridging Health Literacy Gaps Through AI-Driven Patient Education</w:t>
      </w:r>
    </w:p>
    <w:p>
      <w:pPr>
        <w:pStyle w:val="Heading2"/>
        <w:spacing w:after="100" w:before="200"/>
      </w:pPr>
      <w:r>
        <w:t xml:space="preserve">THE PROBLEM: Low Health Literacy Crisis</w:t>
      </w:r>
    </w:p>
    <w:p>
      <w:pPr>
        <w:spacing w:after="100"/>
      </w:pPr>
      <w:r>
        <w:t xml:space="preserve">Nearly half of adults worldwide struggle with low health literacy—they can't reliably understand medical information, interpret symptoms, or make informed health decisions. This gap leads to poor medication adherence, unnecessary hospitalizations, preventable complications, and billions in wasted healthcare costs.</w:t>
      </w:r>
    </w:p>
    <w:p>
      <w:pPr>
        <w:pStyle w:val="Heading3"/>
        <w:spacing w:after="50" w:before="100"/>
      </w:pPr>
      <w:r>
        <w:t xml:space="preserve">The Scale of the Crisis</w:t>
      </w:r>
    </w:p>
    <w:p>
      <w:pPr>
        <w:spacing w:after="50"/>
      </w:pPr>
      <w:r>
        <w:t xml:space="preserve">Global Statistics:</w:t>
      </w:r>
    </w:p>
    <w:p>
      <w:pPr>
        <w:spacing w:after="25" w:line="240"/>
      </w:pPr>
      <w:r>
        <w:t xml:space="preserve">Europe: 46% have low health literacy</w:t>
      </w:r>
    </w:p>
    <w:p>
      <w:pPr>
        <w:spacing w:after="25" w:line="240"/>
      </w:pPr>
      <w:r>
        <w:t xml:space="preserve">United States: 88% lack proficient health literacy</w:t>
      </w:r>
    </w:p>
    <w:p>
      <w:pPr>
        <w:spacing w:after="25" w:line="240"/>
      </w:pPr>
      <w:r>
        <w:t xml:space="preserve">Australia &amp; Canada: 60% have low health literacy</w:t>
      </w:r>
    </w:p>
    <w:p>
      <w:pPr>
        <w:spacing w:after="25" w:line="240"/>
      </w:pPr>
      <w:r>
        <w:t xml:space="preserve">China: 70% struggle with health literacy</w:t>
      </w:r>
    </w:p>
    <w:p>
      <w:pPr>
        <w:spacing w:after="100" w:line="240"/>
      </w:pPr>
      <w:r>
        <w:t xml:space="preserve">Global estimate: 1 in 4 people have low health literacy</w:t>
      </w:r>
    </w:p>
    <w:p>
      <w:pPr>
        <w:spacing w:after="50"/>
      </w:pPr>
      <w:r>
        <w:t xml:space="preserve">Key Consequences:</w:t>
      </w:r>
    </w:p>
    <w:p>
      <w:pPr>
        <w:spacing w:after="25" w:line="240"/>
      </w:pPr>
      <w:r>
        <w:t xml:space="preserve">Increased hospitalizations and emergency care visits</w:t>
      </w:r>
    </w:p>
    <w:p>
      <w:pPr>
        <w:spacing w:after="25" w:line="240"/>
      </w:pPr>
      <w:r>
        <w:t xml:space="preserve">Reduced use of preventive services</w:t>
      </w:r>
    </w:p>
    <w:p>
      <w:pPr>
        <w:spacing w:after="25" w:line="240"/>
      </w:pPr>
      <w:r>
        <w:t xml:space="preserve">Inability to interpret medication labels and health messages</w:t>
      </w:r>
    </w:p>
    <w:p>
      <w:pPr>
        <w:spacing w:after="25" w:line="240"/>
      </w:pPr>
      <w:r>
        <w:t xml:space="preserve">Higher mortality rates and healthcare costs</w:t>
      </w:r>
    </w:p>
    <w:p>
      <w:pPr>
        <w:spacing w:after="25" w:line="240"/>
      </w:pPr>
      <w:r>
        <w:t xml:space="preserve">Low health literacy costs the US economy ~$200 billion annually</w:t>
      </w:r>
    </w:p>
    <w:p>
      <w:pPr>
        <w:spacing w:after="100" w:line="240"/>
      </w:pPr>
      <w:r>
        <w:t xml:space="preserve">Potential savings: $25+ billion yearly in the US alone with improved health literacy</w:t>
      </w:r>
    </w:p>
    <w:p>
      <w:pPr>
        <w:pStyle w:val="Heading3"/>
        <w:spacing w:after="50" w:before="100"/>
      </w:pPr>
      <w:r>
        <w:t xml:space="preserve">Vulnerable Populations</w:t>
      </w:r>
    </w:p>
    <w:p>
      <w:pPr>
        <w:spacing w:after="200"/>
      </w:pPr>
      <w:r>
        <w:t xml:space="preserve">Low-income groups, immigrants, elderly populations, racial minorities, and rural communities are disproportionately affected by poor health literacy. These groups often lack access to trusted health information sources and face language, cultural, and systemic barriers.</w:t>
      </w:r>
    </w:p>
    <w:p>
      <w:pPr>
        <w:pStyle w:val="Heading2"/>
        <w:spacing w:after="100" w:before="200"/>
      </w:pPr>
      <w:r>
        <w:t xml:space="preserve">THE SOLUTION: AI-Powered Health Education Assistant</w:t>
      </w:r>
    </w:p>
    <w:p>
      <w:pPr>
        <w:spacing w:after="150"/>
      </w:pPr>
      <w:r>
        <w:t xml:space="preserve">An intelligent AI assistant that translates complex medical information into plain language, explains health data, and guides users toward appropriate care—while always directing them to qualified clinicians for diagnosis and treatment.</w:t>
      </w:r>
    </w:p>
    <w:p>
      <w:pPr>
        <w:pStyle w:val="Heading3"/>
        <w:spacing w:after="50" w:before="100"/>
      </w:pPr>
      <w:r>
        <w:t xml:space="preserve">Core Features (MVP)</w:t>
      </w:r>
    </w:p>
    <w:p>
      <w:pPr>
        <w:spacing w:after="25" w:before="50"/>
      </w:pPr>
      <w:r>
        <w:t xml:space="preserve">1. Medical Report Interpreter</w:t>
      </w:r>
    </w:p>
    <w:p>
      <w:pPr>
        <w:spacing w:after="50"/>
      </w:pPr>
      <w:r>
        <w:t xml:space="preserve">Upload or paste lab results, prescription instructions, or discharge summaries to receive plain-language explanations. Users understand what's normal, abnormal, urgent, or worth monitoring, plus questions to ask their doctor.</w:t>
      </w:r>
    </w:p>
    <w:p>
      <w:pPr>
        <w:spacing w:after="25" w:before="50"/>
      </w:pPr>
      <w:r>
        <w:t xml:space="preserve">2. Symptom Context Guide</w:t>
      </w:r>
    </w:p>
    <w:p>
      <w:pPr>
        <w:spacing w:after="50"/>
      </w:pPr>
      <w:r>
        <w:t xml:space="preserve">Users describe symptoms in natural language and receive ranked possible causes with clear disclaimers. Guidance on when to seek urgent vs. routine care without false reassurance or unnecessary alarm.</w:t>
      </w:r>
    </w:p>
    <w:p>
      <w:pPr>
        <w:spacing w:after="25" w:before="50"/>
      </w:pPr>
      <w:r>
        <w:t xml:space="preserve">3. Medication Education</w:t>
      </w:r>
    </w:p>
    <w:p>
      <w:pPr>
        <w:spacing w:after="50"/>
      </w:pPr>
      <w:r>
        <w:t xml:space="preserve">Simple explanations of medication purposes, dosing schedules, potential side effects, and warnings about dangerous drug interactions (verified with a pharmacist).</w:t>
      </w:r>
    </w:p>
    <w:p>
      <w:pPr>
        <w:spacing w:after="25" w:before="50"/>
      </w:pPr>
      <w:r>
        <w:t xml:space="preserve">4. Personalized Learning Path</w:t>
      </w:r>
    </w:p>
    <w:p>
      <w:pPr>
        <w:spacing w:after="50"/>
      </w:pPr>
      <w:r>
        <w:t xml:space="preserve">Assess user health literacy level and deliver bite-sized educational content matched to their comprehension level, with progress tracking and concept reinforcement.</w:t>
      </w:r>
    </w:p>
    <w:p>
      <w:pPr>
        <w:spacing w:after="25" w:before="50"/>
      </w:pPr>
      <w:r>
        <w:t xml:space="preserve">5. Multilingual &amp; Culturally Adaptive Support</w:t>
      </w:r>
    </w:p>
    <w:p>
      <w:pPr>
        <w:spacing w:after="200"/>
      </w:pPr>
      <w:r>
        <w:t xml:space="preserve">Translate health information into preferred languages and adapt explanations to cultural contexts and local healthcare systems.</w:t>
      </w:r>
    </w:p>
    <w:p>
      <w:pPr>
        <w:pStyle w:val="Heading3"/>
        <w:spacing w:after="50" w:before="100"/>
      </w:pPr>
      <w:r>
        <w:t xml:space="preserve">Technical Architecture</w:t>
      </w:r>
    </w:p>
    <w:p>
      <w:pPr>
        <w:spacing w:after="50"/>
      </w:pPr>
      <w:r>
        <w:t xml:space="preserve">Key Components (Model-Agnostic):</w:t>
      </w:r>
    </w:p>
    <w:p>
      <w:pPr>
        <w:spacing w:after="50"/>
      </w:pPr>
      <w:r>
        <w:t xml:space="preserve">LLM Foundation: Compatible with any state-of-the-art language model (Claude, GPT, Llama, Mistral, etc.). Prioritize models with strong reasoning capabilities and low hallucination rates.</w:t>
      </w:r>
    </w:p>
    <w:p>
      <w:pPr>
        <w:spacing w:after="50"/>
      </w:pPr>
      <w:r>
        <w:t xml:space="preserve">Retrieval-Augmented Generation (RAG): Ground all responses in authoritative, verified sources including WHO, CDC, NHS, MedlinePlus, and peer-reviewed medical databases to ensure accuracy and prevent misinformation.</w:t>
      </w:r>
    </w:p>
    <w:p>
      <w:pPr>
        <w:spacing w:after="50"/>
      </w:pPr>
      <w:r>
        <w:t xml:space="preserve">Safety Layer &amp; Guardrails: Implement robust checks to prevent medical advice beyond scope. Include clear disclaimers, confidence scores, and escalation paths to qualified healthcare providers.</w:t>
      </w:r>
    </w:p>
    <w:p>
      <w:pPr>
        <w:spacing w:after="50"/>
      </w:pPr>
      <w:r>
        <w:t xml:space="preserve">Health Literacy Assessment: Use validated scales (eHEALS) to measure user comprehension improvements. Adapt content difficulty dynamically based on user responses.</w:t>
      </w:r>
    </w:p>
    <w:p>
      <w:pPr>
        <w:spacing w:after="200"/>
      </w:pPr>
      <w:r>
        <w:t xml:space="preserve">Privacy &amp; Data Security: Minimize sensitive data storage. Use on-device processing where feasible. Comply with HIPAA and GDPR requirements.</w:t>
      </w:r>
    </w:p>
    <w:p>
      <w:pPr>
        <w:pStyle w:val="Heading3"/>
        <w:spacing w:after="50" w:before="100"/>
      </w:pPr>
      <w:r>
        <w:t xml:space="preserve">Critical Risk Mitigation</w:t>
      </w:r>
    </w:p>
    <w:p>
      <w:pPr>
        <w:spacing w:after="50"/>
      </w:pPr>
      <w:r>
        <w:t xml:space="preserve">Misinformation: All outputs must be grounded in authoritative medical sources with source attribution.</w:t>
      </w:r>
    </w:p>
    <w:p>
      <w:pPr>
        <w:spacing w:after="50"/>
      </w:pPr>
      <w:r>
        <w:t xml:space="preserve">Overconfidence: Make AI limitations explicit. Include clear warnings that the assistant cannot diagnose or replace clinical judgment.</w:t>
      </w:r>
    </w:p>
    <w:p>
      <w:pPr>
        <w:spacing w:after="50"/>
      </w:pPr>
      <w:r>
        <w:t xml:space="preserve">Hallucination: Implement confidence thresholds and fallback mechanisms when the model is uncertain. Always flag uncertainty to users.</w:t>
      </w:r>
    </w:p>
    <w:p>
      <w:pPr>
        <w:spacing w:after="200"/>
      </w:pPr>
      <w:r>
        <w:t xml:space="preserve">Bias &amp; Equity: Test across diverse populations to ensure explanations are culturally appropriate and don't perpetuate healthcare disparities.</w:t>
      </w:r>
    </w:p>
    <w:p>
      <w:pPr>
        <w:pStyle w:val="Heading3"/>
        <w:spacing w:after="50" w:before="100"/>
      </w:pPr>
      <w:r>
        <w:t xml:space="preserve">Sample User Flow</w:t>
      </w:r>
    </w:p>
    <w:p>
      <w:pPr>
        <w:spacing w:after="50"/>
      </w:pPr>
      <w:r>
        <w:t xml:space="preserve">Scenario: Blood Test Report with Elevated HbA1c</w:t>
      </w:r>
    </w:p>
    <w:p>
      <w:pPr>
        <w:spacing w:after="25"/>
      </w:pPr>
      <w:r>
        <w:t xml:space="preserve">User uploads a blood test showing HbA1c of 7.2%</w:t>
      </w:r>
    </w:p>
    <w:p>
      <w:pPr>
        <w:spacing w:after="25"/>
      </w:pPr>
      <w:r>
        <w:t xml:space="preserve">Assistant explains: "Your HbA1c measures average blood sugar over 3 months. Normal is below 5.7%. Your result of 7.2% suggests prediabetes or diabetes. This doesn't diagnose you—your doctor will consider other factors."</w:t>
      </w:r>
    </w:p>
    <w:p>
      <w:pPr>
        <w:spacing w:after="25"/>
      </w:pPr>
      <w:r>
        <w:t xml:space="preserve">Assistant provides:</w:t>
      </w:r>
    </w:p>
    <w:p>
      <w:pPr>
        <w:spacing w:after="0" w:line="240"/>
      </w:pPr>
      <w:r>
        <w:t xml:space="preserve">Simple explanation of HbA1c</w:t>
      </w:r>
    </w:p>
    <w:p>
      <w:pPr>
        <w:spacing w:after="0" w:line="240"/>
      </w:pPr>
      <w:r>
        <w:t xml:space="preserve">Lifestyle factors that affect blood sugar</w:t>
      </w:r>
    </w:p>
    <w:p>
      <w:pPr>
        <w:spacing w:after="50" w:line="240"/>
      </w:pPr>
      <w:r>
        <w:t xml:space="preserve">Three key questions to ask the doctor</w:t>
      </w:r>
    </w:p>
    <w:p>
      <w:pPr>
        <w:spacing w:after="200"/>
      </w:pPr>
      <w:r>
        <w:t xml:space="preserve">Assistant includes critical disclaimer: "Don't change medications or diet based only on this result. Schedule an appointment with your healthcare provider for proper evaluation."</w:t>
      </w:r>
    </w:p>
    <w:p>
      <w:pPr>
        <w:pStyle w:val="Heading3"/>
        <w:spacing w:after="50" w:before="100"/>
      </w:pPr>
      <w:r>
        <w:t xml:space="preserve">Impact Potential</w:t>
      </w:r>
    </w:p>
    <w:p>
      <w:pPr>
        <w:spacing w:after="50"/>
      </w:pPr>
      <w:r>
        <w:t xml:space="preserve">Reducing low health literacy by just 25% across 40 countries could save health systems an estimated $303 billion annually. This solution provides a scalable, accessible tool to improve health literacy—particularly for underserved communities with limited access to traditional health education resources.</w:t>
      </w:r>
    </w:p>
    <w:p>
      <w:pPr>
        <w:spacing w:after="25" w:before="50"/>
      </w:pPr>
      <w:r>
        <w:t xml:space="preserve">Expected Outcomes:</w:t>
      </w:r>
    </w:p>
    <w:p>
      <w:pPr>
        <w:spacing w:after="0" w:line="240"/>
      </w:pPr>
      <w:r>
        <w:t xml:space="preserve">Improved patient comprehension of health information</w:t>
      </w:r>
    </w:p>
    <w:p>
      <w:pPr>
        <w:spacing w:after="0" w:line="240"/>
      </w:pPr>
      <w:r>
        <w:t xml:space="preserve">Reduced hospitalizations and emergency visits</w:t>
      </w:r>
    </w:p>
    <w:p>
      <w:pPr>
        <w:spacing w:after="0" w:line="240"/>
      </w:pPr>
      <w:r>
        <w:t xml:space="preserve">Better medication adherence and health outcomes</w:t>
      </w:r>
    </w:p>
    <w:p>
      <w:pPr>
        <w:spacing w:after="0" w:line="240"/>
      </w:pPr>
      <w:r>
        <w:t xml:space="preserve">Increased preventive care utilization</w:t>
      </w:r>
    </w:p>
    <w:p>
      <w:pPr>
        <w:spacing w:after="200" w:line="240"/>
      </w:pPr>
      <w:r>
        <w:t xml:space="preserve">Significant cost savings across healthcare systems</w:t>
      </w:r>
    </w:p>
    <w:p>
      <w:pPr>
        <w:pStyle w:val="Heading2"/>
        <w:spacing w:after="100" w:before="200"/>
      </w:pPr>
      <w:r>
        <w:t xml:space="preserve">Next Steps for Implementation</w:t>
      </w:r>
    </w:p>
    <w:p>
      <w:pPr>
        <w:spacing w:after="50"/>
      </w:pPr>
      <w:r>
        <w:t xml:space="preserve">1. Select and integrate LLM platform</w:t>
      </w:r>
    </w:p>
    <w:p>
      <w:pPr>
        <w:spacing w:after="50"/>
      </w:pPr>
      <w:r>
        <w:t xml:space="preserve">2. Build RAG system with trusted medical sources</w:t>
      </w:r>
    </w:p>
    <w:p>
      <w:pPr>
        <w:spacing w:after="50"/>
      </w:pPr>
      <w:r>
        <w:t xml:space="preserve">3. Develop safety guardrails and validation framework</w:t>
      </w:r>
    </w:p>
    <w:p>
      <w:pPr>
        <w:spacing w:after="50"/>
      </w:pPr>
      <w:r>
        <w:t xml:space="preserve">4. Create user testing protocol with diverse populations</w:t>
      </w:r>
    </w:p>
    <w:p>
      <w:pPr>
        <w:spacing w:after="50"/>
      </w:pPr>
      <w:r>
        <w:t xml:space="preserve">5. Implement health literacy assessment tools</w:t>
      </w:r>
    </w:p>
    <w:p>
      <w:pPr>
        <w:spacing w:after="200"/>
      </w:pPr>
      <w:r>
        <w:t xml:space="preserve">6. Launch pilot program in target communities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2026-10-02T13:59:23.801Z</dcterms:created>
  <dcterms:modified xsi:type="dcterms:W3CDTF">2026-10-02T13:59:23.801Z</dcterms:modified>
</cp:coreProperties>
</file>

<file path=docProps/custom.xml><?xml version="1.0" encoding="utf-8"?>
<Properties xmlns="http://schemas.openxmlformats.org/officeDocument/2006/custom-properties" xmlns:vt="http://schemas.openxmlformats.org/officeDocument/2006/docPropsVTypes"/>
</file>