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left"/>
      </w:pPr>
      <w:r>
        <w:rPr>
          <w:b/>
          <w:color w:val="00BCB4"/>
          <w:sz w:val="20"/>
        </w:rPr>
        <w:t>SALUD PROTEGIDA</w:t>
      </w:r>
    </w:p>
    <w:p>
      <w:pPr>
        <w:spacing w:after="80"/>
      </w:pPr>
      <w:r>
        <w:rPr>
          <w:b/>
          <w:color w:val="003B71"/>
          <w:sz w:val="52"/>
        </w:rPr>
        <w:t>01 · Brief Maestro de Rediseño Web</w:t>
      </w:r>
    </w:p>
    <w:p>
      <w:pPr>
        <w:spacing w:after="320"/>
      </w:pPr>
      <w:r>
        <w:rPr>
          <w:b w:val="0"/>
          <w:color w:val="3D3D3D"/>
          <w:sz w:val="24"/>
        </w:rPr>
        <w:t>Dirección estratégica, marca, audiencias, tono y principios no negociables</w:t>
      </w:r>
    </w:p>
    <w:p>
      <w:pPr>
        <w:spacing w:after="320"/>
      </w:pPr>
      <w:r>
        <w:rPr>
          <w:b w:val="0"/>
          <w:color w:val="6B6B6B"/>
          <w:sz w:val="18"/>
        </w:rPr>
        <w:t>Paquete para rediseño web desde cero · Junio 2026</w:t>
      </w:r>
    </w:p>
    <w:tbl>
      <w:tblPr>
        <w:tblW w:type="auto" w:w="0"/>
        <w:jc w:val="center"/>
        <w:tblLook w:firstColumn="1" w:firstRow="1" w:lastColumn="0" w:lastRow="0" w:noHBand="0" w:noVBand="1" w:val="04A0"/>
      </w:tblPr>
      <w:tblGrid>
        <w:gridCol w:w="10368"/>
      </w:tblGrid>
      <w:tr>
        <w:tc>
          <w:tcPr>
            <w:tcW w:type="dxa" w:w="10368"/>
            <w:shd w:fill="E6F7F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ind w:left="43" w:right="43"/>
            </w:pPr>
            <w:r>
              <w:rPr>
                <w:b/>
                <w:color w:val="003B71"/>
                <w:sz w:val="21"/>
              </w:rPr>
              <w:t>Uso del documento</w:t>
            </w:r>
          </w:p>
          <w:p>
            <w:pPr>
              <w:spacing w:after="0"/>
              <w:ind w:left="43" w:right="43"/>
            </w:pPr>
            <w:r>
              <w:t>Este archivo debe usarse para alinear al proveedor antes de cotizar y antes de diseñar. No es una inspiración visual: es criterio de negocio, marca, conversión y experiencia.</w:t>
            </w:r>
          </w:p>
        </w:tc>
      </w:tr>
    </w:tbl>
    <w:p/>
    <w:p>
      <w:r>
        <w:rPr>
          <w:i/>
        </w:rPr>
        <w:t>Fuentes internas consideradas: Plan Estratégico 2026–2029, Resumen Ejecutivo, investigación de referencias web, y revisión del protocolo actual de planes.</w:t>
      </w:r>
    </w:p>
    <w:p>
      <w:r>
        <w:br w:type="page"/>
      </w:r>
    </w:p>
    <w:tbl>
      <w:tblPr>
        <w:tblW w:type="auto" w:w="0"/>
        <w:jc w:val="center"/>
        <w:tblLook w:firstColumn="1" w:firstRow="1" w:lastColumn="0" w:lastRow="0" w:noHBand="0" w:noVBand="1" w:val="04A0"/>
      </w:tblPr>
      <w:tblGrid>
        <w:gridCol w:w="10368"/>
      </w:tblGrid>
      <w:tr>
        <w:tc>
          <w:tcPr>
            <w:tcW w:type="dxa" w:w="10368"/>
            <w:shd w:fill="FFF7E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ind w:left="43" w:right="43"/>
            </w:pPr>
            <w:r>
              <w:rPr>
                <w:b/>
                <w:color w:val="003B71"/>
                <w:sz w:val="21"/>
              </w:rPr>
              <w:t>Regla de lectura</w:t>
            </w:r>
          </w:p>
          <w:p>
            <w:pPr>
              <w:spacing w:after="0"/>
              <w:ind w:left="43" w:right="43"/>
            </w:pPr>
            <w:r>
              <w:t>Leer este documento completo antes de pasar a diseño. Cualquier propuesta que contradiga estos criterios debe justificarlo explícitamente.</w:t>
            </w:r>
          </w:p>
        </w:tc>
      </w:tr>
    </w:tbl>
    <w:p/>
    <w:p>
      <w:pPr>
        <w:pStyle w:val="Heading1"/>
      </w:pPr>
      <w:r>
        <w:t>1. Contexto y mandato</w:t>
      </w:r>
    </w:p>
    <w:p>
      <w:r>
        <w:t>Salud Protegida entra en una nueva etapa estratégica. El rediseño web no debe tratarse como una actualización visual, sino como una pieza central para recuperar confianza, explicar valor, generar leads trazables y acompañar al cliente antes, durante y después de contratar.</w:t>
      </w:r>
    </w:p>
    <w:tbl>
      <w:tblPr>
        <w:tblW w:type="auto" w:w="0"/>
        <w:jc w:val="center"/>
        <w:tblLook w:firstColumn="1" w:firstRow="1" w:lastColumn="0" w:lastRow="0" w:noHBand="0" w:noVBand="1" w:val="04A0"/>
      </w:tblPr>
      <w:tblGrid>
        <w:gridCol w:w="10368"/>
      </w:tblGrid>
      <w:tr>
        <w:tc>
          <w:tcPr>
            <w:tcW w:type="dxa" w:w="10368"/>
            <w:shd w:fill="E6F7F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ind w:left="43" w:right="43"/>
            </w:pPr>
            <w:r>
              <w:rPr>
                <w:b/>
                <w:color w:val="003B71"/>
                <w:sz w:val="21"/>
              </w:rPr>
              <w:t>Mandato principal</w:t>
            </w:r>
          </w:p>
          <w:p>
            <w:pPr>
              <w:spacing w:after="0"/>
              <w:ind w:left="43" w:right="43"/>
            </w:pPr>
            <w:r>
              <w:t>La nueva web debe hacer tangible la promesa: “Protección que se siente”. La persona debe entender qué cubre, qué no cubre, qué plan le conviene, cómo usarlo y con quién hablar si necesita ayuda.</w:t>
            </w:r>
          </w:p>
        </w:tc>
      </w:tr>
    </w:tbl>
    <w:p/>
    <w:p>
      <w:pPr>
        <w:pStyle w:val="Heading1"/>
      </w:pPr>
      <w:r>
        <w:t>2. Problema de negocio que la web debe resolver</w:t>
      </w:r>
    </w:p>
    <w:p>
      <w:pPr>
        <w:pStyle w:val="ListBullet"/>
      </w:pPr>
      <w:r>
        <w:t>Baja claridad percibida: el usuario no entiende fácilmente la diferencia entre planes, condiciones, carencias, copagos o prestadores.</w:t>
      </w:r>
    </w:p>
    <w:p>
      <w:pPr>
        <w:pStyle w:val="ListBullet"/>
      </w:pPr>
      <w:r>
        <w:t>Baja confianza de categoría: el mercado teme costos ocultos y sorpresas cuando ya necesita atención médica.</w:t>
      </w:r>
    </w:p>
    <w:p>
      <w:pPr>
        <w:pStyle w:val="ListBullet"/>
      </w:pPr>
      <w:r>
        <w:t>Experiencia fragmentada: la web debe integrar comercial, atención, red, Lister, guía del asegurado y canales de contacto.</w:t>
      </w:r>
    </w:p>
    <w:p>
      <w:pPr>
        <w:pStyle w:val="ListBullet"/>
      </w:pPr>
      <w:r>
        <w:t>Necesidad de conversión medible: cada lead debe quedar trazable, con fuente, campaña, página de origen y plan de interés.</w:t>
      </w:r>
    </w:p>
    <w:p>
      <w:pPr>
        <w:pStyle w:val="Heading1"/>
      </w:pPr>
      <w:r>
        <w:t>3. Objetivos del rediseño</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304"/>
            <w:shd w:fill="003B71"/>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Pr>
          <w:p>
            <w:pPr>
              <w:jc w:val="center"/>
            </w:pPr>
            <w:r>
              <w:rPr>
                <w:b/>
                <w:color w:val="FFFFFF"/>
                <w:sz w:val="18"/>
              </w:rPr>
              <w:t>Objetivo</w:t>
            </w:r>
          </w:p>
        </w:tc>
        <w:tc>
          <w:tcPr>
            <w:tcW w:type="dxa" w:w="8064"/>
            <w:shd w:fill="003B71"/>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Pr>
          <w:p>
            <w:pPr>
              <w:jc w:val="center"/>
            </w:pPr>
            <w:r>
              <w:rPr>
                <w:b/>
                <w:color w:val="FFFFFF"/>
                <w:sz w:val="18"/>
              </w:rPr>
              <w:t>Definición operativa</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Posicionamiento</w:t>
            </w:r>
          </w:p>
        </w:tc>
        <w:tc>
          <w:tcPr>
            <w:tcW w:type="dxa" w:w="806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Presentar a SP como la prepaga clara, humana y confiable: sin letra chica, sin sorpresas y con acompañamiento real.</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Conversión</w:t>
            </w:r>
          </w:p>
        </w:tc>
        <w:tc>
          <w:tcPr>
            <w:tcW w:type="dxa" w:w="806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Generar leads calificados para planes individuales, familiares y corporativos, con formularios y WhatsApp integrados al seguimiento comercial.</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Claridad comercial</w:t>
            </w:r>
          </w:p>
        </w:tc>
        <w:tc>
          <w:tcPr>
            <w:tcW w:type="dxa" w:w="806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Ayudar a comparar planes, encontrar la red, entender condiciones y elegir con menos ansiedad.</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Experiencia del cliente</w:t>
            </w:r>
          </w:p>
        </w:tc>
        <w:tc>
          <w:tcPr>
            <w:tcW w:type="dxa" w:w="806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Dar acceso fácil a guía del asegurado, prestadores, Lister, autorizaciones, pagos, WhatsApp y portal.</w:t>
            </w:r>
          </w:p>
        </w:tc>
      </w:tr>
      <w:tr>
        <w:tc>
          <w:tcPr>
            <w:tcW w:type="dxa" w:w="230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Escalabilidad</w:t>
            </w:r>
          </w:p>
        </w:tc>
        <w:tc>
          <w:tcPr>
            <w:tcW w:type="dxa" w:w="8064"/>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Dejar base preparada para CRM, WhatsApp Business API, cartilla viva, simulador, portal cliente y portal empresas.</w:t>
            </w:r>
          </w:p>
        </w:tc>
      </w:tr>
    </w:tbl>
    <w:p/>
    <w:p>
      <w:pPr>
        <w:pStyle w:val="Heading1"/>
      </w:pPr>
      <w:r>
        <w:t>4. Principios no negociables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003B71"/>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Pr>
          <w:p>
            <w:pPr>
              <w:jc w:val="center"/>
            </w:pPr>
            <w:r>
              <w:rPr>
                <w:b/>
                <w:color w:val="FFFFFF"/>
                <w:sz w:val="18"/>
              </w:rPr>
              <w:t>Principio</w:t>
            </w:r>
          </w:p>
        </w:tc>
        <w:tc>
          <w:tcPr>
            <w:tcW w:type="dxa" w:w="7488"/>
            <w:shd w:fill="003B71"/>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Pr>
          <w:p>
            <w:pPr>
              <w:jc w:val="center"/>
            </w:pPr>
            <w:r>
              <w:rPr>
                <w:b/>
                <w:color w:val="FFFFFF"/>
                <w:sz w:val="18"/>
              </w:rPr>
              <w:t>Cómo se aplica</w:t>
            </w:r>
          </w:p>
        </w:tc>
      </w:tr>
      <w:tr>
        <w:tc>
          <w:tcPr>
            <w:tcW w:type="dxa" w:w="28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Claridad antes que creatividad</w:t>
            </w:r>
          </w:p>
        </w:tc>
        <w:tc>
          <w:tcPr>
            <w:tcW w:type="dxa" w:w="74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El diseño debe ayudar a decidir. Si una animación, layout o recurso visual complica la comprensión, se elimina.</w:t>
            </w:r>
          </w:p>
        </w:tc>
      </w:tr>
      <w:tr>
        <w:tc>
          <w:tcPr>
            <w:tcW w:type="dxa" w:w="28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Humano antes que corporativo</w:t>
            </w:r>
          </w:p>
        </w:tc>
        <w:tc>
          <w:tcPr>
            <w:tcW w:type="dxa" w:w="74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El tono debe sentirse cercano, directo y útil. Evitar jerga médica, legalista o institucional.</w:t>
            </w:r>
          </w:p>
        </w:tc>
      </w:tr>
      <w:tr>
        <w:tc>
          <w:tcPr>
            <w:tcW w:type="dxa" w:w="28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Transparencia antes que promesa vacía</w:t>
            </w:r>
          </w:p>
        </w:tc>
        <w:tc>
          <w:tcPr>
            <w:tcW w:type="dxa" w:w="74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Mostrar coberturas, condiciones, copagos, carencias y límites en lenguaje simple.</w:t>
            </w:r>
          </w:p>
        </w:tc>
      </w:tr>
      <w:tr>
        <w:tc>
          <w:tcPr>
            <w:tcW w:type="dxa" w:w="28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Mobile-first real</w:t>
            </w:r>
          </w:p>
        </w:tc>
        <w:tc>
          <w:tcPr>
            <w:tcW w:type="dxa" w:w="74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La experiencia móvil debe diseñarse desde cero; no se acepta una tabla desktop comprimida.</w:t>
            </w:r>
          </w:p>
        </w:tc>
      </w:tr>
      <w:tr>
        <w:tc>
          <w:tcPr>
            <w:tcW w:type="dxa" w:w="28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Conversión con trazabilidad</w:t>
            </w:r>
          </w:p>
        </w:tc>
        <w:tc>
          <w:tcPr>
            <w:tcW w:type="dxa" w:w="74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Cada CTA y formulario debe tener un objetivo, evento de medición y destino operativo.</w:t>
            </w:r>
          </w:p>
        </w:tc>
      </w:tr>
      <w:tr>
        <w:tc>
          <w:tcPr>
            <w:tcW w:type="dxa" w:w="28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Autogestión interna</w:t>
            </w:r>
          </w:p>
        </w:tc>
        <w:tc>
          <w:tcPr>
            <w:tcW w:type="dxa" w:w="74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SP debe poder editar contenido, planes, FAQs, beneficios, prestadores, landings y descargables.</w:t>
            </w:r>
          </w:p>
        </w:tc>
      </w:tr>
    </w:tbl>
    <w:p/>
    <w:p>
      <w:pPr>
        <w:pStyle w:val="Heading1"/>
      </w:pPr>
      <w:r>
        <w:t>5. Audiencias prioritarias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003B71"/>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Pr>
          <w:p>
            <w:pPr>
              <w:jc w:val="center"/>
            </w:pPr>
            <w:r>
              <w:rPr>
                <w:b/>
                <w:color w:val="FFFFFF"/>
                <w:sz w:val="18"/>
              </w:rPr>
              <w:t>Audiencia</w:t>
            </w:r>
          </w:p>
        </w:tc>
        <w:tc>
          <w:tcPr>
            <w:tcW w:type="dxa" w:w="7488"/>
            <w:shd w:fill="003B71"/>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Pr>
          <w:p>
            <w:pPr>
              <w:jc w:val="center"/>
            </w:pPr>
            <w:r>
              <w:rPr>
                <w:b/>
                <w:color w:val="FFFFFF"/>
                <w:sz w:val="18"/>
              </w:rPr>
              <w:t>Necesidad principal</w:t>
            </w:r>
          </w:p>
        </w:tc>
      </w:tr>
      <w:tr>
        <w:tc>
          <w:tcPr>
            <w:tcW w:type="dxa" w:w="28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Familias paraguayas</w:t>
            </w:r>
          </w:p>
        </w:tc>
        <w:tc>
          <w:tcPr>
            <w:tcW w:type="dxa" w:w="74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Decisora principal: mujer de 28 a 45 años, gestora de la salud familiar. Necesita cobertura real, rapidez, orientación y seguridad.</w:t>
            </w:r>
          </w:p>
        </w:tc>
      </w:tr>
      <w:tr>
        <w:tc>
          <w:tcPr>
            <w:tcW w:type="dxa" w:w="28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Jóvenes profesionales</w:t>
            </w:r>
          </w:p>
        </w:tc>
        <w:tc>
          <w:tcPr>
            <w:tcW w:type="dxa" w:w="74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22 a 32 años. Más sensibles al precio, digitales, necesitan entender por qué conviene tener cobertura antes de necesitarla.</w:t>
            </w:r>
          </w:p>
        </w:tc>
      </w:tr>
      <w:tr>
        <w:tc>
          <w:tcPr>
            <w:tcW w:type="dxa" w:w="28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Empresas / RRHH</w:t>
            </w:r>
          </w:p>
        </w:tc>
        <w:tc>
          <w:tcPr>
            <w:tcW w:type="dxa" w:w="74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Responsables de beneficios. Buscan simplicidad administrativa, factura unificada, valor percibido para colaboradores y un interlocutor claro.</w:t>
            </w:r>
          </w:p>
        </w:tc>
      </w:tr>
      <w:tr>
        <w:tc>
          <w:tcPr>
            <w:tcW w:type="dxa" w:w="28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Clientes actuales</w:t>
            </w:r>
          </w:p>
        </w:tc>
        <w:tc>
          <w:tcPr>
            <w:tcW w:type="dxa" w:w="74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Necesitan guía de uso, prestadores, portal, pagos, autorizaciones, WhatsApp y claridad en el día a día.</w:t>
            </w:r>
          </w:p>
        </w:tc>
      </w:tr>
    </w:tbl>
    <w:p/>
    <w:p>
      <w:pPr>
        <w:pStyle w:val="Heading1"/>
      </w:pPr>
      <w:r>
        <w:t>6. Arquitectura de marca</w:t>
      </w:r>
    </w:p>
    <w:p>
      <w:r>
        <w:t>La web debe ordenar la marca bajo Salud Protegida como Masterbrand. Lister debe brillar como activo tangible, pero siempre respaldado por SP. Empresas debe tener lenguaje y ruta propia, sin quedar escondido dentro de planes individuales.</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2880"/>
            <w:shd w:fill="003B71"/>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Pr>
          <w:p>
            <w:pPr>
              <w:jc w:val="center"/>
            </w:pPr>
            <w:r>
              <w:rPr>
                <w:b/>
                <w:color w:val="FFFFFF"/>
                <w:sz w:val="18"/>
              </w:rPr>
              <w:t>Unidad</w:t>
            </w:r>
          </w:p>
        </w:tc>
        <w:tc>
          <w:tcPr>
            <w:tcW w:type="dxa" w:w="7488"/>
            <w:shd w:fill="003B71"/>
            <w:tcBorders>
              <w:top w:val="single" w:sz="4" w:space="0" w:color="FFFFFF"/>
              <w:left w:val="single" w:sz="4" w:space="0" w:color="FFFFFF"/>
              <w:bottom w:val="single" w:sz="4" w:space="0" w:color="FFFFFF"/>
              <w:right w:val="single" w:sz="4" w:space="0" w:color="FFFFFF"/>
              <w:insideH w:val="single" w:sz="4" w:space="0" w:color="FFFFFF"/>
              <w:insideV w:val="single" w:sz="4" w:space="0" w:color="FFFFFF"/>
            </w:tcBorders>
            <w:vAlign w:val="center"/>
          </w:tcPr>
          <w:p>
            <w:pPr>
              <w:jc w:val="center"/>
            </w:pPr>
            <w:r>
              <w:rPr>
                <w:b/>
                <w:color w:val="FFFFFF"/>
                <w:sz w:val="18"/>
              </w:rPr>
              <w:t>Rol dentro de la web</w:t>
            </w:r>
          </w:p>
        </w:tc>
      </w:tr>
      <w:tr>
        <w:tc>
          <w:tcPr>
            <w:tcW w:type="dxa" w:w="28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Salud Protegida</w:t>
            </w:r>
          </w:p>
        </w:tc>
        <w:tc>
          <w:tcPr>
            <w:tcW w:type="dxa" w:w="74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Masterbrand. Promesa principal, confianza, trayectoria y sistema completo.</w:t>
            </w:r>
          </w:p>
        </w:tc>
      </w:tr>
      <w:tr>
        <w:tc>
          <w:tcPr>
            <w:tcW w:type="dxa" w:w="28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SP Personas</w:t>
            </w:r>
          </w:p>
        </w:tc>
        <w:tc>
          <w:tcPr>
            <w:tcW w:type="dxa" w:w="74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Planes individuales y familiares. Principal foco B2C.</w:t>
            </w:r>
          </w:p>
        </w:tc>
      </w:tr>
      <w:tr>
        <w:tc>
          <w:tcPr>
            <w:tcW w:type="dxa" w:w="28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SP Empresas</w:t>
            </w:r>
          </w:p>
        </w:tc>
        <w:tc>
          <w:tcPr>
            <w:tcW w:type="dxa" w:w="74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Pymes y corporativos. Propuesta para RRHH, beneficios, factura única y servicios corporativos.</w:t>
            </w:r>
          </w:p>
        </w:tc>
      </w:tr>
      <w:tr>
        <w:tc>
          <w:tcPr>
            <w:tcW w:type="dxa" w:w="28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Centro Médico Lister by SP</w:t>
            </w:r>
          </w:p>
        </w:tc>
        <w:tc>
          <w:tcPr>
            <w:tcW w:type="dxa" w:w="74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Centro médico propio. Consultas, estudios, laboratorio y bienestar. Activo diferencial.</w:t>
            </w:r>
          </w:p>
        </w:tc>
      </w:tr>
      <w:tr>
        <w:tc>
          <w:tcPr>
            <w:tcW w:type="dxa" w:w="2880"/>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Guía del asegurado</w:t>
            </w:r>
          </w:p>
        </w:tc>
        <w:tc>
          <w:tcPr>
            <w:tcW w:type="dxa" w:w="7488"/>
            <w:tcBorders>
              <w:top w:val="single" w:sz="4" w:space="0" w:color="D9E2EC"/>
              <w:left w:val="single" w:sz="4" w:space="0" w:color="D9E2EC"/>
              <w:bottom w:val="single" w:sz="4" w:space="0" w:color="D9E2EC"/>
              <w:right w:val="single" w:sz="4" w:space="0" w:color="D9E2EC"/>
              <w:insideH w:val="single" w:sz="4" w:space="0" w:color="D9E2EC"/>
              <w:insideV w:val="single" w:sz="4" w:space="0" w:color="D9E2EC"/>
            </w:tcBorders>
            <w:vAlign w:val="top"/>
          </w:tcPr>
          <w:p>
            <w:pPr>
              <w:spacing w:after="40"/>
            </w:pPr>
            <w:r>
              <w:rPr>
                <w:b w:val="0"/>
                <w:color w:val="3D3D3D"/>
                <w:sz w:val="17"/>
              </w:rPr>
              <w:t>Educación práctica: cómo usar, pagar, autorizar, consultar y resolver.</w:t>
            </w:r>
          </w:p>
        </w:tc>
      </w:tr>
    </w:tbl>
    <w:p/>
    <w:p>
      <w:pPr>
        <w:pStyle w:val="Heading1"/>
      </w:pPr>
      <w:r>
        <w:t>7. Tono y copy</w:t>
      </w:r>
    </w:p>
    <w:p>
      <w:pPr>
        <w:pStyle w:val="ListBullet"/>
      </w:pPr>
      <w:r>
        <w:t>Claro: frases simples, sin tecnicismos innecesarios.</w:t>
      </w:r>
    </w:p>
    <w:p>
      <w:pPr>
        <w:pStyle w:val="ListBullet"/>
      </w:pPr>
      <w:r>
        <w:t>Directo: responder la duda real del usuario, no rodearla.</w:t>
      </w:r>
    </w:p>
    <w:p>
      <w:pPr>
        <w:pStyle w:val="ListBullet"/>
      </w:pPr>
      <w:r>
        <w:t>Humano: una persona hablando a otra persona, no un contrato legal.</w:t>
      </w:r>
    </w:p>
    <w:p>
      <w:pPr>
        <w:pStyle w:val="ListBullet"/>
      </w:pPr>
      <w:r>
        <w:t>Concreto: explicar coberturas, pasos, condiciones y próximos pasos.</w:t>
      </w:r>
    </w:p>
    <w:p>
      <w:pPr>
        <w:pStyle w:val="ListBullet"/>
      </w:pPr>
      <w:r>
        <w:t>Empático: reconocer que decidir sobre salud genera ansiedad y desconfianza.</w:t>
      </w:r>
    </w:p>
    <w:tbl>
      <w:tblPr>
        <w:tblW w:type="auto" w:w="0"/>
        <w:jc w:val="center"/>
        <w:tblLook w:firstColumn="1" w:firstRow="1" w:lastColumn="0" w:lastRow="0" w:noHBand="0" w:noVBand="1" w:val="04A0"/>
      </w:tblPr>
      <w:tblGrid>
        <w:gridCol w:w="10368"/>
      </w:tblGrid>
      <w:tr>
        <w:tc>
          <w:tcPr>
            <w:tcW w:type="dxa" w:w="10368"/>
            <w:shd w:fill="FFF7E6"/>
            <w:tcBorders>
              <w:top w:val="single" w:sz="6" w:space="0" w:color="D9E2EC"/>
              <w:left w:val="single" w:sz="6" w:space="0" w:color="D9E2EC"/>
              <w:bottom w:val="single" w:sz="6" w:space="0" w:color="D9E2EC"/>
              <w:right w:val="single" w:sz="6" w:space="0" w:color="D9E2EC"/>
              <w:insideH w:val="single" w:sz="6" w:space="0" w:color="D9E2EC"/>
              <w:insideV w:val="single" w:sz="6" w:space="0" w:color="D9E2EC"/>
            </w:tcBorders>
          </w:tcPr>
          <w:p>
            <w:pPr>
              <w:ind w:left="43" w:right="43"/>
            </w:pPr>
            <w:r>
              <w:rPr>
                <w:b/>
                <w:color w:val="003B71"/>
                <w:sz w:val="21"/>
              </w:rPr>
              <w:t>Ejemplo de tono correcto</w:t>
            </w:r>
          </w:p>
          <w:p>
            <w:pPr>
              <w:spacing w:after="0"/>
              <w:ind w:left="43" w:right="43"/>
            </w:pPr>
            <w:r>
              <w:t>“Antes de contratar, entendé qué cubre tu plan, cómo usarlo y con quién hablar cuando necesites ayuda.”</w:t>
            </w:r>
          </w:p>
        </w:tc>
      </w:tr>
    </w:tbl>
    <w:p/>
    <w:p>
      <w:pPr>
        <w:pStyle w:val="Heading1"/>
      </w:pPr>
      <w:r>
        <w:t>8. Resultado esperado</w:t>
      </w:r>
    </w:p>
    <w:p>
      <w:r>
        <w:t>La web debe lograr que una persona piense: “Ahora sí entiendo qué cubre, cuánto me puede costar, qué plan me conviene y con quién hablar”. Ese es el estándar de éxito.</w:t>
      </w:r>
    </w:p>
    <w:p>
      <w:pPr>
        <w:pStyle w:val="Heading1"/>
      </w:pPr>
      <w:r>
        <w:t>9. Criterios de aprobación estratégica</w:t>
      </w:r>
    </w:p>
    <w:p>
      <w:pPr>
        <w:pStyle w:val="ListBullet"/>
      </w:pPr>
      <w:r>
        <w:t>La propuesta de valor se entiende en menos de 10 segundos.</w:t>
      </w:r>
    </w:p>
    <w:p>
      <w:pPr>
        <w:pStyle w:val="ListBullet"/>
      </w:pPr>
      <w:r>
        <w:t>El usuario puede cotizar o hablar por WhatsApp desde cualquier página clave.</w:t>
      </w:r>
    </w:p>
    <w:p>
      <w:pPr>
        <w:pStyle w:val="ListBullet"/>
      </w:pPr>
      <w:r>
        <w:t>La comparación de planes es usable en celular.</w:t>
      </w:r>
    </w:p>
    <w:p>
      <w:pPr>
        <w:pStyle w:val="ListBullet"/>
      </w:pPr>
      <w:r>
        <w:t>La red/prestadores se puede consultar antes de comprar o queda lista para evolucionar a cartilla viva.</w:t>
      </w:r>
    </w:p>
    <w:p>
      <w:pPr>
        <w:pStyle w:val="ListBullet"/>
      </w:pPr>
      <w:r>
        <w:t>La web separa claramente SP Personas, SP Empresas y Centro Médico Lister by SP.</w:t>
      </w:r>
    </w:p>
    <w:p>
      <w:pPr>
        <w:pStyle w:val="ListBullet"/>
      </w:pPr>
      <w:r>
        <w:t>Los leads son medibles, atribuibles y accionables por el equipo comercial.</w:t>
      </w:r>
    </w:p>
    <w:p>
      <w:pPr>
        <w:pStyle w:val="ListBullet"/>
      </w:pPr>
      <w:r>
        <w:t>No hay claims vagos ni promesas imposibles de sostener.</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Salud Protegida · Rediseño web · Documento de trabajo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3D3D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3B7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3B7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3B7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003B7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