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Arial" w:cs="Arial" w:eastAsia="Arial" w:hAnsi="Arial"/>
          <w:b/>
          <w:bCs/>
          <w:color w:val="003B71"/>
          <w:sz w:val="34"/>
          <w:szCs w:val="34"/>
        </w:rPr>
        <w:t xml:space="preserve">Brief de Kick-off — Web Salud Protegida</w:t>
      </w:r>
    </w:p>
    <w:p>
      <w:pPr>
        <w:pBdr>
          <w:bottom w:val="single" w:color="00BCB4" w:sz="8" w:space="4"/>
        </w:pBdr>
        <w:spacing w:after="60"/>
      </w:pPr>
      <w:r>
        <w:rPr>
          <w:rFonts w:ascii="Arial" w:cs="Arial" w:eastAsia="Arial" w:hAnsi="Arial"/>
          <w:color w:val="5A6470"/>
          <w:sz w:val="20"/>
          <w:szCs w:val="20"/>
        </w:rPr>
        <w:t xml:space="preserve">Buena Vista Technology · Junio 2026</w:t>
      </w:r>
    </w:p>
    <w:p>
      <w:pPr>
        <w:spacing w:after="120"/>
      </w:pP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color w:val="003B71"/>
          <w:sz w:val="26"/>
          <w:szCs w:val="26"/>
        </w:rPr>
        <w:t xml:space="preserve">1. El encuadre</w:t>
      </w:r>
    </w:p>
    <w:p>
      <w:pPr>
        <w:spacing w:after="140" w:line="276"/>
      </w:pPr>
      <w:r>
        <w:rPr>
          <w:rFonts w:ascii="Arial" w:cs="Arial" w:eastAsia="Arial" w:hAnsi="Arial"/>
          <w:sz w:val="22"/>
          <w:szCs w:val="22"/>
        </w:rPr>
        <w:t xml:space="preserve">La web es cimiento, no fachada. Hace tres trabajos concretos: informar con claridad, dar soporte al asegurado actual y llevar al prospecto hacia la cotización. Buena Vista ejecuta estructura y diseño; la estrategia, la voz de marca y la captación las define SP. Si SP no entra como dueño del brief, la agencia llena los vacíos con sus propios supuestos.</w:t>
      </w: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color w:val="003B71"/>
          <w:sz w:val="26"/>
          <w:szCs w:val="26"/>
        </w:rPr>
        <w:t xml:space="preserve">2. Alcance — qué entra y qué no</w:t>
      </w:r>
    </w:p>
    <w:p>
      <w:pPr>
        <w:spacing w:after="120" w:line="276"/>
      </w:pPr>
      <w:r>
        <w:rPr>
          <w:rFonts w:ascii="Arial" w:cs="Arial" w:eastAsia="Arial" w:hAnsi="Arial"/>
          <w:i/>
          <w:iCs/>
          <w:color w:val="5A6470"/>
          <w:sz w:val="22"/>
          <w:szCs w:val="22"/>
        </w:rPr>
        <w:t xml:space="preserve">Para que nadie corra el límite, en ninguna de las dos direcciones.</w:t>
      </w:r>
    </w:p>
    <w:p>
      <w:pPr>
        <w:spacing w:after="14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Entra: </w:t>
      </w:r>
      <w:r>
        <w:rPr>
          <w:rFonts w:ascii="Arial" w:cs="Arial" w:eastAsia="Arial" w:hAnsi="Arial"/>
          <w:sz w:val="22"/>
          <w:szCs w:val="22"/>
        </w:rPr>
        <w:t xml:space="preserve">relevamiento, arquitectura de información, rediseño UX/UI responsive, implementación en WordPress, SEO base, formularios, CTAs, rendimiento, pruebas y publicación. Páginas: Inicio, Planes, Guía del asegurado, Blog, Portal y Contacto, más el CTA “Cotizá tu plan”.</w:t>
      </w:r>
    </w:p>
    <w:p>
      <w:pPr>
        <w:spacing w:after="14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No entra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(alcance y presupuesto separados): </w:t>
      </w:r>
      <w:r>
        <w:rPr>
          <w:rFonts w:ascii="Arial" w:cs="Arial" w:eastAsia="Arial" w:hAnsi="Arial"/>
          <w:sz w:val="22"/>
          <w:szCs w:val="22"/>
        </w:rPr>
        <w:t xml:space="preserve">marketing mensual y pauta, automatizaciones / IA / bots / WhatsApp API, HubSpot avanzado (workflows, Service Hub, sync con Anamnesis), app móvil, redacción mensual de artículos y gestión SEO recurrente.</w:t>
      </w: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color w:val="003B71"/>
          <w:sz w:val="26"/>
          <w:szCs w:val="26"/>
        </w:rPr>
        <w:t xml:space="preserve">3. Guardrails para Buena Vista — por escrito antes de Etapa 1</w:t>
      </w:r>
    </w:p>
    <w:p>
      <w:pPr>
        <w:spacing w:after="120" w:line="276"/>
      </w:pPr>
      <w:r>
        <w:rPr>
          <w:rFonts w:ascii="Arial" w:cs="Arial" w:eastAsia="Arial" w:hAnsi="Arial"/>
          <w:i/>
          <w:iCs/>
          <w:color w:val="5A6470"/>
          <w:sz w:val="22"/>
          <w:szCs w:val="22"/>
        </w:rPr>
        <w:t xml:space="preserve">Estos cinco puntos van a la agencia por correo, dentro del paso de “confirmación formal” que la propuesta cierra en los primeros 3-5 días.</w:t>
      </w:r>
    </w:p>
    <w:p>
      <w:pPr>
        <w:pStyle w:val="ListParagraph"/>
        <w:numPr>
          <w:ilvl w:val="0"/>
          <w:numId w:val="2"/>
        </w:numPr>
        <w:spacing w:after="140" w:line="272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Formularios nativos de HubSpot + tracking. </w:t>
      </w:r>
      <w:r>
        <w:rPr>
          <w:rFonts w:ascii="Arial" w:cs="Arial" w:eastAsia="Arial" w:hAnsi="Arial"/>
          <w:sz w:val="22"/>
          <w:szCs w:val="22"/>
        </w:rPr>
        <w:t xml:space="preserve">Todo formulario se construye con código embed de HubSpot, no con formularios genéricos de WordPress, y se instala el script de tracking de HubSpot en el sitio. Esto no es “HubSpot avanzado”: es estándar y sin costo, y es lo único que garantiza que cada lead caiga directo en el CRM donde trabaja el CCE. Gaby (GaHen) provee los embed y el script. Sin esto, la web no cumple su objetivo declarado de captar leads.</w:t>
      </w:r>
    </w:p>
    <w:p>
      <w:pPr>
        <w:pStyle w:val="ListParagraph"/>
        <w:numPr>
          <w:ilvl w:val="0"/>
          <w:numId w:val="2"/>
        </w:numPr>
        <w:spacing w:after="140" w:line="272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Criterios de aceptación por etapa. </w:t>
      </w:r>
      <w:r>
        <w:rPr>
          <w:rFonts w:ascii="Arial" w:cs="Arial" w:eastAsia="Arial" w:hAnsi="Arial"/>
          <w:sz w:val="22"/>
          <w:szCs w:val="22"/>
        </w:rPr>
        <w:t xml:space="preserve">Cada entregable de avance —mapa del sitio, diseño UI, implementación, pruebas— se aprueba contra criterios claros antes de pasar al siguiente. Un solo responsable de aprobación de parte de SP.</w:t>
      </w:r>
    </w:p>
    <w:p>
      <w:pPr>
        <w:pStyle w:val="ListParagraph"/>
        <w:numPr>
          <w:ilvl w:val="0"/>
          <w:numId w:val="2"/>
        </w:numPr>
        <w:spacing w:after="140" w:line="272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Acceso a hosting y dominio en poder de SP. </w:t>
      </w:r>
      <w:r>
        <w:rPr>
          <w:rFonts w:ascii="Arial" w:cs="Arial" w:eastAsia="Arial" w:hAnsi="Arial"/>
          <w:sz w:val="22"/>
          <w:szCs w:val="22"/>
        </w:rPr>
        <w:t xml:space="preserve">Durante el relevamiento, dejar documentado y bajo control de SP el acceso a hosting, dominio y DNS. Hoy todo depende de un solo técnico (José Flores): punto único de falla. El relevamiento es el momento natural para destrabarlo, sin costo extra.</w:t>
      </w:r>
    </w:p>
    <w:p>
      <w:pPr>
        <w:pStyle w:val="ListParagraph"/>
        <w:numPr>
          <w:ilvl w:val="0"/>
          <w:numId w:val="2"/>
        </w:numPr>
        <w:spacing w:after="140" w:line="272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Componentes re-skineables. </w:t>
      </w:r>
      <w:r>
        <w:rPr>
          <w:rFonts w:ascii="Arial" w:cs="Arial" w:eastAsia="Arial" w:hAnsi="Arial"/>
          <w:sz w:val="22"/>
          <w:szCs w:val="22"/>
        </w:rPr>
        <w:t xml:space="preserve">El sistema de diseño —tokens, espaciado, componentes, cards, botones— se construye flexible, para poder re-vestir la web cuando aterrice el refresh de marca (Wave 1, segundo semestre 2026) sin rehacer la estructura.</w:t>
      </w:r>
    </w:p>
    <w:p>
      <w:pPr>
        <w:pStyle w:val="ListParagraph"/>
        <w:numPr>
          <w:ilvl w:val="0"/>
          <w:numId w:val="2"/>
        </w:numPr>
        <w:spacing w:after="140" w:line="272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Sin sub-marcas en el copy público. </w:t>
      </w:r>
      <w:r>
        <w:rPr>
          <w:rFonts w:ascii="Arial" w:cs="Arial" w:eastAsia="Arial" w:hAnsi="Arial"/>
          <w:sz w:val="22"/>
          <w:szCs w:val="22"/>
        </w:rPr>
        <w:t xml:space="preserve">La arquitectura nueva (SP Personas / SP Empresas / CML by SP) está en transición y no se nombra en la web hasta el lanzamiento planificado. La separación de audiencias se hace por recorrido, no por nombre.</w:t>
      </w: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color w:val="003B71"/>
          <w:sz w:val="26"/>
          <w:szCs w:val="26"/>
        </w:rPr>
        <w:t xml:space="preserve">4. Responsabilidad de SP</w:t>
      </w:r>
    </w:p>
    <w:p>
      <w:pPr>
        <w:spacing w:after="140" w:line="276"/>
      </w:pPr>
      <w:r>
        <w:rPr>
          <w:rFonts w:ascii="Arial" w:cs="Arial" w:eastAsia="Arial" w:hAnsi="Arial"/>
          <w:sz w:val="22"/>
          <w:szCs w:val="22"/>
        </w:rPr>
        <w:t xml:space="preserve">La propuesta lo dice claro: la dependencia que más frena el proyecto es la “disponibilidad de textos”. Si SP no entrega a tiempo, Buena Vista rellena con genérico o el proyecto se traba. Tres entregas que dependen de tu lado:</w:t>
      </w:r>
    </w:p>
    <w:p>
      <w:pPr>
        <w:pStyle w:val="ListParagraph"/>
        <w:numPr>
          <w:ilvl w:val="0"/>
          <w:numId w:val="3"/>
        </w:numPr>
        <w:spacing w:after="90" w:line="272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Copy on-brand: </w:t>
      </w:r>
      <w:r>
        <w:rPr>
          <w:rFonts w:ascii="Arial" w:cs="Arial" w:eastAsia="Arial" w:hAnsi="Arial"/>
          <w:sz w:val="22"/>
          <w:szCs w:val="22"/>
        </w:rPr>
        <w:t xml:space="preserve">Andy y Jaz producen el texto con el skill de marca, mapeado a los dos registros (sección 6).</w:t>
      </w:r>
    </w:p>
    <w:p>
      <w:pPr>
        <w:pStyle w:val="ListParagraph"/>
        <w:numPr>
          <w:ilvl w:val="0"/>
          <w:numId w:val="3"/>
        </w:numPr>
        <w:spacing w:after="90" w:line="272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Accesos y materiales: </w:t>
      </w:r>
      <w:r>
        <w:rPr>
          <w:rFonts w:ascii="Arial" w:cs="Arial" w:eastAsia="Arial" w:hAnsi="Arial"/>
          <w:sz w:val="22"/>
          <w:szCs w:val="22"/>
        </w:rPr>
        <w:t xml:space="preserve">en Etapa 1, accesos a WordPress, hosting, Analytics y Search Console, más logos y materiales.</w:t>
      </w:r>
    </w:p>
    <w:p>
      <w:pPr>
        <w:pStyle w:val="ListParagraph"/>
        <w:numPr>
          <w:ilvl w:val="0"/>
          <w:numId w:val="3"/>
        </w:numPr>
        <w:spacing w:after="90" w:line="272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Un solo aprobador: </w:t>
      </w:r>
      <w:r>
        <w:rPr>
          <w:rFonts w:ascii="Arial" w:cs="Arial" w:eastAsia="Arial" w:hAnsi="Arial"/>
          <w:sz w:val="22"/>
          <w:szCs w:val="22"/>
        </w:rPr>
        <w:t xml:space="preserve">una persona aprueba los avances, para no trabar el proyecto con idas y vueltas.</w:t>
      </w: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color w:val="003B71"/>
          <w:sz w:val="26"/>
          <w:szCs w:val="26"/>
        </w:rPr>
        <w:t xml:space="preserve">5. La decisión que tomás vos: ¿lugar para Empresas?</w:t>
      </w:r>
    </w:p>
    <w:p>
      <w:pPr>
        <w:spacing w:after="140" w:line="276"/>
      </w:pPr>
      <w:r>
        <w:rPr>
          <w:rFonts w:ascii="Arial" w:cs="Arial" w:eastAsia="Arial" w:hAnsi="Arial"/>
          <w:sz w:val="22"/>
          <w:szCs w:val="22"/>
        </w:rPr>
        <w:t xml:space="preserve">La estructura propuesta es B2C: separa al asegurado actual del prospecto, pero no contempla un recorrido para el público corporativo (SP Empresas).</w:t>
      </w:r>
    </w:p>
    <w:p>
      <w:pPr>
        <w:spacing w:after="14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Recomendación: </w:t>
      </w:r>
      <w:r>
        <w:rPr>
          <w:rFonts w:ascii="Arial" w:cs="Arial" w:eastAsia="Arial" w:hAnsi="Arial"/>
          <w:sz w:val="22"/>
          <w:szCs w:val="22"/>
        </w:rPr>
        <w:t xml:space="preserve">no construir una sección Empresas completa ahora —tu equipo está cargado y la marca Empresas todavía no está lista—, pero reservar el lugar en el menú y dejar una página simple (“Planes corporativos”) que después se expande. Cuesta casi nada y te evita re-arquitectar la web cuando Empresas madure. Puerta abierta, sin sobrecargar esta fase.</w:t>
      </w: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color w:val="003B71"/>
          <w:sz w:val="26"/>
          <w:szCs w:val="26"/>
        </w:rPr>
        <w:t xml:space="preserve">6. Mapa de voz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La división que propone la agencia calza con tus dos registros de marca: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560"/>
      </w:tblGrid>
      <w:tr>
        <w:trPr>
          <w:tblHeader/>
        </w:trPr>
        <w:tc>
          <w:tcPr>
            <w:tcW w:type="dxa" w:w="2400"/>
            <w:tcBorders>
              <w:top w:val="single" w:color="D5DBE2" w:sz="1"/>
              <w:left w:val="single" w:color="D5DBE2" w:sz="1"/>
              <w:bottom w:val="single" w:color="D5DBE2" w:sz="1"/>
              <w:right w:val="single" w:color="D5DBE2" w:sz="1"/>
            </w:tcBorders>
            <w:shd w:fill="003B71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line="268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Páginas</w:t>
            </w:r>
          </w:p>
        </w:tc>
        <w:tc>
          <w:tcPr>
            <w:tcW w:type="dxa" w:w="2400"/>
            <w:tcBorders>
              <w:top w:val="single" w:color="D5DBE2" w:sz="1"/>
              <w:left w:val="single" w:color="D5DBE2" w:sz="1"/>
              <w:bottom w:val="single" w:color="D5DBE2" w:sz="1"/>
              <w:right w:val="single" w:color="D5DBE2" w:sz="1"/>
            </w:tcBorders>
            <w:shd w:fill="003B71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line="268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Audiencia</w:t>
            </w:r>
          </w:p>
        </w:tc>
        <w:tc>
          <w:tcPr>
            <w:tcW w:type="dxa" w:w="4560"/>
            <w:tcBorders>
              <w:top w:val="single" w:color="D5DBE2" w:sz="1"/>
              <w:left w:val="single" w:color="D5DBE2" w:sz="1"/>
              <w:bottom w:val="single" w:color="D5DBE2" w:sz="1"/>
              <w:right w:val="single" w:color="D5DBE2" w:sz="1"/>
            </w:tcBorders>
            <w:shd w:fill="003B71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line="268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Registro de voz</w:t>
            </w:r>
          </w:p>
        </w:tc>
      </w:tr>
      <w:tr>
        <w:tc>
          <w:tcPr>
            <w:tcW w:type="dxa" w:w="2400"/>
            <w:tcBorders>
              <w:top w:val="single" w:color="D5DBE2" w:sz="1"/>
              <w:left w:val="single" w:color="D5DBE2" w:sz="1"/>
              <w:bottom w:val="single" w:color="D5DBE2" w:sz="1"/>
              <w:right w:val="single" w:color="D5DBE2" w:sz="1"/>
            </w:tcBorders>
            <w:shd w:fill="F2F6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line="268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Inicio, Planes, Cotizá, Contacto</w:t>
            </w:r>
          </w:p>
        </w:tc>
        <w:tc>
          <w:tcPr>
            <w:tcW w:type="dxa" w:w="2400"/>
            <w:tcBorders>
              <w:top w:val="single" w:color="D5DBE2" w:sz="1"/>
              <w:left w:val="single" w:color="D5DBE2" w:sz="1"/>
              <w:bottom w:val="single" w:color="D5DBE2" w:sz="1"/>
              <w:right w:val="single" w:color="D5DBE2" w:sz="1"/>
            </w:tcBorders>
            <w:shd w:fill="F2F6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line="268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Prospecto — escéptico, evaluando</w:t>
            </w:r>
          </w:p>
        </w:tc>
        <w:tc>
          <w:tcPr>
            <w:tcW w:type="dxa" w:w="4560"/>
            <w:tcBorders>
              <w:top w:val="single" w:color="D5DBE2" w:sz="1"/>
              <w:left w:val="single" w:color="D5DBE2" w:sz="1"/>
              <w:bottom w:val="single" w:color="D5DBE2" w:sz="1"/>
              <w:right w:val="single" w:color="D5DBE2" w:sz="1"/>
            </w:tcBorders>
            <w:shd w:fill="F2F6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line="268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Adquisición, nivel suave — no el provocador. La web es permanente; la promesa tiene que sostenerse en la operación.</w:t>
            </w:r>
          </w:p>
        </w:tc>
      </w:tr>
      <w:tr>
        <w:tc>
          <w:tcPr>
            <w:tcW w:type="dxa" w:w="2400"/>
            <w:tcBorders>
              <w:top w:val="single" w:color="D5DBE2" w:sz="1"/>
              <w:left w:val="single" w:color="D5DBE2" w:sz="1"/>
              <w:bottom w:val="single" w:color="D5DBE2" w:sz="1"/>
              <w:right w:val="single" w:color="D5DBE2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line="268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Guía del asegurado, Portal</w:t>
            </w:r>
          </w:p>
        </w:tc>
        <w:tc>
          <w:tcPr>
            <w:tcW w:type="dxa" w:w="2400"/>
            <w:tcBorders>
              <w:top w:val="single" w:color="D5DBE2" w:sz="1"/>
              <w:left w:val="single" w:color="D5DBE2" w:sz="1"/>
              <w:bottom w:val="single" w:color="D5DBE2" w:sz="1"/>
              <w:right w:val="single" w:color="D5DBE2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line="268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Asegurado actual — a veces vulnerable</w:t>
            </w:r>
          </w:p>
        </w:tc>
        <w:tc>
          <w:tcPr>
            <w:tcW w:type="dxa" w:w="4560"/>
            <w:tcBorders>
              <w:top w:val="single" w:color="D5DBE2" w:sz="1"/>
              <w:left w:val="single" w:color="D5DBE2" w:sz="1"/>
              <w:bottom w:val="single" w:color="D5DBE2" w:sz="1"/>
              <w:right w:val="single" w:color="D5DBE2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line="268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CX — cálido, da seguridad y baja la ansiedad.</w:t>
            </w:r>
          </w:p>
        </w:tc>
      </w:tr>
    </w:tbl>
    <w:p>
      <w:pPr>
        <w:spacing w:after="0" w:before="13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Principio que cruza todo: </w:t>
      </w:r>
      <w:r>
        <w:rPr>
          <w:rFonts w:ascii="Arial" w:cs="Arial" w:eastAsia="Arial" w:hAnsi="Arial"/>
          <w:sz w:val="22"/>
          <w:szCs w:val="22"/>
        </w:rPr>
        <w:t xml:space="preserve">especificidad sobre superlativos. La web solo promete lo que la operación entrega hoy, de forma consistente.</w:t>
      </w: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color w:val="003B71"/>
          <w:sz w:val="26"/>
          <w:szCs w:val="26"/>
        </w:rPr>
        <w:t xml:space="preserve">7. Riesgos a vigilar</w:t>
      </w:r>
    </w:p>
    <w:p>
      <w:pPr>
        <w:pStyle w:val="ListParagraph"/>
        <w:numPr>
          <w:ilvl w:val="0"/>
          <w:numId w:val="3"/>
        </w:numPr>
        <w:spacing w:after="90" w:line="272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Calidad de ejecución. </w:t>
      </w:r>
      <w:r>
        <w:rPr>
          <w:rFonts w:ascii="Arial" w:cs="Arial" w:eastAsia="Arial" w:hAnsi="Arial"/>
          <w:sz w:val="22"/>
          <w:szCs w:val="22"/>
        </w:rPr>
        <w:t xml:space="preserve">El precio bajo no garantiza la ejecución. Lo controlás con los criterios de aceptación por etapa (punto 3.2): no se avanza con un entregable sin aprobar.</w:t>
      </w:r>
    </w:p>
    <w:p>
      <w:pPr>
        <w:pStyle w:val="ListParagraph"/>
        <w:numPr>
          <w:ilvl w:val="0"/>
          <w:numId w:val="3"/>
        </w:numPr>
        <w:spacing w:after="90" w:line="272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El cronograma depende de tu lado. </w:t>
      </w:r>
      <w:r>
        <w:rPr>
          <w:rFonts w:ascii="Arial" w:cs="Arial" w:eastAsia="Arial" w:hAnsi="Arial"/>
          <w:sz w:val="22"/>
          <w:szCs w:val="22"/>
        </w:rPr>
        <w:t xml:space="preserve">Los 30-47 días corren solo si SP entrega textos, accesos y aprobaciones a tiempo. La pelota está más de tu lado que del de Buena Vista.</w:t>
      </w:r>
    </w:p>
    <w:p>
      <w:pPr>
        <w:pStyle w:val="ListParagraph"/>
        <w:numPr>
          <w:ilvl w:val="0"/>
          <w:numId w:val="3"/>
        </w:numPr>
        <w:spacing w:after="90" w:line="272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Formularios silenciosos. </w:t>
      </w:r>
      <w:r>
        <w:rPr>
          <w:rFonts w:ascii="Arial" w:cs="Arial" w:eastAsia="Arial" w:hAnsi="Arial"/>
          <w:sz w:val="22"/>
          <w:szCs w:val="22"/>
        </w:rPr>
        <w:t xml:space="preserve">Es fácil que la web salga con formularios que solo mandan un mail. Antes de publicar, verificá explícitamente que cada formulario entra a HubSpot.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300"/>
      </w:pPr>
      <w:rPr>
        <w:b/>
        <w:bCs/>
        <w:color w:val="003B71"/>
      </w:r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2026-06-15T16:19:48.237Z</dcterms:created>
  <dcterms:modified xsi:type="dcterms:W3CDTF">2026-06-15T16:19:48.238Z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