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Estructuras de datos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Código: BPTSP06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Trimestre:2425-3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Profesores: Fernando Torre Mora y Christian Guillén Drija</w:t>
      </w:r>
    </w:p>
    <w:p w:rsidR="00000000" w:rsidDel="00000000" w:rsidP="00000000" w:rsidRDefault="00000000" w:rsidRPr="00000000" w14:paraId="00000004">
      <w:pPr>
        <w:pStyle w:val="Heading1"/>
        <w:spacing w:before="0" w:lineRule="auto"/>
        <w:jc w:val="center"/>
        <w:rPr/>
      </w:pPr>
      <w:bookmarkStart w:colFirst="0" w:colLast="0" w:name="_rn3uqkcyax2f" w:id="0"/>
      <w:bookmarkEnd w:id="0"/>
      <w:r w:rsidDel="00000000" w:rsidR="00000000" w:rsidRPr="00000000">
        <w:rPr>
          <w:rtl w:val="0"/>
        </w:rPr>
        <w:t xml:space="preserve">Programación Trimestral</w:t>
      </w:r>
    </w:p>
    <w:tbl>
      <w:tblPr>
        <w:tblStyle w:val="Table1"/>
        <w:tblW w:w="90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5"/>
        <w:gridCol w:w="1035"/>
        <w:gridCol w:w="2085"/>
        <w:gridCol w:w="1710"/>
        <w:gridCol w:w="1290"/>
        <w:tblGridChange w:id="0">
          <w:tblGrid>
            <w:gridCol w:w="2955"/>
            <w:gridCol w:w="1035"/>
            <w:gridCol w:w="2085"/>
            <w:gridCol w:w="1710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Semana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 Evaluada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Introducción al curso. Introducción a las Estructuras de datos dinámicas. Fundamentación: Punteros.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Listas enlazadas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Listas dobles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Listas circulares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Pilas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Colas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Complejidad en tiempo. Complejidad en espacio.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Prueba Práctica 1 (listas)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sec 1: lun 2/05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sec 3: mar 27/05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Árboles Generales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Parcial 1 (listas, pilas y colas)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sec 1: mié 04/06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sec 3: jue 05/06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Árboles binarios de búsqueda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Proyecto 1 (Grafos)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viernes 20/06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Expresiones matemáticas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Cursos IBM SkillBuild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viernes 27/06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Árboles B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Prueba  Práctica 2 (árboles)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Proyecto 2 (Hash tables y árboles)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sec 1: mié 02/07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sec 3: jue 03/07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domingo 06/07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Árboles balanceados (AVL)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Parcial 2 (árboles, hash Tables)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Bitácora Metacognitiva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 1: mié 09/07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sec 3: jue 10/07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miércoles 09/07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after="0" w:line="240" w:lineRule="auto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0"/>
          <w:szCs w:val="20"/>
          <w:rtl w:val="0"/>
        </w:rPr>
        <w:t xml:space="preserve">Nota: </w:t>
      </w: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Los estudiantes que participen en la Agrupación de Programación Competitiva (Código Naranja) podrán optar a obtener 2 puntos extras en la nota final.  Las condiciones son: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obtener la totalidad de los puntos, el estudiante deberá participar en TODOS los eventos del</w:t>
      </w:r>
      <w:hyperlink r:id="rId6">
        <w:r w:rsidDel="00000000" w:rsidR="00000000" w:rsidRPr="00000000">
          <w:rPr>
            <w:rFonts w:ascii="Liberation Serif" w:cs="Liberation Serif" w:eastAsia="Liberation Serif" w:hAnsi="Liberation Serif"/>
            <w:color w:val="1155cc"/>
            <w:sz w:val="20"/>
            <w:szCs w:val="20"/>
            <w:u w:val="single"/>
            <w:rtl w:val="0"/>
          </w:rPr>
          <w:t xml:space="preserve"> ICPC</w:t>
        </w:r>
      </w:hyperlink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 y de la RPC. Los eventos son: Competencias (tanto presenciales como virtuales), sesiones de entrenamiento y reuniones solicitadas por la entrenadora y demás miembros activos de la agrupación.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Para que la participación en un evento competitivo sea considerada como válida, el estudiante deberá estar presente hasta el final del evento. Además, deberá haber entregado al menos 3 de los problemas que formen parte del conjunto de problemas propuestos en la competición.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114300" distT="114300" distL="114300" distR="114300">
          <wp:extent cx="1858328" cy="757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cpc.global/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