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Asignatura: Estructuras de datos                                                 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Código: BPTSP06</w:t>
      </w: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</w:r>
      <w:r w:rsidDel="00000000" w:rsidR="00000000" w:rsidRPr="00000000">
        <w:rPr>
          <w:b w:val="1"/>
          <w:bCs w:val="1"/>
          <w:rtl w:val="0"/>
        </w:rPr>
        <w:t xml:space="preserve">Trimestre: 2526-2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Profesores: Fernando Torre Mora,  Rhadamés Carmona y Christian Guillén Drija</w:t>
      </w:r>
    </w:p>
    <w:p w:rsidR="00000000" w:rsidDel="00000000" w:rsidP="00000000" w:rsidRDefault="00000000" w:rsidRPr="00000000" w14:paraId="00000004">
      <w:pPr>
        <w:pStyle w:val="Heading1"/>
        <w:spacing w:before="0" w:lineRule="auto"/>
        <w:jc w:val="center"/>
        <w:rPr/>
      </w:pPr>
      <w:bookmarkStart w:colFirst="0" w:colLast="0" w:name="_rn3uqkcyax2f" w:id="0"/>
      <w:bookmarkEnd w:id="0"/>
      <w:r w:rsidDel="00000000" w:rsidR="00000000" w:rsidRPr="00000000">
        <w:rPr>
          <w:rtl w:val="0"/>
        </w:rPr>
        <w:t xml:space="preserve">Programación Trimestral</w:t>
      </w:r>
    </w:p>
    <w:tbl>
      <w:tblPr>
        <w:tblStyle w:val="Table1"/>
        <w:tblW w:w="907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55"/>
        <w:gridCol w:w="1035"/>
        <w:gridCol w:w="1965"/>
        <w:gridCol w:w="2010"/>
        <w:gridCol w:w="1110"/>
        <w:tblGridChange w:id="0">
          <w:tblGrid>
            <w:gridCol w:w="2955"/>
            <w:gridCol w:w="1035"/>
            <w:gridCol w:w="1965"/>
            <w:gridCol w:w="2010"/>
            <w:gridCol w:w="11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Tema</w:t>
            </w:r>
          </w:p>
          <w:p w:rsidR="00000000" w:rsidDel="00000000" w:rsidP="00000000" w:rsidRDefault="00000000" w:rsidRPr="00000000" w14:paraId="0000000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Semana</w:t>
            </w:r>
          </w:p>
          <w:p w:rsidR="00000000" w:rsidDel="00000000" w:rsidP="00000000" w:rsidRDefault="00000000" w:rsidRPr="00000000" w14:paraId="00000008">
            <w:pPr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Actividad Evaluada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Porcentaje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Introducción al curso. Introducción a las Estructuras de datos dinámicas. Fundamentación: Punteros.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Listas enlazadas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Video interactivo 1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1,25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Listas dobles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Listas circulares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Video interactivo 2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1,25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Pilas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rPr/>
            </w:pPr>
            <w:commentRangeStart w:id="0"/>
            <w:r w:rsidDel="00000000" w:rsidR="00000000" w:rsidRPr="00000000">
              <w:rPr>
                <w:rtl w:val="0"/>
              </w:rPr>
              <w:t xml:space="preserve">Colas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Video interactivo 3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1,25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Complejidad en tiempo. Complejidad en espacio.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Prueba Práctica 1 (listas)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lun 09/02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Árboles Generales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Parcial 1 (listas, pilas y colas)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mié 18/02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Árboles binarios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Video interactivo 4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1,25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Árboles binarios de búsqueda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Proyecto 1 (Grafos)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viernes 06/03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Expresiones matemáticas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Cursos IBM SkillBuild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viernes 13/03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Árboles B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Prueba  Práctica 2 (árboles) </w:t>
            </w:r>
          </w:p>
          <w:p w:rsidR="00000000" w:rsidDel="00000000" w:rsidP="00000000" w:rsidRDefault="00000000" w:rsidRPr="00000000" w14:paraId="00000048">
            <w:pPr>
              <w:rPr/>
            </w:pPr>
            <w:commentRangeStart w:id="1"/>
            <w:r w:rsidDel="00000000" w:rsidR="00000000" w:rsidRPr="00000000">
              <w:rPr>
                <w:rtl w:val="0"/>
              </w:rPr>
              <w:t xml:space="preserve">Proyecto 2 (Hash tables y árboles)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mié 18/03</w:t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mié 25/03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commentRangeStart w:id="2"/>
            <w:r w:rsidDel="00000000" w:rsidR="00000000" w:rsidRPr="00000000">
              <w:rPr>
                <w:rtl w:val="0"/>
              </w:rPr>
              <w:t xml:space="preserve">10</w:t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Árboles balanceados (AVL)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Parcial 2 (árboles, hash Tables)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mié 25/03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commentRangeStart w:id="3"/>
            <w:r w:rsidDel="00000000" w:rsidR="00000000" w:rsidRPr="00000000">
              <w:rPr>
                <w:rtl w:val="0"/>
              </w:rPr>
              <w:t xml:space="preserve">15</w:t>
            </w: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5B">
      <w:pPr>
        <w:widowControl w:val="0"/>
        <w:spacing w:after="0" w:line="240" w:lineRule="auto"/>
        <w:rPr>
          <w:rFonts w:ascii="Liberation Serif" w:cs="Liberation Serif" w:eastAsia="Liberation Serif" w:hAnsi="Liberation Serif"/>
          <w:sz w:val="20"/>
          <w:szCs w:val="20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0"/>
          <w:szCs w:val="20"/>
          <w:rtl w:val="0"/>
        </w:rPr>
        <w:t xml:space="preserve">Nota: </w:t>
      </w:r>
      <w:r w:rsidDel="00000000" w:rsidR="00000000" w:rsidRPr="00000000">
        <w:rPr>
          <w:rFonts w:ascii="Liberation Serif" w:cs="Liberation Serif" w:eastAsia="Liberation Serif" w:hAnsi="Liberation Serif"/>
          <w:sz w:val="20"/>
          <w:szCs w:val="20"/>
          <w:rtl w:val="0"/>
        </w:rPr>
        <w:t xml:space="preserve">Los estudiantes que participen en la Agrupación de Programación Competitiva (Código Naranja) podrán optar a obtener 2 puntos extras en la nota final.  Las condiciones son:</w:t>
      </w:r>
    </w:p>
    <w:p w:rsidR="00000000" w:rsidDel="00000000" w:rsidP="00000000" w:rsidRDefault="00000000" w:rsidRPr="00000000" w14:paraId="0000005C">
      <w:pPr>
        <w:widowControl w:val="0"/>
        <w:numPr>
          <w:ilvl w:val="0"/>
          <w:numId w:val="1"/>
        </w:numPr>
        <w:spacing w:after="0" w:line="240" w:lineRule="auto"/>
        <w:ind w:left="720" w:hanging="360"/>
        <w:rPr>
          <w:rFonts w:ascii="Liberation Serif" w:cs="Liberation Serif" w:eastAsia="Liberation Serif" w:hAnsi="Liberation Serif"/>
          <w:sz w:val="20"/>
          <w:szCs w:val="20"/>
        </w:rPr>
      </w:pPr>
      <w:r w:rsidDel="00000000" w:rsidR="00000000" w:rsidRPr="00000000">
        <w:rPr>
          <w:rFonts w:ascii="Liberation Serif" w:cs="Liberation Serif" w:eastAsia="Liberation Serif" w:hAnsi="Liberation Serif"/>
          <w:sz w:val="20"/>
          <w:szCs w:val="20"/>
          <w:rtl w:val="0"/>
        </w:rPr>
        <w:t xml:space="preserve">Para obtener la totalidad de los puntos, el estudiante deberá participar en TODOS los eventos del</w:t>
      </w:r>
      <w:hyperlink r:id="rId7">
        <w:r w:rsidDel="00000000" w:rsidR="00000000" w:rsidRPr="00000000">
          <w:rPr>
            <w:rFonts w:ascii="Liberation Serif" w:cs="Liberation Serif" w:eastAsia="Liberation Serif" w:hAnsi="Liberation Serif"/>
            <w:color w:val="1155cc"/>
            <w:sz w:val="20"/>
            <w:szCs w:val="20"/>
            <w:u w:val="single"/>
            <w:rtl w:val="0"/>
          </w:rPr>
          <w:t xml:space="preserve"> ICPC</w:t>
        </w:r>
      </w:hyperlink>
      <w:r w:rsidDel="00000000" w:rsidR="00000000" w:rsidRPr="00000000">
        <w:rPr>
          <w:rFonts w:ascii="Liberation Serif" w:cs="Liberation Serif" w:eastAsia="Liberation Serif" w:hAnsi="Liberation Serif"/>
          <w:sz w:val="20"/>
          <w:szCs w:val="20"/>
          <w:rtl w:val="0"/>
        </w:rPr>
        <w:t xml:space="preserve"> y de la RPC. Los eventos son: Competencias (tanto presenciales como virtuales), sesiones de entrenamiento y reuniones solicitadas por la entrenadora y demás miembros activos de la agrupación.</w:t>
      </w:r>
    </w:p>
    <w:p w:rsidR="00000000" w:rsidDel="00000000" w:rsidP="00000000" w:rsidRDefault="00000000" w:rsidRPr="00000000" w14:paraId="0000005D">
      <w:pPr>
        <w:widowControl w:val="0"/>
        <w:numPr>
          <w:ilvl w:val="0"/>
          <w:numId w:val="1"/>
        </w:numPr>
        <w:spacing w:after="0" w:line="240" w:lineRule="auto"/>
        <w:ind w:left="720" w:hanging="360"/>
        <w:rPr>
          <w:rFonts w:ascii="Liberation Serif" w:cs="Liberation Serif" w:eastAsia="Liberation Serif" w:hAnsi="Liberation Serif"/>
          <w:sz w:val="20"/>
          <w:szCs w:val="20"/>
        </w:rPr>
      </w:pPr>
      <w:r w:rsidDel="00000000" w:rsidR="00000000" w:rsidRPr="00000000">
        <w:rPr>
          <w:rFonts w:ascii="Liberation Serif" w:cs="Liberation Serif" w:eastAsia="Liberation Serif" w:hAnsi="Liberation Serif"/>
          <w:sz w:val="20"/>
          <w:szCs w:val="20"/>
          <w:rtl w:val="0"/>
        </w:rPr>
        <w:t xml:space="preserve">Para que la participación en un evento competitivo sea considerada como válida, el estudiante deberá estar presente hasta el final del evento. Además, deberá haber entregado al menos 3 de los problemas que formen parte del conjunto de problemas propuestos en la competición.</w:t>
      </w: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Christian Alfredo Guillen Drija" w:id="0" w:date="2026-04-07T15:16:06Z"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15%</w:t>
      </w:r>
    </w:p>
  </w:comment>
  <w:comment w:author="Christian Alfredo Guillen Drija" w:id="1" w:date="2026-04-07T15:19:53Z"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proyecto se quita.</w:t>
      </w:r>
    </w:p>
  </w:comment>
  <w:comment w:author="Christian Alfredo Guillen Drija" w:id="3" w:date="2026-04-07T15:22:13Z"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20%</w:t>
      </w:r>
    </w:p>
  </w:comment>
  <w:comment w:author="Christian Alfredo Guillen Drija" w:id="2" w:date="2026-04-07T15:18:27Z"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15%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Liberation Serif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rPr/>
    </w:pPr>
    <w:r w:rsidDel="00000000" w:rsidR="00000000" w:rsidRPr="00000000">
      <w:rPr/>
      <w:drawing>
        <wp:inline distB="114300" distT="114300" distL="114300" distR="114300">
          <wp:extent cx="1858328" cy="75721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58328" cy="7572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icpc.global/" TargetMode="Externa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