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Asignatura: Estructuras de datos                                                 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Código: BPTSP06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Trimestre: 2526-3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Profesores: Fernando Torre Mora y Christian Guillén Drija</w:t>
      </w:r>
    </w:p>
    <w:p w:rsidR="00000000" w:rsidDel="00000000" w:rsidP="00000000" w:rsidRDefault="00000000" w:rsidRPr="00000000" w14:paraId="00000004">
      <w:pPr>
        <w:pStyle w:val="Heading1"/>
        <w:spacing w:before="0" w:lineRule="auto"/>
        <w:jc w:val="center"/>
        <w:rPr/>
      </w:pPr>
      <w:bookmarkStart w:colFirst="0" w:colLast="0" w:name="_rn3uqkcyax2f" w:id="0"/>
      <w:bookmarkEnd w:id="0"/>
      <w:r w:rsidDel="00000000" w:rsidR="00000000" w:rsidRPr="00000000">
        <w:rPr>
          <w:rtl w:val="0"/>
        </w:rPr>
        <w:t xml:space="preserve">Programación Trimestral</w:t>
      </w:r>
    </w:p>
    <w:tbl>
      <w:tblPr>
        <w:tblStyle w:val="Table1"/>
        <w:tblW w:w="90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5"/>
        <w:gridCol w:w="1035"/>
        <w:gridCol w:w="1965"/>
        <w:gridCol w:w="2010"/>
        <w:gridCol w:w="1110"/>
        <w:tblGridChange w:id="0">
          <w:tblGrid>
            <w:gridCol w:w="2955"/>
            <w:gridCol w:w="1035"/>
            <w:gridCol w:w="1965"/>
            <w:gridCol w:w="2010"/>
            <w:gridCol w:w="1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 Evaluada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al curso. Introducción a las Estructuras de datos dinámicas. Fundamentación: Punteros.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Listas enlazadas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Video interactivo 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Listas dobles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Listas circulares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Video interactivo 2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Primera revisión del Proyecto (tarjetas CRC)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Pilas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Video interactivo 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Complejidad en tiempo. Complejidad en espacio.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Prueba Práctica 1 (listas)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lun 18/05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Árboles Generales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Parcial 1 (listas, pilas y colas)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mié 27/05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Árboles binarios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Video interactivo 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Árboles binarios de búsqueda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Proyecto (Grafos, </w:t>
            </w:r>
            <w:r w:rsidDel="00000000" w:rsidR="00000000" w:rsidRPr="00000000">
              <w:rPr>
                <w:rtl w:val="0"/>
              </w:rPr>
              <w:t xml:space="preserve">Hash tables y árboles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RA8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sábado 06/06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Expresiones matemáticas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Árboles B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Cursos IBM SkillBuild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viernes 19/06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Árboles balanceados (AVL)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Prueba  Práctica 2 (árboles)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lunes 22/06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Parcial 2 (árboles, hash Tables)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lun 29/06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57">
      <w:pPr>
        <w:widowControl w:val="0"/>
        <w:spacing w:after="0" w:line="240" w:lineRule="auto"/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0"/>
          <w:szCs w:val="20"/>
          <w:rtl w:val="0"/>
        </w:rPr>
        <w:t xml:space="preserve">Nota: </w:t>
      </w: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Los estudiantes que participen en la Agrupación de Programación Competitiva (Código Naranja) podrán optar a obtener  puntos extras en la nota final.  Las condiciones son: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Para obtener la totalidad de los puntos, el estudiante deberá participar en TODOS los eventos del</w:t>
      </w:r>
      <w:hyperlink r:id="rId6">
        <w:r w:rsidDel="00000000" w:rsidR="00000000" w:rsidRPr="00000000">
          <w:rPr>
            <w:rFonts w:ascii="Liberation Serif" w:cs="Liberation Serif" w:eastAsia="Liberation Serif" w:hAnsi="Liberation Serif"/>
            <w:color w:val="1155cc"/>
            <w:sz w:val="20"/>
            <w:szCs w:val="20"/>
            <w:u w:val="single"/>
            <w:rtl w:val="0"/>
          </w:rPr>
          <w:t xml:space="preserve"> ICPC</w:t>
        </w:r>
      </w:hyperlink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 y de la RPC. Los eventos son: Competencias (tanto presenciales como virtuales), sesiones de entrenamiento y reuniones solicitadas por la entrenadora y demás miembros activos de la agrupación.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Para que la participación en un evento competitivo sea considerada como válida, el estudiante deberá estar presente hasta el final del evento. Además, deberá haber entregado al menos 3 de los problemas que formen parte del conjunto de problemas propuestos en la competición.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/>
      <w:drawing>
        <wp:inline distB="114300" distT="114300" distL="114300" distR="114300">
          <wp:extent cx="1858328" cy="7572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8328" cy="7572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cpc.global/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