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48"/>
          <w:szCs w:val="48"/>
        </w:rPr>
        <w:t xml:space="preserve">Sistem Bancar Lakehouse</w:t>
      </w:r>
    </w:p>
    <w:p>
      <w:pPr>
        <w:spacing w:after="200" w:before="0"/>
        <w:jc w:val="center"/>
      </w:pPr>
      <w:r>
        <w:rPr>
          <w:rFonts w:ascii="Arial" w:cs="Arial" w:eastAsia="Arial" w:hAnsi="Arial"/>
          <w:color w:val="0F6E56"/>
          <w:sz w:val="32"/>
          <w:szCs w:val="32"/>
        </w:rPr>
        <w:t xml:space="preserve">Raport tehnic — Bronze, Silver, Gold</w:t>
      </w:r>
    </w:p>
    <w:p>
      <w:pPr>
        <w:spacing w:after="80" w:before="0"/>
        <w:jc w:val="center"/>
      </w:pPr>
      <w:r>
        <w:rPr>
          <w:rFonts w:ascii="Arial" w:cs="Arial" w:eastAsia="Arial" w:hAnsi="Arial"/>
          <w:i/>
          <w:iCs/>
          <w:color w:val="7F7F7F"/>
          <w:sz w:val="24"/>
          <w:szCs w:val="24"/>
        </w:rPr>
        <w:t xml:space="preserve">Implementare în Databricks Free Edition</w:t>
      </w:r>
    </w:p>
    <w:p>
      <w:pPr>
        <w:spacing w:after="80" w:before="1200"/>
        <w:jc w:val="center"/>
      </w:pPr>
      <w:r>
        <w:rPr>
          <w:rFonts w:ascii="Arial" w:cs="Arial" w:eastAsia="Arial" w:hAnsi="Arial"/>
          <w:color w:val="7F7F7F"/>
          <w:sz w:val="22"/>
          <w:szCs w:val="22"/>
        </w:rPr>
        <w:t xml:space="preserve">Document tehnic de referință</w:t>
      </w:r>
    </w:p>
    <w:p>
      <w:r>
        <w:br w:type="page"/>
      </w:r>
    </w:p>
    <w:p>
      <w:pPr>
        <w:spacing w:after="200" w:before="200"/>
      </w:pPr>
      <w:r>
        <w:rPr>
          <w:rFonts w:ascii="Arial" w:cs="Arial" w:eastAsia="Arial" w:hAnsi="Arial"/>
          <w:b/>
          <w:bCs/>
          <w:color w:val="1F4E79"/>
          <w:sz w:val="28"/>
          <w:szCs w:val="28"/>
        </w:rPr>
        <w:t xml:space="preserve">Cuprins</w:t>
      </w:r>
    </w:p>
    <w:sdt>
      <w:sdtPr>
        <w:alias w:val="Cuprin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60" w:before="360"/>
      </w:pPr>
      <w:r>
        <w:rPr>
          <w:rFonts w:ascii="Arial" w:cs="Arial" w:eastAsia="Arial" w:hAnsi="Arial"/>
          <w:b/>
          <w:bCs/>
          <w:color w:val="1F4E79"/>
          <w:sz w:val="32"/>
          <w:szCs w:val="32"/>
        </w:rPr>
        <w:t xml:space="preserve">1. Arhitectura generală</w:t>
      </w:r>
    </w:p>
    <w:p>
      <w:pPr>
        <w:spacing w:after="100" w:before="80"/>
        <w:jc w:val="both"/>
      </w:pPr>
      <w:r>
        <w:rPr>
          <w:rFonts w:ascii="Arial" w:cs="Arial" w:eastAsia="Arial" w:hAnsi="Arial"/>
          <w:color w:val="404040"/>
          <w:sz w:val="22"/>
          <w:szCs w:val="22"/>
        </w:rPr>
        <w:t xml:space="preserve">Sistemul implementează o arhitectură modernă de tip data lakehouse, urmând principiul medalionului (Bronze - Silver - Gold) recomandat de Databricks. Această abordare separă datele în trei straturi distincte, fiecare cu un scop clar: ingestia brută a datelor sursei, curățarea și modelarea dimensională, respectiv agregarea pentru consum analitic.</w:t>
      </w:r>
    </w:p>
    <w:p>
      <w:pPr>
        <w:spacing w:after="80" w:before="80"/>
      </w:pPr>
      <w:r>
        <w:t xml:space="preserve"/>
      </w:r>
    </w:p>
    <w:p>
      <w:pPr>
        <w:spacing w:after="100" w:before="80"/>
        <w:jc w:val="both"/>
      </w:pPr>
      <w:r>
        <w:rPr>
          <w:rFonts w:ascii="Arial" w:cs="Arial" w:eastAsia="Arial" w:hAnsi="Arial"/>
          <w:color w:val="404040"/>
          <w:sz w:val="22"/>
          <w:szCs w:val="22"/>
        </w:rPr>
        <w:t xml:space="preserve">Sursa de date este o bază SQLite locală care simulează sistemul tranzacțional (OLTP) al unei bănci de retail. Datele sunt populate sintetic prin biblioteca Python Faker, cu distribuții statistice realiste pentru tipuri de tranzacții, sume, canale și comportament temporal. Pentru a demonstra capabilitățile de gestionare a datelor de calitate slăbă, generatorul introduce intenționat ~8% înregistrări eronate (erori tehnice, inconsistențe logice, duplicate).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1.1 Fluxul complet end-to-end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00"/>
              <w:right w:type="dxa" w:w="160"/>
            </w:tcMar>
          </w:tcPr>
          <w:p>
            <w:pPr>
              <w:spacing w:after="80" w:before="0"/>
            </w:pPr>
            <w:r>
              <w:rPr>
                <w:rFonts w:ascii="Arial" w:cs="Arial" w:eastAsia="Arial" w:hAnsi="Arial"/>
                <w:b/>
                <w:bCs/>
                <w:color w:val="1F4E79"/>
                <w:sz w:val="22"/>
                <w:szCs w:val="22"/>
              </w:rPr>
              <w:t xml:space="preserve">Pașii fluxului</w:t>
            </w:r>
          </w:p>
          <w:p>
            <w:pPr>
              <w:spacing w:after="40" w:before="0"/>
            </w:pPr>
            <w:r>
              <w:rPr>
                <w:rFonts w:ascii="Arial" w:cs="Arial" w:eastAsia="Arial" w:hAnsi="Arial"/>
                <w:color w:val="1F4E79"/>
                <w:sz w:val="20"/>
                <w:szCs w:val="20"/>
              </w:rPr>
              <w:t xml:space="preserve">1. Generator Python populează banking.db (SQLite) — 22 tabele, ~50.000 tranzacții istorice</w:t>
            </w:r>
          </w:p>
          <w:p>
            <w:pPr>
              <w:spacing w:after="40" w:before="0"/>
            </w:pPr>
            <w:r>
              <w:rPr>
                <w:rFonts w:ascii="Arial" w:cs="Arial" w:eastAsia="Arial" w:hAnsi="Arial"/>
                <w:color w:val="1F4E79"/>
                <w:sz w:val="20"/>
                <w:szCs w:val="20"/>
              </w:rPr>
              <w:t xml:space="preserve">2. banking.db este încărcat în Databricks Volume</w:t>
            </w:r>
          </w:p>
          <w:p>
            <w:pPr>
              <w:spacing w:after="40" w:before="0"/>
            </w:pPr>
            <w:r>
              <w:rPr>
                <w:rFonts w:ascii="Arial" w:cs="Arial" w:eastAsia="Arial" w:hAnsi="Arial"/>
                <w:color w:val="1F4E79"/>
                <w:sz w:val="20"/>
                <w:szCs w:val="20"/>
              </w:rPr>
              <w:t xml:space="preserve">3. Notebook Bronze citește SQLite via copiere locală și scrie în Delta Lake</w:t>
            </w:r>
          </w:p>
          <w:p>
            <w:pPr>
              <w:spacing w:after="40" w:before="0"/>
            </w:pPr>
            <w:r>
              <w:rPr>
                <w:rFonts w:ascii="Arial" w:cs="Arial" w:eastAsia="Arial" w:hAnsi="Arial"/>
                <w:color w:val="1F4E79"/>
                <w:sz w:val="20"/>
                <w:szCs w:val="20"/>
              </w:rPr>
              <w:t xml:space="preserve">4. Notebooks Silver (a/b/c/d) aplică validări, SCD Type 2, deduplicare, corecții</w:t>
            </w:r>
          </w:p>
          <w:p>
            <w:pPr>
              <w:spacing w:after="40" w:before="0"/>
            </w:pPr>
            <w:r>
              <w:rPr>
                <w:rFonts w:ascii="Arial" w:cs="Arial" w:eastAsia="Arial" w:hAnsi="Arial"/>
                <w:color w:val="1F4E79"/>
                <w:sz w:val="20"/>
                <w:szCs w:val="20"/>
              </w:rPr>
              <w:t xml:space="preserve">5. Notebooks Gold construiesc dimensiuni îmbogățite și agregate analitice</w:t>
            </w:r>
          </w:p>
          <w:p>
            <w:pPr>
              <w:spacing w:after="40" w:before="0"/>
            </w:pPr>
            <w:r>
              <w:rPr>
                <w:rFonts w:ascii="Arial" w:cs="Arial" w:eastAsia="Arial" w:hAnsi="Arial"/>
                <w:color w:val="1F4E79"/>
                <w:sz w:val="20"/>
                <w:szCs w:val="20"/>
              </w:rPr>
              <w:t xml:space="preserve">6. Datele Gold alimentează dashboards și modele ML (urmează)</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1.2 Tehnologii utilizate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Tehnologie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în sistem</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Python 3.11 + Faker</w:t>
            </w:r>
          </w:p>
        </w:tc>
        <w:tc>
          <w:tcPr>
            <w:tcW w:type="dxa" w:w="6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Generare sintetică a datelor (clienți, conturi, tranzacții)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SQLite</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Baza de date OLTP sursă, 22 tabele relationale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Databricks Free Edition</w:t>
            </w:r>
          </w:p>
        </w:tc>
        <w:tc>
          <w:tcPr>
            <w:tcW w:type="dxa" w:w="6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Platforma cloud pentru procesarea Spark / Delta Lake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Apache Spark / PySpark</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Engine de procesare distribuită</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Delta Lake</w:t>
            </w:r>
          </w:p>
        </w:tc>
        <w:tc>
          <w:tcPr>
            <w:tcW w:type="dxa" w:w="6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Format storage cu ACID, time travel, schema evolution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Unity Catalog</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Catalog de date organizat ierarhic (catalog/schema/table)</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VS Code + extensii</w:t>
            </w:r>
          </w:p>
        </w:tc>
        <w:tc>
          <w:tcPr>
            <w:tcW w:type="dxa" w:w="6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IDE local pentru dezvoltare și debug generator</w:t>
            </w:r>
          </w:p>
        </w:tc>
      </w:tr>
    </w:tbl>
    <w:p>
      <w:r>
        <w:br w:type="page"/>
      </w:r>
    </w:p>
    <w:p>
      <w:pPr>
        <w:pStyle w:val="Heading1"/>
        <w:spacing w:after="160" w:before="360"/>
      </w:pPr>
      <w:r>
        <w:rPr>
          <w:rFonts w:ascii="Arial" w:cs="Arial" w:eastAsia="Arial" w:hAnsi="Arial"/>
          <w:b/>
          <w:bCs/>
          <w:color w:val="1F4E79"/>
          <w:sz w:val="32"/>
          <w:szCs w:val="32"/>
        </w:rPr>
        <w:t xml:space="preserve">2. Sursa de date — SQLite</w:t>
      </w:r>
    </w:p>
    <w:p>
      <w:pPr>
        <w:spacing w:after="100" w:before="80"/>
        <w:jc w:val="both"/>
      </w:pPr>
      <w:r>
        <w:rPr>
          <w:rFonts w:ascii="Arial" w:cs="Arial" w:eastAsia="Arial" w:hAnsi="Arial"/>
          <w:color w:val="404040"/>
          <w:sz w:val="22"/>
          <w:szCs w:val="22"/>
        </w:rPr>
        <w:t xml:space="preserve">Baza de date SQLite conține 22 de tabele organizate în două categorii distincte: 14 tabele de nomenclator (prefix „ref_”) și 8 tabele entități principale. Toate cheile străine sunt declarate explicit, iar integritatea referențială este activată prin PRAGMA foreign_keys = ON. Modificările pe tabelele critice sunt logate automat în audit_log prin triggere.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2.1 Tabele de nomenclator (14)</w:t>
      </w:r>
    </w:p>
    <w:p>
      <w:pPr>
        <w:spacing w:after="100" w:before="80"/>
        <w:jc w:val="both"/>
      </w:pPr>
      <w:r>
        <w:rPr>
          <w:rFonts w:ascii="Arial" w:cs="Arial" w:eastAsia="Arial" w:hAnsi="Arial"/>
          <w:color w:val="404040"/>
          <w:sz w:val="22"/>
          <w:szCs w:val="22"/>
        </w:rPr>
        <w:t xml:space="preserve">Aceste tabele conțin date statice sau semi-statice care reprezintă codificări standardizate folosite în tot sistemul. Sunt populate manual prin scriptul seed_nomenclatoare.sql.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ref_countries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20 țări ISO 3166</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Cu flag-uri is_eu, is_sepa, risk_tier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ref_counties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42 județe Romania</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Cod SIRUTA, regiune, FK la countries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ref_regions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8 regiuni Romania</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NORD-VEST, CENTRU, BUCURESTI-ILFOV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ref_currencies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6 valute ISO 4217</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RON, EUR, USD cu rate de schimb</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ref_transaction_types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13 tipuri tranzacții</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POS, ATM, TRANSFER, FEE, INTEREST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ref_transaction_statuses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 statusuri</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PENDING, COMPLETED, FAILED, REVERSED, ON_HOLD</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ref_customer_segments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4 segmente</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RETAIL, PREMIUM, SME, CORPORATE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ref_account_types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4 tipuri conturi</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CURRENT, SAVINGS, DEPOSIT, LOAN_ACC</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ref_loan_types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6 tipuri credite</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MORTGAGE, PERSONAL, AUTO, OVERDRAFT, SME_*</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ref_card_types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6 tipuri carduri</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DEBIT_VISA, CREDIT_MC, PREPAID_VISA etc.</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ref_channels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7 canale bancare</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ATM, BRANCH, ONLINE, MOBILE, POS etc.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ref_risk_bands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4 benzi risc</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LOW, MEDIUM, HIGH, CRITICAL cu praguri</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ref_kyc_statuses</w:t>
            </w:r>
          </w:p>
        </w:tc>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4 statusuri KYC</w:t>
            </w:r>
          </w:p>
        </w:tc>
        <w:tc>
          <w:tcPr>
            <w:tcW w:type="dxa" w:w="4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PENDING, VERIFIED, FLAGGED, BLOCKED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ref_employee_roles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 roluri</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TELLER, ADVISOR, MANAGER, ANALYST, ADMIN</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2.2 Tabele entități principale (8)</w:t>
      </w:r>
    </w:p>
    <w:p>
      <w:pPr>
        <w:spacing w:after="100" w:before="80"/>
        <w:jc w:val="both"/>
      </w:pPr>
      <w:r>
        <w:rPr>
          <w:rFonts w:ascii="Arial" w:cs="Arial" w:eastAsia="Arial" w:hAnsi="Arial"/>
          <w:color w:val="404040"/>
          <w:sz w:val="22"/>
          <w:szCs w:val="22"/>
        </w:rPr>
        <w:t xml:space="preserve">Aceste tabele conțin datele tranzacționale generate dinamic de generatorul Python.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branches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20 sucursale</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Distribuite pe regiuni, fiecare cu manager_id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employees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60 angajați</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Roluri distribuite, ~3 per sucursală</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customers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500 clienți</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Date demografice ro, CNP valid, segment, KYC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accounts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800 conturi</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Cu IBAN ro, balanță, status, tip</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cards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600 carduri</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Asociate conturilor curente și de economii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loans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200 credite</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Tipuri variate cu status și rate calculate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transactions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~50.000 tranzacții</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Istoric 12 luni, ~2% duplicate intenționate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audit_log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Auto-populat</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Log automatic prin 7 triggere SQLite</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2.3 Generatorul de date</w:t>
      </w:r>
    </w:p>
    <w:p>
      <w:pPr>
        <w:spacing w:after="100" w:before="80"/>
        <w:jc w:val="both"/>
      </w:pPr>
      <w:r>
        <w:rPr>
          <w:rFonts w:ascii="Arial" w:cs="Arial" w:eastAsia="Arial" w:hAnsi="Arial"/>
          <w:color w:val="404040"/>
          <w:sz w:val="22"/>
          <w:szCs w:val="22"/>
        </w:rPr>
        <w:t xml:space="preserve">Generatorul este organizat în 4 fișiere Python: config.py (volume și probabilități), helpers.py (CNP, IBAN, calcule de sume), generate.py (logica principală) și scheduler.py (flux continuu).</w:t>
      </w:r>
    </w:p>
    <w:p>
      <w:pPr>
        <w:spacing w:after="80" w:before="80"/>
      </w:pPr>
      <w:r>
        <w:t xml:space="preserve"/>
      </w:r>
    </w:p>
    <w:p>
      <w:pPr>
        <w:spacing w:after="100" w:before="80"/>
        <w:jc w:val="both"/>
      </w:pPr>
      <w:r>
        <w:rPr>
          <w:rFonts w:ascii="Arial" w:cs="Arial" w:eastAsia="Arial" w:hAnsi="Arial"/>
          <w:color w:val="404040"/>
          <w:sz w:val="22"/>
          <w:szCs w:val="22"/>
        </w:rPr>
        <w:t xml:space="preserve">Caracteristici importante ale generatorului:</w:t>
      </w:r>
    </w:p>
    <w:p>
      <w:pPr>
        <w:pStyle w:val="ListParagraph"/>
        <w:numPr>
          <w:ilvl w:val="0"/>
          <w:numId w:val="2"/>
        </w:numPr>
        <w:spacing w:after="40" w:before="40"/>
      </w:pPr>
      <w:r>
        <w:rPr>
          <w:rFonts w:ascii="Arial" w:cs="Arial" w:eastAsia="Arial" w:hAnsi="Arial"/>
          <w:color w:val="404040"/>
          <w:sz w:val="22"/>
          <w:szCs w:val="22"/>
        </w:rPr>
        <w:t xml:space="preserve">CNP-uri sunt generate algoritmic conform standardului românesc, cu cifră de control validă</w:t>
      </w:r>
    </w:p>
    <w:p>
      <w:pPr>
        <w:pStyle w:val="ListParagraph"/>
        <w:numPr>
          <w:ilvl w:val="0"/>
          <w:numId w:val="2"/>
        </w:numPr>
        <w:spacing w:after="40" w:before="40"/>
      </w:pPr>
      <w:r>
        <w:rPr>
          <w:rFonts w:ascii="Arial" w:cs="Arial" w:eastAsia="Arial" w:hAnsi="Arial"/>
          <w:color w:val="404040"/>
          <w:sz w:val="22"/>
          <w:szCs w:val="22"/>
        </w:rPr>
        <w:t xml:space="preserve">Sumele tranzacțiilor urmează distribuții log-normale (majoritar mici, câteva mari)</w:t>
      </w:r>
    </w:p>
    <w:p>
      <w:pPr>
        <w:pStyle w:val="ListParagraph"/>
        <w:numPr>
          <w:ilvl w:val="0"/>
          <w:numId w:val="2"/>
        </w:numPr>
        <w:spacing w:after="40" w:before="40"/>
      </w:pPr>
      <w:r>
        <w:rPr>
          <w:rFonts w:ascii="Arial" w:cs="Arial" w:eastAsia="Arial" w:hAnsi="Arial"/>
          <w:color w:val="404040"/>
          <w:sz w:val="22"/>
          <w:szCs w:val="22"/>
        </w:rPr>
        <w:t xml:space="preserve">Distribuția orară a tranzacțiilor are vârfuri dimineața și seara, minim noaptea</w:t>
      </w:r>
    </w:p>
    <w:p>
      <w:pPr>
        <w:pStyle w:val="ListParagraph"/>
        <w:numPr>
          <w:ilvl w:val="0"/>
          <w:numId w:val="2"/>
        </w:numPr>
        <w:spacing w:after="40" w:before="40"/>
      </w:pPr>
      <w:r>
        <w:rPr>
          <w:rFonts w:ascii="Arial" w:cs="Arial" w:eastAsia="Arial" w:hAnsi="Arial"/>
          <w:color w:val="404040"/>
          <w:sz w:val="22"/>
          <w:szCs w:val="22"/>
        </w:rPr>
        <w:t xml:space="preserve">Segmentele clienților respectă proporții reale: 80% RETAIL, 15% PREMIUM, 5% SME/CORPORATE</w:t>
      </w:r>
    </w:p>
    <w:p>
      <w:pPr>
        <w:pStyle w:val="ListParagraph"/>
        <w:numPr>
          <w:ilvl w:val="0"/>
          <w:numId w:val="2"/>
        </w:numPr>
        <w:spacing w:after="40" w:before="40"/>
      </w:pPr>
      <w:r>
        <w:rPr>
          <w:rFonts w:ascii="Arial" w:cs="Arial" w:eastAsia="Arial" w:hAnsi="Arial"/>
          <w:color w:val="404040"/>
          <w:sz w:val="22"/>
          <w:szCs w:val="22"/>
        </w:rPr>
        <w:t xml:space="preserve">Status-ul cardurilor este coerent cu data de expirare (carduri expirate primesc status EXPIRED)</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2.4 Erori introduse intenționat</w:t>
      </w:r>
    </w:p>
    <w:p>
      <w:pPr>
        <w:spacing w:after="100" w:before="80"/>
        <w:jc w:val="both"/>
      </w:pPr>
      <w:r>
        <w:rPr>
          <w:rFonts w:ascii="Arial" w:cs="Arial" w:eastAsia="Arial" w:hAnsi="Arial"/>
          <w:color w:val="404040"/>
          <w:sz w:val="22"/>
          <w:szCs w:val="22"/>
        </w:rPr>
        <w:t xml:space="preserve">Pentru a demonstra capabilitățile de gestionare a calității datelor în Silver, generatorul introduce ~8% înregistrări eronate, distribuite în 3 categorii: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EDA" w:val="clear"/>
            <w:tcMar>
              <w:top w:type="dxa" w:w="120"/>
              <w:left w:type="dxa" w:w="160"/>
              <w:bottom w:type="dxa" w:w="100"/>
              <w:right w:type="dxa" w:w="160"/>
            </w:tcMar>
          </w:tcPr>
          <w:p>
            <w:pPr>
              <w:spacing w:after="80" w:before="0"/>
            </w:pPr>
            <w:r>
              <w:rPr>
                <w:rFonts w:ascii="Arial" w:cs="Arial" w:eastAsia="Arial" w:hAnsi="Arial"/>
                <w:b/>
                <w:bCs/>
                <w:color w:val="633806"/>
                <w:sz w:val="22"/>
                <w:szCs w:val="22"/>
              </w:rPr>
              <w:t xml:space="preserve">Erori tehnice (~3%)</w:t>
            </w:r>
          </w:p>
          <w:p>
            <w:pPr>
              <w:spacing w:after="40" w:before="0"/>
            </w:pPr>
            <w:r>
              <w:rPr>
                <w:rFonts w:ascii="Arial" w:cs="Arial" w:eastAsia="Arial" w:hAnsi="Arial"/>
                <w:color w:val="633806"/>
                <w:sz w:val="20"/>
                <w:szCs w:val="20"/>
              </w:rPr>
              <w:t xml:space="preserve">amount NULL sau negativ pe tranzacții</w:t>
            </w:r>
          </w:p>
          <w:p>
            <w:pPr>
              <w:spacing w:after="40" w:before="0"/>
            </w:pPr>
            <w:r>
              <w:rPr>
                <w:rFonts w:ascii="Arial" w:cs="Arial" w:eastAsia="Arial" w:hAnsi="Arial"/>
                <w:color w:val="633806"/>
                <w:sz w:val="20"/>
                <w:szCs w:val="20"/>
              </w:rPr>
              <w:t xml:space="preserve">email fără @, CNP cu 12 caractere</w:t>
            </w:r>
          </w:p>
          <w:p>
            <w:pPr>
              <w:spacing w:after="40" w:before="0"/>
            </w:pPr>
            <w:r>
              <w:rPr>
                <w:rFonts w:ascii="Arial" w:cs="Arial" w:eastAsia="Arial" w:hAnsi="Arial"/>
                <w:color w:val="633806"/>
                <w:sz w:val="20"/>
                <w:szCs w:val="20"/>
              </w:rPr>
              <w:t xml:space="preserve">status_code, channel_code invalide (FK violations)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EDA" w:val="clear"/>
            <w:tcMar>
              <w:top w:type="dxa" w:w="120"/>
              <w:left w:type="dxa" w:w="160"/>
              <w:bottom w:type="dxa" w:w="100"/>
              <w:right w:type="dxa" w:w="160"/>
            </w:tcMar>
          </w:tcPr>
          <w:p>
            <w:pPr>
              <w:spacing w:after="80" w:before="0"/>
            </w:pPr>
            <w:r>
              <w:rPr>
                <w:rFonts w:ascii="Arial" w:cs="Arial" w:eastAsia="Arial" w:hAnsi="Arial"/>
                <w:b/>
                <w:bCs/>
                <w:color w:val="633806"/>
                <w:sz w:val="22"/>
                <w:szCs w:val="22"/>
              </w:rPr>
              <w:t xml:space="preserve">Inconsistențe logice (~3%)</w:t>
            </w:r>
          </w:p>
          <w:p>
            <w:pPr>
              <w:spacing w:after="40" w:before="0"/>
            </w:pPr>
            <w:r>
              <w:rPr>
                <w:rFonts w:ascii="Arial" w:cs="Arial" w:eastAsia="Arial" w:hAnsi="Arial"/>
                <w:color w:val="633806"/>
                <w:sz w:val="20"/>
                <w:szCs w:val="20"/>
              </w:rPr>
              <w:t xml:space="preserve">completed_at înainte de initiated_at</w:t>
            </w:r>
          </w:p>
          <w:p>
            <w:pPr>
              <w:spacing w:after="40" w:before="0"/>
            </w:pPr>
            <w:r>
              <w:rPr>
                <w:rFonts w:ascii="Arial" w:cs="Arial" w:eastAsia="Arial" w:hAnsi="Arial"/>
                <w:color w:val="633806"/>
                <w:sz w:val="20"/>
                <w:szCs w:val="20"/>
              </w:rPr>
              <w:t xml:space="preserve">amount_ron incorect față de amount * exchange_rate</w:t>
            </w:r>
          </w:p>
          <w:p>
            <w:pPr>
              <w:spacing w:after="40" w:before="0"/>
            </w:pPr>
            <w:r>
              <w:rPr>
                <w:rFonts w:ascii="Arial" w:cs="Arial" w:eastAsia="Arial" w:hAnsi="Arial"/>
                <w:color w:val="633806"/>
                <w:sz w:val="20"/>
                <w:szCs w:val="20"/>
              </w:rPr>
              <w:t xml:space="preserve">Card cu status ACTIVE dar expiry_date în trecut</w:t>
            </w:r>
          </w:p>
          <w:p>
            <w:pPr>
              <w:spacing w:after="40" w:before="0"/>
            </w:pPr>
            <w:r>
              <w:rPr>
                <w:rFonts w:ascii="Arial" w:cs="Arial" w:eastAsia="Arial" w:hAnsi="Arial"/>
                <w:color w:val="633806"/>
                <w:sz w:val="20"/>
                <w:szCs w:val="20"/>
              </w:rPr>
              <w:t xml:space="preserve">Credit cu end_date înainte de start_date</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EDA" w:val="clear"/>
            <w:tcMar>
              <w:top w:type="dxa" w:w="120"/>
              <w:left w:type="dxa" w:w="160"/>
              <w:bottom w:type="dxa" w:w="100"/>
              <w:right w:type="dxa" w:w="160"/>
            </w:tcMar>
          </w:tcPr>
          <w:p>
            <w:pPr>
              <w:spacing w:after="80" w:before="0"/>
            </w:pPr>
            <w:r>
              <w:rPr>
                <w:rFonts w:ascii="Arial" w:cs="Arial" w:eastAsia="Arial" w:hAnsi="Arial"/>
                <w:b/>
                <w:bCs/>
                <w:color w:val="633806"/>
                <w:sz w:val="22"/>
                <w:szCs w:val="22"/>
              </w:rPr>
              <w:t xml:space="preserve">Duplicate (~2%)</w:t>
            </w:r>
          </w:p>
          <w:p>
            <w:pPr>
              <w:spacing w:after="40" w:before="0"/>
            </w:pPr>
            <w:r>
              <w:rPr>
                <w:rFonts w:ascii="Arial" w:cs="Arial" w:eastAsia="Arial" w:hAnsi="Arial"/>
                <w:color w:val="633806"/>
                <w:sz w:val="20"/>
                <w:szCs w:val="20"/>
              </w:rPr>
              <w:t xml:space="preserve">Același transaction_id reinjectat cu valori ușor modificate</w:t>
            </w:r>
          </w:p>
          <w:p>
            <w:pPr>
              <w:spacing w:after="40" w:before="0"/>
            </w:pPr>
            <w:r>
              <w:rPr>
                <w:rFonts w:ascii="Arial" w:cs="Arial" w:eastAsia="Arial" w:hAnsi="Arial"/>
                <w:color w:val="633806"/>
                <w:sz w:val="20"/>
                <w:szCs w:val="20"/>
              </w:rPr>
              <w:t xml:space="preserve">Sufix -DUP pentru identificare</w:t>
            </w:r>
          </w:p>
        </w:tc>
      </w:tr>
    </w:tbl>
    <w:p>
      <w:r>
        <w:br w:type="page"/>
      </w:r>
    </w:p>
    <w:p>
      <w:pPr>
        <w:pStyle w:val="Heading1"/>
        <w:spacing w:after="160" w:before="360"/>
      </w:pPr>
      <w:r>
        <w:rPr>
          <w:rFonts w:ascii="Arial" w:cs="Arial" w:eastAsia="Arial" w:hAnsi="Arial"/>
          <w:b/>
          <w:bCs/>
          <w:color w:val="1F4E79"/>
          <w:sz w:val="32"/>
          <w:szCs w:val="32"/>
        </w:rPr>
        <w:t xml:space="preserve">3. Stratul Bronze — ingestia brută</w:t>
      </w:r>
    </w:p>
    <w:p>
      <w:pPr>
        <w:spacing w:after="100" w:before="80"/>
        <w:jc w:val="both"/>
      </w:pPr>
      <w:r>
        <w:rPr>
          <w:rFonts w:ascii="Arial" w:cs="Arial" w:eastAsia="Arial" w:hAnsi="Arial"/>
          <w:color w:val="404040"/>
          <w:sz w:val="22"/>
          <w:szCs w:val="22"/>
        </w:rPr>
        <w:t xml:space="preserve">Stratul Bronze reprezintă zona de aterizare a datelor brute extrase din SQLite. Principiul fundamental Bronze este „copy as-is” — datele sunt scrise în Delta Lake exact așa cum vin din sursă, fără nicio transformare sau curățare. Aceasta asigură că avem întotdeauna o copie integrală a sursei pentru audit și reprocesare.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3.1 Strategia de încărcare</w:t>
      </w:r>
    </w:p>
    <w:p>
      <w:pPr>
        <w:spacing w:after="100" w:before="80"/>
        <w:jc w:val="both"/>
      </w:pPr>
      <w:r>
        <w:rPr>
          <w:rFonts w:ascii="Arial" w:cs="Arial" w:eastAsia="Arial" w:hAnsi="Arial"/>
          <w:color w:val="404040"/>
          <w:sz w:val="22"/>
          <w:szCs w:val="22"/>
        </w:rPr>
        <w:t xml:space="preserve">Notebook-ul 01_bronze.py descoperă dinamic toate tabelele din SQLite și creează câte o tabelă Delta corespunzătoare în banking.bronze. Numele tabelei Delta urmează convenția raw_&lt;source_table&gt; (ex. raw_transactions, raw_customers). Toate coloanele sunt păstrate ca STRING în Bronze — conversia tipurilor se face abia în Silver.</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3.2 Coloane de metadata pentru lineage</w:t>
      </w:r>
    </w:p>
    <w:p>
      <w:pPr>
        <w:spacing w:after="100" w:before="80"/>
        <w:jc w:val="both"/>
      </w:pPr>
      <w:r>
        <w:rPr>
          <w:rFonts w:ascii="Arial" w:cs="Arial" w:eastAsia="Arial" w:hAnsi="Arial"/>
          <w:color w:val="404040"/>
          <w:sz w:val="22"/>
          <w:szCs w:val="22"/>
        </w:rPr>
        <w:t xml:space="preserve">Fiecare tabel Bronze primește 4 coloane suplimentare pentru trasabilitate: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Coloană</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Descriere</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_ingestion_ts</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TIMESTAMP</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Când a fost ingerat rândul în Bronze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_source_system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Identificator sursa: sqlite_banking</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_batch_id</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STRING</w:t>
            </w:r>
          </w:p>
        </w:tc>
        <w:tc>
          <w:tcPr>
            <w:tcW w:type="dxa" w:w="4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ID unic al rulării pipeline-ului</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_source_file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STRING</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Numele fișierului SQLite (banking.db)</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3.3 Provocări tehnice rezolvate</w:t>
      </w:r>
    </w:p>
    <w:p>
      <w:pPr>
        <w:spacing w:after="100" w:before="80"/>
        <w:jc w:val="both"/>
      </w:pPr>
      <w:r>
        <w:rPr>
          <w:rFonts w:ascii="Arial" w:cs="Arial" w:eastAsia="Arial" w:hAnsi="Arial"/>
          <w:color w:val="404040"/>
          <w:sz w:val="22"/>
          <w:szCs w:val="22"/>
        </w:rPr>
        <w:t xml:space="preserve">La conectarea SQLite din Databricks am întâlnit eroarea „disk I/O error” — SQLite nu poate scrie fișierele auxiliare (WAL, journal) într-un Volume Databricks (cloud storage). Soluția a fost copierea fișierului banking.db din Volume în /tmp pe driver-ul Spark înainte de conectare.</w:t>
      </w:r>
    </w:p>
    <w:p>
      <w:pPr>
        <w:spacing w:after="80" w:before="80"/>
      </w:pPr>
      <w:r>
        <w:t xml:space="preserve"/>
      </w:r>
    </w:p>
    <w:p>
      <w:pPr>
        <w:shd w:fill="F5F5F5" w:val="clear"/>
        <w:spacing w:after="60" w:before="60"/>
      </w:pPr>
      <w:r>
        <w:rPr>
          <w:rFonts w:ascii="Consolas" w:cs="Consolas" w:eastAsia="Consolas" w:hAnsi="Consolas"/>
          <w:color w:val="1A1A1A"/>
          <w:sz w:val="18"/>
          <w:szCs w:val="18"/>
        </w:rPr>
        <w:t xml:space="preserve">shutil.copy('/Volumes/banking/bronze/raw_files/banking.db', '/tmp/banking_local.db')</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3.4 Output Bronze</w:t>
      </w:r>
    </w:p>
    <w:p>
      <w:pPr>
        <w:spacing w:after="100" w:before="80"/>
        <w:jc w:val="both"/>
      </w:pPr>
      <w:r>
        <w:rPr>
          <w:rFonts w:ascii="Arial" w:cs="Arial" w:eastAsia="Arial" w:hAnsi="Arial"/>
          <w:color w:val="404040"/>
          <w:sz w:val="22"/>
          <w:szCs w:val="22"/>
        </w:rPr>
        <w:t xml:space="preserve">După rulare obținem 22 de tabele Delta în banking.bronze (toate cele 14 ref_* + 8 entități principale), plus o tabelă _bronze_runs cu metadata fiecărei rulări pentru audit pipeline.</w:t>
      </w:r>
    </w:p>
    <w:p>
      <w:r>
        <w:br w:type="page"/>
      </w:r>
    </w:p>
    <w:p>
      <w:pPr>
        <w:pStyle w:val="Heading1"/>
        <w:spacing w:after="160" w:before="360"/>
      </w:pPr>
      <w:r>
        <w:rPr>
          <w:rFonts w:ascii="Arial" w:cs="Arial" w:eastAsia="Arial" w:hAnsi="Arial"/>
          <w:b/>
          <w:bCs/>
          <w:color w:val="1F4E79"/>
          <w:sz w:val="32"/>
          <w:szCs w:val="32"/>
        </w:rPr>
        <w:t xml:space="preserve">4. Stratul Silver — curățare și modelare</w:t>
      </w:r>
    </w:p>
    <w:p>
      <w:pPr>
        <w:spacing w:after="100" w:before="80"/>
        <w:jc w:val="both"/>
      </w:pPr>
      <w:r>
        <w:rPr>
          <w:rFonts w:ascii="Arial" w:cs="Arial" w:eastAsia="Arial" w:hAnsi="Arial"/>
          <w:color w:val="404040"/>
          <w:sz w:val="22"/>
          <w:szCs w:val="22"/>
        </w:rPr>
        <w:t xml:space="preserve">Stratul Silver transformă datele brute din Bronze într-un model dimensional curat și validat. Aici aplicăm type casting, validări de calitate, deduplicare, gestionarea istoricului prin SCD Type 2 și izolarea înregistrărilor invalide în carantină.</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4.1 Notebook 02a — Silver References</w:t>
      </w:r>
    </w:p>
    <w:p>
      <w:pPr>
        <w:spacing w:after="100" w:before="80"/>
        <w:jc w:val="both"/>
      </w:pPr>
      <w:r>
        <w:rPr>
          <w:rFonts w:ascii="Arial" w:cs="Arial" w:eastAsia="Arial" w:hAnsi="Arial"/>
          <w:color w:val="404040"/>
          <w:sz w:val="22"/>
          <w:szCs w:val="22"/>
        </w:rPr>
        <w:t xml:space="preserve">Procesarea celor 14 tabele de nomenclator. Transformările aplicate sunt simple: type casting (STRING → INTEGER, DOUBLE pentru flag-uri și rate), eliminarea coloanelor cosmetice (ex. simbolul valutei) și păstrarea metadatelor de lineage redenumite (source_batch_id, source_ingestion_ts).</w:t>
      </w:r>
    </w:p>
    <w:p>
      <w:pPr>
        <w:spacing w:after="80" w:before="80"/>
      </w:pPr>
      <w:r>
        <w:t xml:space="preserve"/>
      </w:r>
    </w:p>
    <w:p>
      <w:pPr>
        <w:spacing w:after="100" w:before="80"/>
        <w:jc w:val="both"/>
      </w:pPr>
      <w:r>
        <w:rPr>
          <w:rFonts w:ascii="Arial" w:cs="Arial" w:eastAsia="Arial" w:hAnsi="Arial"/>
          <w:color w:val="404040"/>
          <w:sz w:val="22"/>
          <w:szCs w:val="22"/>
        </w:rPr>
        <w:t xml:space="preserve">Tabelele rezultate în banking.silver.ref_* sunt baza pentru validările FK din toate dimensiunile și fapele construite ulterior.</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4.2 Notebook 02b1 — Silver Dimensions simple</w:t>
      </w:r>
    </w:p>
    <w:p>
      <w:pPr>
        <w:spacing w:after="100" w:before="80"/>
        <w:jc w:val="both"/>
      </w:pPr>
      <w:r>
        <w:rPr>
          <w:rFonts w:ascii="Arial" w:cs="Arial" w:eastAsia="Arial" w:hAnsi="Arial"/>
          <w:color w:val="404040"/>
          <w:sz w:val="22"/>
          <w:szCs w:val="22"/>
        </w:rPr>
        <w:t xml:space="preserve">Procesarea celor 5 dimensiuni „simple”: dim_branches, dim_employees, dim_accounts, dim_cards, dim_loans. Pentru fiecare aplicăm type casting, validări și un mecanism de carantină.</w:t>
      </w:r>
    </w:p>
    <w:p>
      <w:pPr>
        <w:spacing w:after="80" w:before="80"/>
      </w:pPr>
      <w:r>
        <w:t xml:space="preserve"/>
      </w:r>
    </w:p>
    <w:p>
      <w:pPr>
        <w:spacing w:after="100" w:before="80"/>
        <w:jc w:val="both"/>
      </w:pPr>
      <w:r>
        <w:rPr>
          <w:rFonts w:ascii="Arial" w:cs="Arial" w:eastAsia="Arial" w:hAnsi="Arial"/>
          <w:color w:val="404040"/>
          <w:sz w:val="22"/>
          <w:szCs w:val="22"/>
        </w:rPr>
        <w:t xml:space="preserve">Funcția split_valid_invalid primește o listă de validări și împarte DataFrame-ul în două: valide și invalide. Pentru cele invalide, păstrează un array error_reasons cu numele tuturor regulilor încălcate per rând. Aceasta permite analiză detaliată a problemelor.</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Validări remarcabile</w:t>
      </w:r>
    </w:p>
    <w:p>
      <w:pPr>
        <w:pStyle w:val="ListParagraph"/>
        <w:numPr>
          <w:ilvl w:val="0"/>
          <w:numId w:val="2"/>
        </w:numPr>
        <w:spacing w:after="40" w:before="40"/>
      </w:pPr>
      <w:r>
        <w:rPr>
          <w:rFonts w:ascii="Arial" w:cs="Arial" w:eastAsia="Arial" w:hAnsi="Arial"/>
          <w:color w:val="404040"/>
          <w:sz w:val="22"/>
          <w:szCs w:val="22"/>
        </w:rPr>
        <w:t xml:space="preserve">dim_cards: detectare carduri cu status ACTIVE dar expiry_date în trecut (eroare logică injectată)</w:t>
      </w:r>
    </w:p>
    <w:p>
      <w:pPr>
        <w:pStyle w:val="ListParagraph"/>
        <w:numPr>
          <w:ilvl w:val="0"/>
          <w:numId w:val="2"/>
        </w:numPr>
        <w:spacing w:after="40" w:before="40"/>
      </w:pPr>
      <w:r>
        <w:rPr>
          <w:rFonts w:ascii="Arial" w:cs="Arial" w:eastAsia="Arial" w:hAnsi="Arial"/>
          <w:color w:val="404040"/>
          <w:sz w:val="22"/>
          <w:szCs w:val="22"/>
        </w:rPr>
        <w:t xml:space="preserve">dim_loans: detectare credite cu end_date înainte de start_date</w:t>
      </w:r>
    </w:p>
    <w:p>
      <w:pPr>
        <w:pStyle w:val="ListParagraph"/>
        <w:numPr>
          <w:ilvl w:val="0"/>
          <w:numId w:val="2"/>
        </w:numPr>
        <w:spacing w:after="40" w:before="40"/>
      </w:pPr>
      <w:r>
        <w:rPr>
          <w:rFonts w:ascii="Arial" w:cs="Arial" w:eastAsia="Arial" w:hAnsi="Arial"/>
          <w:color w:val="404040"/>
          <w:sz w:val="22"/>
          <w:szCs w:val="22"/>
        </w:rPr>
        <w:t xml:space="preserve">dim_accounts: validare close_date &gt;= open_date</w:t>
      </w:r>
    </w:p>
    <w:p>
      <w:pPr>
        <w:pStyle w:val="ListParagraph"/>
        <w:numPr>
          <w:ilvl w:val="0"/>
          <w:numId w:val="2"/>
        </w:numPr>
        <w:spacing w:after="40" w:before="40"/>
      </w:pPr>
      <w:r>
        <w:rPr>
          <w:rFonts w:ascii="Arial" w:cs="Arial" w:eastAsia="Arial" w:hAnsi="Arial"/>
          <w:color w:val="404040"/>
          <w:sz w:val="22"/>
          <w:szCs w:val="22"/>
        </w:rPr>
        <w:t xml:space="preserve">Toate: validare FK în lanț (account_id valid în dim_accounts înainte de a fi acceptat în dim_cards)</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4.3 Notebook 02b2 — dim_customers cu SCD Type 2</w:t>
      </w:r>
    </w:p>
    <w:p>
      <w:pPr>
        <w:spacing w:after="100" w:before="80"/>
        <w:jc w:val="both"/>
      </w:pPr>
      <w:r>
        <w:rPr>
          <w:rFonts w:ascii="Arial" w:cs="Arial" w:eastAsia="Arial" w:hAnsi="Arial"/>
          <w:color w:val="404040"/>
          <w:sz w:val="22"/>
          <w:szCs w:val="22"/>
        </w:rPr>
        <w:t xml:space="preserve">Această dimensiune păstrează istoricul complet al modificărilor pe atributele urmărite. Cei 4 atribute trackate sunt: segment_code, kyc_status, county_code, is_active — elești aliniate cu modificările pe care le aplică generatorul în batch-uri continue.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Coloane SCD Type 2 adăugate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Coloană</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customer_sk</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INTEGER</w:t>
            </w:r>
          </w:p>
        </w:tc>
        <w:tc>
          <w:tcPr>
            <w:tcW w:type="dxa" w:w="5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Surrogate key auto-incrementat (PK în Silver)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valid_from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TIMESTAMP</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De la când e activă versiunea (1900-01-01 pentru inițiale)</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valid_to</w:t>
            </w:r>
          </w:p>
        </w:tc>
        <w:tc>
          <w:tcPr>
            <w:tcW w:type="dxa" w:w="1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TIMESTAMP</w:t>
            </w:r>
          </w:p>
        </w:tc>
        <w:tc>
          <w:tcPr>
            <w:tcW w:type="dxa" w:w="50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Până când e activă (3000-01-01 pentru cele curente)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is_current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BOOLEAN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Flag rapid pentru filtrare (Kimball pattern)</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Algoritmul de detectare modificări</w:t>
      </w:r>
    </w:p>
    <w:p>
      <w:pPr>
        <w:spacing w:after="100" w:before="80"/>
        <w:jc w:val="both"/>
      </w:pPr>
      <w:r>
        <w:rPr>
          <w:rFonts w:ascii="Arial" w:cs="Arial" w:eastAsia="Arial" w:hAnsi="Arial"/>
          <w:color w:val="404040"/>
          <w:sz w:val="22"/>
          <w:szCs w:val="22"/>
        </w:rPr>
        <w:t xml:space="preserve">Pentru fiecare client din Bronze nou, calculăm un hash SHA-256 al celor 4 atribute trackate. Comparăm cu hash-ul versiunii curente din Silver:</w:t>
      </w:r>
    </w:p>
    <w:p>
      <w:pPr>
        <w:pStyle w:val="ListParagraph"/>
        <w:numPr>
          <w:ilvl w:val="0"/>
          <w:numId w:val="2"/>
        </w:numPr>
        <w:spacing w:after="40" w:before="40"/>
      </w:pPr>
      <w:r>
        <w:rPr>
          <w:rFonts w:ascii="Arial" w:cs="Arial" w:eastAsia="Arial" w:hAnsi="Arial"/>
          <w:color w:val="404040"/>
          <w:sz w:val="22"/>
          <w:szCs w:val="22"/>
        </w:rPr>
        <w:t xml:space="preserve">Client nou (nu există în Silver) → INSERT cu is_current=true, valid_from=NOW</w:t>
      </w:r>
    </w:p>
    <w:p>
      <w:pPr>
        <w:pStyle w:val="ListParagraph"/>
        <w:numPr>
          <w:ilvl w:val="0"/>
          <w:numId w:val="2"/>
        </w:numPr>
        <w:spacing w:after="40" w:before="40"/>
      </w:pPr>
      <w:r>
        <w:rPr>
          <w:rFonts w:ascii="Arial" w:cs="Arial" w:eastAsia="Arial" w:hAnsi="Arial"/>
          <w:color w:val="404040"/>
          <w:sz w:val="22"/>
          <w:szCs w:val="22"/>
        </w:rPr>
        <w:t xml:space="preserve">Atribute neschimbate (hash identic) → nu facem nimic</w:t>
      </w:r>
    </w:p>
    <w:p>
      <w:pPr>
        <w:pStyle w:val="ListParagraph"/>
        <w:numPr>
          <w:ilvl w:val="0"/>
          <w:numId w:val="2"/>
        </w:numPr>
        <w:spacing w:after="40" w:before="40"/>
      </w:pPr>
      <w:r>
        <w:rPr>
          <w:rFonts w:ascii="Arial" w:cs="Arial" w:eastAsia="Arial" w:hAnsi="Arial"/>
          <w:color w:val="404040"/>
          <w:sz w:val="22"/>
          <w:szCs w:val="22"/>
        </w:rPr>
        <w:t xml:space="preserve">Atribute schimbate (hash diferit) → închidem versiunea curentă (valid_to=NOW, is_current=false) + INSERT versiune nouă</w:t>
      </w:r>
    </w:p>
    <w:p>
      <w:pPr>
        <w:pStyle w:val="ListParagraph"/>
        <w:numPr>
          <w:ilvl w:val="0"/>
          <w:numId w:val="2"/>
        </w:numPr>
        <w:spacing w:after="40" w:before="40"/>
      </w:pPr>
      <w:r>
        <w:rPr>
          <w:rFonts w:ascii="Arial" w:cs="Arial" w:eastAsia="Arial" w:hAnsi="Arial"/>
          <w:color w:val="404040"/>
          <w:sz w:val="22"/>
          <w:szCs w:val="22"/>
        </w:rPr>
        <w:t xml:space="preserve">Client dispărut din Bronze → soft delete (închidem versiunea curentă)</w:t>
      </w:r>
    </w:p>
    <w:p>
      <w:pPr>
        <w:spacing w:after="80" w:before="80"/>
      </w:pPr>
      <w:r>
        <w:t xml:space="preserve"/>
      </w:r>
    </w:p>
    <w:p>
      <w:pPr>
        <w:spacing w:after="100" w:before="80"/>
        <w:jc w:val="both"/>
      </w:pPr>
      <w:r>
        <w:rPr>
          <w:rFonts w:ascii="Arial" w:cs="Arial" w:eastAsia="Arial" w:hAnsi="Arial"/>
          <w:color w:val="404040"/>
          <w:sz w:val="22"/>
          <w:szCs w:val="22"/>
        </w:rPr>
        <w:t xml:space="preserve">La prima rulare, toate versiunile primesc valid_from = 1900-01-01 (convenție standard pentru date pre-existente). La rulările incrementale, modificările detectate primesc valid_from = NOW (momentul real al schimbării).</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4.4 Notebook 02c — fact_transactions și dim_date</w:t>
      </w:r>
    </w:p>
    <w:p>
      <w:pPr>
        <w:spacing w:after="100" w:before="80"/>
        <w:jc w:val="both"/>
      </w:pPr>
      <w:r>
        <w:rPr>
          <w:rFonts w:ascii="Arial" w:cs="Arial" w:eastAsia="Arial" w:hAnsi="Arial"/>
          <w:color w:val="404040"/>
          <w:sz w:val="22"/>
          <w:szCs w:val="22"/>
        </w:rPr>
        <w:t xml:space="preserve">Procesarea celor ~50.000 de tranzacții este partea cea mai voluminoasă și complexă din Silver.</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Pași de procesare fact_transactions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w:t>
            </w:r>
          </w:p>
        </w:tc>
        <w:tc>
          <w:tcPr>
            <w:tcW w:type="dxa" w:w="8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Operație</w:t>
            </w:r>
          </w:p>
        </w:tc>
      </w:tr>
      <w:tr>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w:t>
            </w:r>
          </w:p>
        </w:tc>
        <w:tc>
          <w:tcPr>
            <w:tcW w:type="dxa" w:w="8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Citire raw_transactions din Bronze + lineage metadata</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w:t>
            </w:r>
          </w:p>
        </w:tc>
        <w:tc>
          <w:tcPr>
            <w:tcW w:type="dxa" w:w="8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Type casting (amount/amount_ron → DOUBLE, timestamps → TIMESTAMP)</w:t>
            </w:r>
          </w:p>
        </w:tc>
      </w:tr>
      <w:tr>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3</w:t>
            </w:r>
          </w:p>
        </w:tc>
        <w:tc>
          <w:tcPr>
            <w:tcW w:type="dxa" w:w="8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Deduplicare pe transaction_id (Window function, păstrăm cea mai recentă)</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4</w:t>
            </w:r>
          </w:p>
        </w:tc>
        <w:tc>
          <w:tcPr>
            <w:tcW w:type="dxa" w:w="8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12 validări (PK, FK-uri, sume pozitive, consistență temporală, consistență amount_ron)</w:t>
            </w:r>
          </w:p>
        </w:tc>
      </w:tr>
      <w:tr>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w:t>
            </w:r>
          </w:p>
        </w:tc>
        <w:tc>
          <w:tcPr>
            <w:tcW w:type="dxa" w:w="8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Lookup customer_sk din SCD Type 2 (JOIN cu dim_customers la valid_from &lt;= initiated_at &lt; valid_to)</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6</w:t>
            </w:r>
          </w:p>
        </w:tc>
        <w:tc>
          <w:tcPr>
            <w:tcW w:type="dxa" w:w="8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Lookup date_id din dim_date (format YYYYMMDD)</w:t>
            </w:r>
          </w:p>
        </w:tc>
      </w:tr>
      <w:tr>
        <w:tc>
          <w:tcPr>
            <w:tcW w:type="dxa" w:w="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7</w:t>
            </w:r>
          </w:p>
        </w:tc>
        <w:tc>
          <w:tcPr>
            <w:tcW w:type="dxa" w:w="82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Scriere în banking.silver.fact_transactions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8</w:t>
            </w:r>
          </w:p>
        </w:tc>
        <w:tc>
          <w:tcPr>
            <w:tcW w:type="dxa" w:w="8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Înregistrările invalide → banking.silver_quarantine.qrt_transactions</w:t>
            </w:r>
          </w:p>
        </w:tc>
      </w:tr>
    </w:tbl>
    <w:p>
      <w:pPr>
        <w:spacing w:after="80" w:before="80"/>
      </w:pPr>
      <w:r>
        <w:t xml:space="preserve"/>
      </w:r>
    </w:p>
    <w:p>
      <w:pPr>
        <w:spacing w:after="100" w:before="80"/>
        <w:jc w:val="both"/>
      </w:pPr>
      <w:r>
        <w:rPr>
          <w:rFonts w:ascii="Arial" w:cs="Arial" w:eastAsia="Arial" w:hAnsi="Arial"/>
          <w:color w:val="404040"/>
          <w:sz w:val="22"/>
          <w:szCs w:val="22"/>
        </w:rPr>
        <w:t xml:space="preserve">dim_date este generată static pentru intervalul 2020-2030 (~4000 rânduri) cu atribute calendaristice complete: year, quarter, month, day, day_of_week, is_weekend, is_month_end, fiscal_quarter.</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4.5 Notebook 02d — corecții quarantine</w:t>
      </w:r>
    </w:p>
    <w:p>
      <w:pPr>
        <w:spacing w:after="100" w:before="80"/>
        <w:jc w:val="both"/>
      </w:pPr>
      <w:r>
        <w:rPr>
          <w:rFonts w:ascii="Arial" w:cs="Arial" w:eastAsia="Arial" w:hAnsi="Arial"/>
          <w:color w:val="404040"/>
          <w:sz w:val="22"/>
          <w:szCs w:val="22"/>
        </w:rPr>
        <w:t xml:space="preserve">Procesarea înregistrărilor din carantină prin două mecanisme complementare: auto-fix (corecții determiniști automate) și manual override (corecții explicite scrise de echipa de date).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Pattern-ul de migrare „fix_status”</w:t>
      </w:r>
    </w:p>
    <w:p>
      <w:pPr>
        <w:spacing w:after="100" w:before="80"/>
        <w:jc w:val="both"/>
      </w:pPr>
      <w:r>
        <w:rPr>
          <w:rFonts w:ascii="Arial" w:cs="Arial" w:eastAsia="Arial" w:hAnsi="Arial"/>
          <w:color w:val="404040"/>
          <w:sz w:val="22"/>
          <w:szCs w:val="22"/>
        </w:rPr>
        <w:t xml:space="preserve">Fiecare rând din qrt_* primește o coloană fix_status care poate avea valorile:</w:t>
      </w:r>
    </w:p>
    <w:p>
      <w:pPr>
        <w:pStyle w:val="ListParagraph"/>
        <w:numPr>
          <w:ilvl w:val="0"/>
          <w:numId w:val="2"/>
        </w:numPr>
        <w:spacing w:after="40" w:before="40"/>
      </w:pPr>
      <w:r>
        <w:rPr>
          <w:rFonts w:ascii="Arial" w:cs="Arial" w:eastAsia="Arial" w:hAnsi="Arial"/>
          <w:color w:val="404040"/>
          <w:sz w:val="22"/>
          <w:szCs w:val="22"/>
        </w:rPr>
        <w:t xml:space="preserve">pending: încă nu a fost procesat (default după Silver)</w:t>
      </w:r>
    </w:p>
    <w:p>
      <w:pPr>
        <w:pStyle w:val="ListParagraph"/>
        <w:numPr>
          <w:ilvl w:val="0"/>
          <w:numId w:val="2"/>
        </w:numPr>
        <w:spacing w:after="40" w:before="40"/>
      </w:pPr>
      <w:r>
        <w:rPr>
          <w:rFonts w:ascii="Arial" w:cs="Arial" w:eastAsia="Arial" w:hAnsi="Arial"/>
          <w:color w:val="404040"/>
          <w:sz w:val="22"/>
          <w:szCs w:val="22"/>
        </w:rPr>
        <w:t xml:space="preserve">auto_fixed: reparat automat și copiat în Silver</w:t>
      </w:r>
    </w:p>
    <w:p>
      <w:pPr>
        <w:pStyle w:val="ListParagraph"/>
        <w:numPr>
          <w:ilvl w:val="0"/>
          <w:numId w:val="2"/>
        </w:numPr>
        <w:spacing w:after="40" w:before="40"/>
      </w:pPr>
      <w:r>
        <w:rPr>
          <w:rFonts w:ascii="Arial" w:cs="Arial" w:eastAsia="Arial" w:hAnsi="Arial"/>
          <w:color w:val="404040"/>
          <w:sz w:val="22"/>
          <w:szCs w:val="22"/>
        </w:rPr>
        <w:t xml:space="preserve">manual_fixed: reparat prin override manual și copiat în Silver</w:t>
      </w:r>
    </w:p>
    <w:p>
      <w:pPr>
        <w:pStyle w:val="ListParagraph"/>
        <w:numPr>
          <w:ilvl w:val="0"/>
          <w:numId w:val="2"/>
        </w:numPr>
        <w:spacing w:after="40" w:before="40"/>
      </w:pPr>
      <w:r>
        <w:rPr>
          <w:rFonts w:ascii="Arial" w:cs="Arial" w:eastAsia="Arial" w:hAnsi="Arial"/>
          <w:color w:val="404040"/>
          <w:sz w:val="22"/>
          <w:szCs w:val="22"/>
        </w:rPr>
        <w:t xml:space="preserve">unfixable: nu poate fi reparat (rămâne în carantină pentru analiză)</w:t>
      </w:r>
    </w:p>
    <w:p>
      <w:pPr>
        <w:spacing w:after="80" w:before="80"/>
      </w:pPr>
      <w:r>
        <w:t xml:space="preserve"/>
      </w:r>
    </w:p>
    <w:p>
      <w:pPr>
        <w:spacing w:after="100" w:before="80"/>
        <w:jc w:val="both"/>
      </w:pPr>
      <w:r>
        <w:rPr>
          <w:rFonts w:ascii="Arial" w:cs="Arial" w:eastAsia="Arial" w:hAnsi="Arial"/>
          <w:color w:val="404040"/>
          <w:sz w:val="22"/>
          <w:szCs w:val="22"/>
        </w:rPr>
        <w:t xml:space="preserve">Pattern-ul de „marcare în quarantine + copiere în Silver” păstrează audit trail complet — înregistrarea originală rămâne în carantină cu valorile defecte, în timp ce versiunea corectată ajunge în Silver dim/fact.</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Auto-fix-uri implementate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Eroare</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Auto-fix</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cards</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expired_but_active</w:t>
            </w:r>
          </w:p>
        </w:tc>
        <w:tc>
          <w:tcPr>
            <w:tcW w:type="dxa" w:w="3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status → EXPIRED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cards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credit_limit_negative</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ABS(credit_limit)</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loans</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end_date &lt; start_date</w:t>
            </w:r>
          </w:p>
        </w:tc>
        <w:tc>
          <w:tcPr>
            <w:tcW w:type="dxa" w:w="3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end_date = start_date + term_months * 30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loans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principal negativ</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ABS(principal)</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transactions</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amount negativ</w:t>
            </w:r>
          </w:p>
        </w:tc>
        <w:tc>
          <w:tcPr>
            <w:tcW w:type="dxa" w:w="3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ABS(amount), ABS(amount_ron)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transactions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completed &lt; initiated</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completed = initiated + 1 minut</w:t>
            </w:r>
          </w:p>
        </w:tc>
      </w:tr>
      <w:tr>
        <w:tc>
          <w:tcPr>
            <w:tcW w:type="dxa" w:w="22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transactions</w:t>
            </w:r>
          </w:p>
        </w:tc>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amount_ron inconsistent</w:t>
            </w:r>
          </w:p>
        </w:tc>
        <w:tc>
          <w:tcPr>
            <w:tcW w:type="dxa" w:w="38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amount * exchange_rate</w:t>
            </w:r>
          </w:p>
        </w:tc>
      </w:tr>
    </w:tbl>
    <w:p>
      <w:pPr>
        <w:spacing w:after="80" w:before="80"/>
      </w:pPr>
      <w:r>
        <w:t xml:space="preserve"/>
      </w:r>
    </w:p>
    <w:p>
      <w:pPr>
        <w:spacing w:after="100" w:before="80"/>
        <w:jc w:val="both"/>
      </w:pPr>
      <w:r>
        <w:rPr>
          <w:rFonts w:ascii="Arial" w:cs="Arial" w:eastAsia="Arial" w:hAnsi="Arial"/>
          <w:color w:val="404040"/>
          <w:sz w:val="22"/>
          <w:szCs w:val="22"/>
        </w:rPr>
        <w:t xml:space="preserve">Pentru erori care nu pot fi corectate automat (FK invalide, valori complet greșite), echipa de date scrie corecții în banking.silver_corrections.manual_fixes_&lt;entity&gt;. La următoarea rulare a notebook-ului 02d, corecțiile sunt aplicate și înregistrările migrează în Silver.</w:t>
      </w:r>
    </w:p>
    <w:p>
      <w:pPr>
        <w:spacing w:after="80" w:before="80"/>
      </w:pPr>
      <w:r>
        <w:t xml:space="preserve"/>
      </w:r>
    </w:p>
    <w:p>
      <w:pPr>
        <w:spacing w:after="100" w:before="80"/>
        <w:jc w:val="both"/>
      </w:pPr>
      <w:r>
        <w:rPr>
          <w:rFonts w:ascii="Arial" w:cs="Arial" w:eastAsia="Arial" w:hAnsi="Arial"/>
          <w:color w:val="404040"/>
          <w:sz w:val="22"/>
          <w:szCs w:val="22"/>
        </w:rPr>
        <w:t xml:space="preserve">Toate rulările sunt logate în silver_corrections.fix_log cu run_id, entitate, număr rânduri încercate / fixate / rămase — audit complet pentru istoric.</w:t>
      </w:r>
    </w:p>
    <w:p>
      <w:r>
        <w:br w:type="page"/>
      </w:r>
    </w:p>
    <w:p>
      <w:pPr>
        <w:pStyle w:val="Heading1"/>
        <w:spacing w:after="160" w:before="360"/>
      </w:pPr>
      <w:r>
        <w:rPr>
          <w:rFonts w:ascii="Arial" w:cs="Arial" w:eastAsia="Arial" w:hAnsi="Arial"/>
          <w:b/>
          <w:bCs/>
          <w:color w:val="1F4E79"/>
          <w:sz w:val="32"/>
          <w:szCs w:val="32"/>
        </w:rPr>
        <w:t xml:space="preserve">5. Stratul Gold — agregare analitică</w:t>
      </w:r>
    </w:p>
    <w:p>
      <w:pPr>
        <w:spacing w:after="100" w:before="80"/>
        <w:jc w:val="both"/>
      </w:pPr>
      <w:r>
        <w:rPr>
          <w:rFonts w:ascii="Arial" w:cs="Arial" w:eastAsia="Arial" w:hAnsi="Arial"/>
          <w:color w:val="404040"/>
          <w:sz w:val="22"/>
          <w:szCs w:val="22"/>
        </w:rPr>
        <w:t xml:space="preserve">Stratul Gold conține date derivate prin denormalizare, agregare și calcule de business. Tabelele Gold sunt optimizate pentru consum direct în dashboards, rapoarte și modele ML, eliminand necesitatea unor JOIN-uri complexe la nivel de query.</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5.1 Notebook 03a — Dimensiuni îmbogățite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dim_product</w:t>
      </w:r>
    </w:p>
    <w:p>
      <w:pPr>
        <w:spacing w:after="100" w:before="80"/>
        <w:jc w:val="both"/>
      </w:pPr>
      <w:r>
        <w:rPr>
          <w:rFonts w:ascii="Arial" w:cs="Arial" w:eastAsia="Arial" w:hAnsi="Arial"/>
          <w:color w:val="404040"/>
          <w:sz w:val="22"/>
          <w:szCs w:val="22"/>
        </w:rPr>
        <w:t xml:space="preserve">Catalog complet de produse bancare (~16 produse) construit prin combinarea datelor tehnice din ref_account_types, ref_card_types, ref_loan_types cu atribute marketing adăugate în Gold:</w:t>
      </w:r>
    </w:p>
    <w:p>
      <w:pPr>
        <w:pStyle w:val="ListParagraph"/>
        <w:numPr>
          <w:ilvl w:val="0"/>
          <w:numId w:val="2"/>
        </w:numPr>
        <w:spacing w:after="40" w:before="40"/>
      </w:pPr>
      <w:r>
        <w:rPr>
          <w:rFonts w:ascii="Arial" w:cs="Arial" w:eastAsia="Arial" w:hAnsi="Arial"/>
          <w:color w:val="404040"/>
          <w:sz w:val="22"/>
          <w:szCs w:val="22"/>
        </w:rPr>
        <w:t xml:space="preserve">product_id (surrogate key PROD-XXX)</w:t>
      </w:r>
    </w:p>
    <w:p>
      <w:pPr>
        <w:pStyle w:val="ListParagraph"/>
        <w:numPr>
          <w:ilvl w:val="0"/>
          <w:numId w:val="2"/>
        </w:numPr>
        <w:spacing w:after="40" w:before="40"/>
      </w:pPr>
      <w:r>
        <w:rPr>
          <w:rFonts w:ascii="Arial" w:cs="Arial" w:eastAsia="Arial" w:hAnsi="Arial"/>
          <w:color w:val="404040"/>
          <w:sz w:val="22"/>
          <w:szCs w:val="22"/>
        </w:rPr>
        <w:t xml:space="preserve">category (ACCOUNT / CARD / LOAN)</w:t>
      </w:r>
    </w:p>
    <w:p>
      <w:pPr>
        <w:pStyle w:val="ListParagraph"/>
        <w:numPr>
          <w:ilvl w:val="0"/>
          <w:numId w:val="2"/>
        </w:numPr>
        <w:spacing w:after="40" w:before="40"/>
      </w:pPr>
      <w:r>
        <w:rPr>
          <w:rFonts w:ascii="Arial" w:cs="Arial" w:eastAsia="Arial" w:hAnsi="Arial"/>
          <w:color w:val="404040"/>
          <w:sz w:val="22"/>
          <w:szCs w:val="22"/>
        </w:rPr>
        <w:t xml:space="preserve">commercial_name (denumire pentru UI: „Card Visa Debit”, „Credit Ipotecar Casa Ta”)</w:t>
      </w:r>
    </w:p>
    <w:p>
      <w:pPr>
        <w:pStyle w:val="ListParagraph"/>
        <w:numPr>
          <w:ilvl w:val="0"/>
          <w:numId w:val="2"/>
        </w:numPr>
        <w:spacing w:after="40" w:before="40"/>
      </w:pPr>
      <w:r>
        <w:rPr>
          <w:rFonts w:ascii="Arial" w:cs="Arial" w:eastAsia="Arial" w:hAnsi="Arial"/>
          <w:color w:val="404040"/>
          <w:sz w:val="22"/>
          <w:szCs w:val="22"/>
        </w:rPr>
        <w:t xml:space="preserve">target_segment (RETAIL, PREMIUM, SME, ALL)</w:t>
      </w:r>
    </w:p>
    <w:p>
      <w:pPr>
        <w:pStyle w:val="ListParagraph"/>
        <w:numPr>
          <w:ilvl w:val="0"/>
          <w:numId w:val="2"/>
        </w:numPr>
        <w:spacing w:after="40" w:before="40"/>
      </w:pPr>
      <w:r>
        <w:rPr>
          <w:rFonts w:ascii="Arial" w:cs="Arial" w:eastAsia="Arial" w:hAnsi="Arial"/>
          <w:color w:val="404040"/>
          <w:sz w:val="22"/>
          <w:szCs w:val="22"/>
        </w:rPr>
        <w:t xml:space="preserve">is_active_for_sale (disponibil pentru vânzări noi)</w:t>
      </w:r>
    </w:p>
    <w:p>
      <w:pPr>
        <w:pStyle w:val="ListParagraph"/>
        <w:numPr>
          <w:ilvl w:val="0"/>
          <w:numId w:val="2"/>
        </w:numPr>
        <w:spacing w:after="40" w:before="40"/>
      </w:pPr>
      <w:r>
        <w:rPr>
          <w:rFonts w:ascii="Arial" w:cs="Arial" w:eastAsia="Arial" w:hAnsi="Arial"/>
          <w:color w:val="404040"/>
          <w:sz w:val="22"/>
          <w:szCs w:val="22"/>
        </w:rPr>
        <w:t xml:space="preserve">priority (ordine în catalog pentru afișare)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dim_customer_enriched</w:t>
      </w:r>
    </w:p>
    <w:p>
      <w:pPr>
        <w:spacing w:after="100" w:before="80"/>
        <w:jc w:val="both"/>
      </w:pPr>
      <w:r>
        <w:rPr>
          <w:rFonts w:ascii="Arial" w:cs="Arial" w:eastAsia="Arial" w:hAnsi="Arial"/>
          <w:color w:val="404040"/>
          <w:sz w:val="22"/>
          <w:szCs w:val="22"/>
        </w:rPr>
        <w:t xml:space="preserve">Versiunea curentă a clientului (din SCD Type 2) denormalizată cu agregate calculate prin LEFT JOIN cu dim_accounts, dim_cards, dim_loans și fact_transactions.</w:t>
      </w:r>
    </w:p>
    <w:p>
      <w:pPr>
        <w:spacing w:after="80" w:before="80"/>
      </w:pPr>
      <w:r>
        <w:t xml:space="preserve"/>
      </w:r>
    </w:p>
    <w:p>
      <w:pPr>
        <w:spacing w:after="100" w:before="80"/>
        <w:jc w:val="both"/>
      </w:pPr>
      <w:r>
        <w:rPr>
          <w:rFonts w:ascii="Arial" w:cs="Arial" w:eastAsia="Arial" w:hAnsi="Arial"/>
          <w:color w:val="404040"/>
          <w:sz w:val="22"/>
          <w:szCs w:val="22"/>
        </w:rPr>
        <w:t xml:space="preserve">Atribute calculate adăugate față de Silver: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Coloană</w:t>
            </w:r>
          </w:p>
        </w:tc>
        <w:tc>
          <w:tcPr>
            <w:tcW w:type="dxa" w:w="6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age</w:t>
            </w:r>
          </w:p>
        </w:tc>
        <w:tc>
          <w:tcPr>
            <w:tcW w:type="dxa" w:w="64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MONTHS_BETWEEN(today, date_of_birth) / 12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age_group</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Gruparea: 18-25, 26-35, 36-50, 51-65, 66+</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tenure_years</w:t>
            </w:r>
          </w:p>
        </w:tc>
        <w:tc>
          <w:tcPr>
            <w:tcW w:type="dxa" w:w="64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Număr ani de la primul cont deschis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total_accounts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COUNT(*) din dim_accounts ACTIVE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total_cards</w:t>
            </w:r>
          </w:p>
        </w:tc>
        <w:tc>
          <w:tcPr>
            <w:tcW w:type="dxa" w:w="64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COUNT(*) din dim_cards via accounts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total_loans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COUNT(*) din dim_loans ACTIVE/OVERDUE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total_products</w:t>
            </w:r>
          </w:p>
        </w:tc>
        <w:tc>
          <w:tcPr>
            <w:tcW w:type="dxa" w:w="64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Suma celor 3 (cross-sell indicator)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has_loan, has_card, has_credit_card, has_savings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Flag-uri rapide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lifetime_volume_ron</w:t>
            </w:r>
          </w:p>
        </w:tc>
        <w:tc>
          <w:tcPr>
            <w:tcW w:type="dxa" w:w="64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SUM(amount_ron) din fact_transactions COMPLETED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lifetime_value_ron</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total_balance + lifetime_volume * 0.01</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dim_risk_profile</w:t>
      </w:r>
    </w:p>
    <w:p>
      <w:pPr>
        <w:spacing w:after="100" w:before="80"/>
        <w:jc w:val="both"/>
      </w:pPr>
      <w:r>
        <w:rPr>
          <w:rFonts w:ascii="Arial" w:cs="Arial" w:eastAsia="Arial" w:hAnsi="Arial"/>
          <w:color w:val="404040"/>
          <w:sz w:val="22"/>
          <w:szCs w:val="22"/>
        </w:rPr>
        <w:t xml:space="preserve">Profil de risc agregat per client, calculat din 6 indicatori normalizați 0-100: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Pondere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Calcul</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debt_ratio_score</w:t>
            </w:r>
          </w:p>
        </w:tc>
        <w:tc>
          <w:tcPr>
            <w:tcW w:type="dxa" w:w="1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25%</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total_loan_balance / lifetime_volume * 50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late_payment_score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25%</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overdue_loans_count * 33 (cap 100)</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overdraft_score</w:t>
            </w:r>
          </w:p>
        </w:tc>
        <w:tc>
          <w:tcPr>
            <w:tcW w:type="dxa" w:w="1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15%</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failed_tx_90d / tx_count_90d * 100</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kyc_score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15%</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BLOCKED=100, FLAGGED=70, PENDING=30, VERIFIED=10</w:t>
            </w:r>
          </w:p>
        </w:tc>
      </w:tr>
      <w:tr>
        <w:tc>
          <w:tcPr>
            <w:tcW w:type="dxa" w:w="30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activity_score</w:t>
            </w:r>
          </w:p>
        </w:tc>
        <w:tc>
          <w:tcPr>
            <w:tcW w:type="dxa" w:w="1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10%</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days_since_last_tx / 3.65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balance_volatility_score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10%</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stddev / avg amount * 30</w:t>
            </w:r>
          </w:p>
        </w:tc>
      </w:tr>
    </w:tbl>
    <w:p>
      <w:pPr>
        <w:spacing w:after="80" w:before="80"/>
      </w:pPr>
      <w:r>
        <w:t xml:space="preserve"/>
      </w:r>
    </w:p>
    <w:p>
      <w:pPr>
        <w:spacing w:after="100" w:before="80"/>
        <w:jc w:val="both"/>
      </w:pPr>
      <w:r>
        <w:rPr>
          <w:rFonts w:ascii="Arial" w:cs="Arial" w:eastAsia="Arial" w:hAnsi="Arial"/>
          <w:color w:val="404040"/>
          <w:sz w:val="22"/>
          <w:szCs w:val="22"/>
        </w:rPr>
        <w:t xml:space="preserve">Scorul agregat se mapează pe benzi: LOW (0-25), MEDIUM (26-60), HIGH (61-85), CRITICAL (86-100), aliniate cu ref_risk_bands din Silver.</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5.2 Notebook 03b — Agregate analitice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kpi_transactions_daily</w:t>
      </w:r>
    </w:p>
    <w:p>
      <w:pPr>
        <w:spacing w:after="100" w:before="80"/>
        <w:jc w:val="both"/>
      </w:pPr>
      <w:r>
        <w:rPr>
          <w:rFonts w:ascii="Arial" w:cs="Arial" w:eastAsia="Arial" w:hAnsi="Arial"/>
          <w:color w:val="404040"/>
          <w:sz w:val="22"/>
          <w:szCs w:val="22"/>
        </w:rPr>
        <w:t xml:space="preserve">Agregate pe granularitatea (date_id × branch_id × channel_code × type_code × currency_code) — ~20-40k rânduri. Permite drill-down în dashboards pe orice combinație de dimensiuni.</w:t>
      </w:r>
    </w:p>
    <w:p>
      <w:pPr>
        <w:spacing w:after="80" w:before="80"/>
      </w:pPr>
      <w:r>
        <w:t xml:space="preserve"/>
      </w:r>
    </w:p>
    <w:p>
      <w:pPr>
        <w:spacing w:after="100" w:before="80"/>
        <w:jc w:val="both"/>
      </w:pPr>
      <w:r>
        <w:rPr>
          <w:rFonts w:ascii="Arial" w:cs="Arial" w:eastAsia="Arial" w:hAnsi="Arial"/>
          <w:color w:val="404040"/>
          <w:sz w:val="22"/>
          <w:szCs w:val="22"/>
        </w:rPr>
        <w:t xml:space="preserve">Măsurători calculate per cheie:</w:t>
      </w:r>
    </w:p>
    <w:p>
      <w:pPr>
        <w:pStyle w:val="ListParagraph"/>
        <w:numPr>
          <w:ilvl w:val="0"/>
          <w:numId w:val="2"/>
        </w:numPr>
        <w:spacing w:after="40" w:before="40"/>
      </w:pPr>
      <w:r>
        <w:rPr>
          <w:rFonts w:ascii="Arial" w:cs="Arial" w:eastAsia="Arial" w:hAnsi="Arial"/>
          <w:color w:val="404040"/>
          <w:sz w:val="22"/>
          <w:szCs w:val="22"/>
        </w:rPr>
        <w:t xml:space="preserve">tx_count, tx_count_completed, tx_count_failed, tx_count_reversed, tx_count_pending</w:t>
      </w:r>
    </w:p>
    <w:p>
      <w:pPr>
        <w:pStyle w:val="ListParagraph"/>
        <w:numPr>
          <w:ilvl w:val="0"/>
          <w:numId w:val="2"/>
        </w:numPr>
        <w:spacing w:after="40" w:before="40"/>
      </w:pPr>
      <w:r>
        <w:rPr>
          <w:rFonts w:ascii="Arial" w:cs="Arial" w:eastAsia="Arial" w:hAnsi="Arial"/>
          <w:color w:val="404040"/>
          <w:sz w:val="22"/>
          <w:szCs w:val="22"/>
        </w:rPr>
        <w:t xml:space="preserve">tx_volume_total_lcy (în valuta originală) și tx_volume_total_ron (echivalent RON)</w:t>
      </w:r>
    </w:p>
    <w:p>
      <w:pPr>
        <w:pStyle w:val="ListParagraph"/>
        <w:numPr>
          <w:ilvl w:val="0"/>
          <w:numId w:val="2"/>
        </w:numPr>
        <w:spacing w:after="40" w:before="40"/>
      </w:pPr>
      <w:r>
        <w:rPr>
          <w:rFonts w:ascii="Arial" w:cs="Arial" w:eastAsia="Arial" w:hAnsi="Arial"/>
          <w:color w:val="404040"/>
          <w:sz w:val="22"/>
          <w:szCs w:val="22"/>
        </w:rPr>
        <w:t xml:space="preserve">avg_amount_ron, min_amount_ron, max_amount_ron</w:t>
      </w:r>
    </w:p>
    <w:p>
      <w:pPr>
        <w:pStyle w:val="ListParagraph"/>
        <w:numPr>
          <w:ilvl w:val="0"/>
          <w:numId w:val="2"/>
        </w:numPr>
        <w:spacing w:after="40" w:before="40"/>
      </w:pPr>
      <w:r>
        <w:rPr>
          <w:rFonts w:ascii="Arial" w:cs="Arial" w:eastAsia="Arial" w:hAnsi="Arial"/>
          <w:color w:val="404040"/>
          <w:sz w:val="22"/>
          <w:szCs w:val="22"/>
        </w:rPr>
        <w:t xml:space="preserve">unique_customers, unique_accounts (count distinct)</w:t>
      </w:r>
    </w:p>
    <w:p>
      <w:pPr>
        <w:pStyle w:val="ListParagraph"/>
        <w:numPr>
          <w:ilvl w:val="0"/>
          <w:numId w:val="2"/>
        </w:numPr>
        <w:spacing w:after="40" w:before="40"/>
      </w:pPr>
      <w:r>
        <w:rPr>
          <w:rFonts w:ascii="Arial" w:cs="Arial" w:eastAsia="Arial" w:hAnsi="Arial"/>
          <w:color w:val="404040"/>
          <w:sz w:val="22"/>
          <w:szCs w:val="22"/>
        </w:rPr>
        <w:t xml:space="preserve">failure_rate, completion_rate (procente derivate)</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customer_segments_rfm</w:t>
      </w:r>
    </w:p>
    <w:p>
      <w:pPr>
        <w:spacing w:after="100" w:before="80"/>
        <w:jc w:val="both"/>
      </w:pPr>
      <w:r>
        <w:rPr>
          <w:rFonts w:ascii="Arial" w:cs="Arial" w:eastAsia="Arial" w:hAnsi="Arial"/>
          <w:color w:val="404040"/>
          <w:sz w:val="22"/>
          <w:szCs w:val="22"/>
        </w:rPr>
        <w:t xml:space="preserve">Segmentare RFM (Recency, Frequency, Monetary) clasică, cu cuartile și 4 segmente finale.</w:t>
      </w:r>
    </w:p>
    <w:p>
      <w:pPr>
        <w:spacing w:after="80" w:before="80"/>
      </w:pPr>
      <w:r>
        <w:t xml:space="preserve"/>
      </w:r>
    </w:p>
    <w:p>
      <w:pPr>
        <w:spacing w:after="100" w:before="80"/>
        <w:jc w:val="both"/>
      </w:pPr>
      <w:r>
        <w:rPr>
          <w:rFonts w:ascii="Arial" w:cs="Arial" w:eastAsia="Arial" w:hAnsi="Arial"/>
          <w:color w:val="404040"/>
          <w:sz w:val="22"/>
          <w:szCs w:val="22"/>
        </w:rPr>
        <w:t xml:space="preserve">Algoritmul:</w:t>
      </w:r>
    </w:p>
    <w:p>
      <w:pPr>
        <w:pStyle w:val="ListParagraph"/>
        <w:numPr>
          <w:ilvl w:val="0"/>
          <w:numId w:val="2"/>
        </w:numPr>
        <w:spacing w:after="40" w:before="40"/>
      </w:pPr>
      <w:r>
        <w:rPr>
          <w:rFonts w:ascii="Arial" w:cs="Arial" w:eastAsia="Arial" w:hAnsi="Arial"/>
          <w:color w:val="404040"/>
          <w:sz w:val="22"/>
          <w:szCs w:val="22"/>
        </w:rPr>
        <w:t xml:space="preserve">Recency = zile de la ultima tranzacție COMPLETED</w:t>
      </w:r>
    </w:p>
    <w:p>
      <w:pPr>
        <w:pStyle w:val="ListParagraph"/>
        <w:numPr>
          <w:ilvl w:val="0"/>
          <w:numId w:val="2"/>
        </w:numPr>
        <w:spacing w:after="40" w:before="40"/>
      </w:pPr>
      <w:r>
        <w:rPr>
          <w:rFonts w:ascii="Arial" w:cs="Arial" w:eastAsia="Arial" w:hAnsi="Arial"/>
          <w:color w:val="404040"/>
          <w:sz w:val="22"/>
          <w:szCs w:val="22"/>
        </w:rPr>
        <w:t xml:space="preserve">Frequency = număr tranzacții în ultimele 90 zile</w:t>
      </w:r>
    </w:p>
    <w:p>
      <w:pPr>
        <w:pStyle w:val="ListParagraph"/>
        <w:numPr>
          <w:ilvl w:val="0"/>
          <w:numId w:val="2"/>
        </w:numPr>
        <w:spacing w:after="40" w:before="40"/>
      </w:pPr>
      <w:r>
        <w:rPr>
          <w:rFonts w:ascii="Arial" w:cs="Arial" w:eastAsia="Arial" w:hAnsi="Arial"/>
          <w:color w:val="404040"/>
          <w:sz w:val="22"/>
          <w:szCs w:val="22"/>
        </w:rPr>
        <w:t xml:space="preserve">Monetary = volum total în ultimele 90 zile</w:t>
      </w:r>
    </w:p>
    <w:p>
      <w:pPr>
        <w:pStyle w:val="ListParagraph"/>
        <w:numPr>
          <w:ilvl w:val="0"/>
          <w:numId w:val="2"/>
        </w:numPr>
        <w:spacing w:after="40" w:before="40"/>
      </w:pPr>
      <w:r>
        <w:rPr>
          <w:rFonts w:ascii="Arial" w:cs="Arial" w:eastAsia="Arial" w:hAnsi="Arial"/>
          <w:color w:val="404040"/>
          <w:sz w:val="22"/>
          <w:szCs w:val="22"/>
        </w:rPr>
        <w:t xml:space="preserve">Atribuim cuartile (1-4) cu NTILE(4) — inversam Recency astfel încât scor 4 = mai bun</w:t>
      </w:r>
    </w:p>
    <w:p>
      <w:pPr>
        <w:pStyle w:val="ListParagraph"/>
        <w:numPr>
          <w:ilvl w:val="0"/>
          <w:numId w:val="2"/>
        </w:numPr>
        <w:spacing w:after="40" w:before="40"/>
      </w:pPr>
      <w:r>
        <w:rPr>
          <w:rFonts w:ascii="Arial" w:cs="Arial" w:eastAsia="Arial" w:hAnsi="Arial"/>
          <w:color w:val="404040"/>
          <w:sz w:val="22"/>
          <w:szCs w:val="22"/>
        </w:rPr>
        <w:t xml:space="preserve">Scor RFM = R + F + M (3-12)</w:t>
      </w:r>
    </w:p>
    <w:p>
      <w:pPr>
        <w:pStyle w:val="ListParagraph"/>
        <w:numPr>
          <w:ilvl w:val="0"/>
          <w:numId w:val="2"/>
        </w:numPr>
        <w:spacing w:after="40" w:before="40"/>
      </w:pPr>
      <w:r>
        <w:rPr>
          <w:rFonts w:ascii="Arial" w:cs="Arial" w:eastAsia="Arial" w:hAnsi="Arial"/>
          <w:color w:val="404040"/>
          <w:sz w:val="22"/>
          <w:szCs w:val="22"/>
        </w:rPr>
        <w:t xml:space="preserve">Segmente: VIP (10-12), Activ (7-9), Inactiv (4-6), Risc (3)</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report_pnl_monthly</w:t>
      </w:r>
    </w:p>
    <w:p>
      <w:pPr>
        <w:spacing w:after="100" w:before="80"/>
        <w:jc w:val="both"/>
      </w:pPr>
      <w:r>
        <w:rPr>
          <w:rFonts w:ascii="Arial" w:cs="Arial" w:eastAsia="Arial" w:hAnsi="Arial"/>
          <w:color w:val="404040"/>
          <w:sz w:val="22"/>
          <w:szCs w:val="22"/>
        </w:rPr>
        <w:t xml:space="preserve">Raport profit și loss simplificat per (year, month, branch_id):</w:t>
      </w:r>
    </w:p>
    <w:p>
      <w:pPr>
        <w:pStyle w:val="ListParagraph"/>
        <w:numPr>
          <w:ilvl w:val="0"/>
          <w:numId w:val="2"/>
        </w:numPr>
        <w:spacing w:after="40" w:before="40"/>
      </w:pPr>
      <w:r>
        <w:rPr>
          <w:rFonts w:ascii="Arial" w:cs="Arial" w:eastAsia="Arial" w:hAnsi="Arial"/>
          <w:color w:val="404040"/>
          <w:sz w:val="22"/>
          <w:szCs w:val="22"/>
        </w:rPr>
        <w:t xml:space="preserve">revenue_fees = SUM amount_ron WHERE type=FEE</w:t>
      </w:r>
    </w:p>
    <w:p>
      <w:pPr>
        <w:pStyle w:val="ListParagraph"/>
        <w:numPr>
          <w:ilvl w:val="0"/>
          <w:numId w:val="2"/>
        </w:numPr>
        <w:spacing w:after="40" w:before="40"/>
      </w:pPr>
      <w:r>
        <w:rPr>
          <w:rFonts w:ascii="Arial" w:cs="Arial" w:eastAsia="Arial" w:hAnsi="Arial"/>
          <w:color w:val="404040"/>
          <w:sz w:val="22"/>
          <w:szCs w:val="22"/>
        </w:rPr>
        <w:t xml:space="preserve">revenue_interest = SUM amount_ron WHERE type=INTEREST</w:t>
      </w:r>
    </w:p>
    <w:p>
      <w:pPr>
        <w:pStyle w:val="ListParagraph"/>
        <w:numPr>
          <w:ilvl w:val="0"/>
          <w:numId w:val="2"/>
        </w:numPr>
        <w:spacing w:after="40" w:before="40"/>
      </w:pPr>
      <w:r>
        <w:rPr>
          <w:rFonts w:ascii="Arial" w:cs="Arial" w:eastAsia="Arial" w:hAnsi="Arial"/>
          <w:color w:val="404040"/>
          <w:sz w:val="22"/>
          <w:szCs w:val="22"/>
        </w:rPr>
        <w:t xml:space="preserve">loan_disbursed, loan_repaid — separate pentru calcule de provizioane</w:t>
      </w:r>
    </w:p>
    <w:p>
      <w:pPr>
        <w:pStyle w:val="ListParagraph"/>
        <w:numPr>
          <w:ilvl w:val="0"/>
          <w:numId w:val="2"/>
        </w:numPr>
        <w:spacing w:after="40" w:before="40"/>
      </w:pPr>
      <w:r>
        <w:rPr>
          <w:rFonts w:ascii="Arial" w:cs="Arial" w:eastAsia="Arial" w:hAnsi="Arial"/>
          <w:color w:val="404040"/>
          <w:sz w:val="22"/>
          <w:szCs w:val="22"/>
        </w:rPr>
        <w:t xml:space="preserve">total_revenue = fees + interest</w:t>
      </w:r>
    </w:p>
    <w:p>
      <w:pPr>
        <w:pStyle w:val="ListParagraph"/>
        <w:numPr>
          <w:ilvl w:val="0"/>
          <w:numId w:val="2"/>
        </w:numPr>
        <w:spacing w:after="40" w:before="40"/>
      </w:pPr>
      <w:r>
        <w:rPr>
          <w:rFonts w:ascii="Arial" w:cs="Arial" w:eastAsia="Arial" w:hAnsi="Arial"/>
          <w:color w:val="404040"/>
          <w:sz w:val="22"/>
          <w:szCs w:val="22"/>
        </w:rPr>
        <w:t xml:space="preserve">net_profit_estimated = total_revenue (simplificat — fără costuri operaționale)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5.3 Notebook 03c — fraud_features</w:t>
      </w:r>
    </w:p>
    <w:p>
      <w:pPr>
        <w:spacing w:after="100" w:before="80"/>
        <w:jc w:val="both"/>
      </w:pPr>
      <w:r>
        <w:rPr>
          <w:rFonts w:ascii="Arial" w:cs="Arial" w:eastAsia="Arial" w:hAnsi="Arial"/>
          <w:color w:val="404040"/>
          <w:sz w:val="22"/>
          <w:szCs w:val="22"/>
        </w:rPr>
        <w:t xml:space="preserve">Dataset specializat pentru antrenarea modelului ML de detecție anomalii — fiecare tranzacție devine un rând cu 16 features distribuite în 5 categorii.</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6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Temporale (4)</w:t>
            </w:r>
          </w:p>
        </w:tc>
        <w:tc>
          <w:tcPr>
            <w:tcW w:type="dxa" w:w="66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hour_of_day, day_of_week, is_weekend, is_night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Sumă (3)</w:t>
            </w:r>
          </w:p>
        </w:tc>
        <w:tc>
          <w:tcPr>
            <w:tcW w:type="dxa" w:w="6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amount_zscore (per client), amount_pct_from_avg, is_amount_outlier</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Velocity (3)</w:t>
            </w:r>
          </w:p>
        </w:tc>
        <w:tc>
          <w:tcPr>
            <w:tcW w:type="dxa" w:w="66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tx_count_1h, tx_count_24h, tx_volume_24h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Context (3)</w:t>
            </w:r>
          </w:p>
        </w:tc>
        <w:tc>
          <w:tcPr>
            <w:tcW w:type="dxa" w:w="6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channel_unusual, currency_unusual, account_to_branch_mismatch</w:t>
            </w:r>
          </w:p>
        </w:tc>
      </w:tr>
      <w:tr>
        <w:tc>
          <w:tcPr>
            <w:tcW w:type="dxa" w:w="24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Status / risc (3)</w:t>
            </w:r>
          </w:p>
        </w:tc>
        <w:tc>
          <w:tcPr>
            <w:tcW w:type="dxa" w:w="66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is_failed, is_reversed, customer_risk_band</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Eticheta target is_anomaly</w:t>
      </w:r>
    </w:p>
    <w:p>
      <w:pPr>
        <w:spacing w:after="100" w:before="80"/>
        <w:jc w:val="both"/>
      </w:pPr>
      <w:r>
        <w:rPr>
          <w:rFonts w:ascii="Arial" w:cs="Arial" w:eastAsia="Arial" w:hAnsi="Arial"/>
          <w:color w:val="404040"/>
          <w:sz w:val="22"/>
          <w:szCs w:val="22"/>
        </w:rPr>
        <w:t xml:space="preserve">Generată cu logică heuristică multi-criteriu. O tranzacție e considerată anomalie dacă cel puțin una dintre condiții e adevărată:</w:t>
      </w:r>
    </w:p>
    <w:p>
      <w:pPr>
        <w:pStyle w:val="ListParagraph"/>
        <w:numPr>
          <w:ilvl w:val="0"/>
          <w:numId w:val="2"/>
        </w:numPr>
        <w:spacing w:after="40" w:before="40"/>
      </w:pPr>
      <w:r>
        <w:rPr>
          <w:rFonts w:ascii="Arial" w:cs="Arial" w:eastAsia="Arial" w:hAnsi="Arial"/>
          <w:color w:val="404040"/>
          <w:sz w:val="22"/>
          <w:szCs w:val="22"/>
        </w:rPr>
        <w:t xml:space="preserve">is_amount_outlier (|z-score| &gt; 3 față de baseline-ul clientului)</w:t>
      </w:r>
    </w:p>
    <w:p>
      <w:pPr>
        <w:pStyle w:val="ListParagraph"/>
        <w:numPr>
          <w:ilvl w:val="0"/>
          <w:numId w:val="2"/>
        </w:numPr>
        <w:spacing w:after="40" w:before="40"/>
      </w:pPr>
      <w:r>
        <w:rPr>
          <w:rFonts w:ascii="Arial" w:cs="Arial" w:eastAsia="Arial" w:hAnsi="Arial"/>
          <w:color w:val="404040"/>
          <w:sz w:val="22"/>
          <w:szCs w:val="22"/>
        </w:rPr>
        <w:t xml:space="preserve">tx_count_1h &gt;= 5 (high velocity într-o oră)</w:t>
      </w:r>
    </w:p>
    <w:p>
      <w:pPr>
        <w:pStyle w:val="ListParagraph"/>
        <w:numPr>
          <w:ilvl w:val="0"/>
          <w:numId w:val="2"/>
        </w:numPr>
        <w:spacing w:after="40" w:before="40"/>
      </w:pPr>
      <w:r>
        <w:rPr>
          <w:rFonts w:ascii="Arial" w:cs="Arial" w:eastAsia="Arial" w:hAnsi="Arial"/>
          <w:color w:val="404040"/>
          <w:sz w:val="22"/>
          <w:szCs w:val="22"/>
        </w:rPr>
        <w:t xml:space="preserve">tx_count_24h &gt;= 20 (foarte high velocity zilnic)</w:t>
      </w:r>
    </w:p>
    <w:p>
      <w:pPr>
        <w:pStyle w:val="ListParagraph"/>
        <w:numPr>
          <w:ilvl w:val="0"/>
          <w:numId w:val="2"/>
        </w:numPr>
        <w:spacing w:after="40" w:before="40"/>
      </w:pPr>
      <w:r>
        <w:rPr>
          <w:rFonts w:ascii="Arial" w:cs="Arial" w:eastAsia="Arial" w:hAnsi="Arial"/>
          <w:color w:val="404040"/>
          <w:sz w:val="22"/>
          <w:szCs w:val="22"/>
        </w:rPr>
        <w:t xml:space="preserve">Combinație: tx_count_1h &gt;= 3 AND channel_unusual AND customer_risk_band IN (HIGH, CRITICAL)</w:t>
      </w:r>
    </w:p>
    <w:p>
      <w:pPr>
        <w:spacing w:after="80" w:before="80"/>
      </w:pPr>
      <w:r>
        <w:t xml:space="preserve"/>
      </w:r>
    </w:p>
    <w:p>
      <w:pPr>
        <w:spacing w:after="100" w:before="80"/>
        <w:jc w:val="both"/>
      </w:pPr>
      <w:r>
        <w:rPr>
          <w:rFonts w:ascii="Arial" w:cs="Arial" w:eastAsia="Arial" w:hAnsi="Arial"/>
          <w:color w:val="404040"/>
          <w:sz w:val="22"/>
          <w:szCs w:val="22"/>
        </w:rPr>
        <w:t xml:space="preserve">Distribuția rezultată: ~3-5% pozitive — realistă pentru un sistem bancar real, suficientă pentru a antrena un model supervizat eficient.</w:t>
      </w:r>
    </w:p>
    <w:p>
      <w:r>
        <w:br w:type="page"/>
      </w:r>
    </w:p>
    <w:p>
      <w:pPr>
        <w:pStyle w:val="Heading1"/>
        <w:spacing w:after="160" w:before="360"/>
      </w:pPr>
      <w:r>
        <w:rPr>
          <w:rFonts w:ascii="Arial" w:cs="Arial" w:eastAsia="Arial" w:hAnsi="Arial"/>
          <w:b/>
          <w:bCs/>
          <w:color w:val="1F4E79"/>
          <w:sz w:val="32"/>
          <w:szCs w:val="32"/>
        </w:rPr>
        <w:t xml:space="preserve">6. Decizii arhitecturale cheie</w:t>
      </w:r>
    </w:p>
    <w:p>
      <w:pPr>
        <w:spacing w:after="100" w:before="80"/>
        <w:jc w:val="both"/>
      </w:pPr>
      <w:r>
        <w:rPr>
          <w:rFonts w:ascii="Arial" w:cs="Arial" w:eastAsia="Arial" w:hAnsi="Arial"/>
          <w:color w:val="404040"/>
          <w:sz w:val="22"/>
          <w:szCs w:val="22"/>
        </w:rPr>
        <w:t xml:space="preserve">În acest capitol documentăm deciziile importante de design luate pe parcursul implementării, cu argumentele și alternativele considerate.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6.1 SCD Type 2 cu valid_from / valid_to standard</w:t>
      </w:r>
    </w:p>
    <w:p>
      <w:pPr>
        <w:spacing w:after="100" w:before="80"/>
        <w:jc w:val="both"/>
      </w:pPr>
      <w:r>
        <w:rPr>
          <w:rFonts w:ascii="Arial" w:cs="Arial" w:eastAsia="Arial" w:hAnsi="Arial"/>
          <w:color w:val="404040"/>
          <w:sz w:val="22"/>
          <w:szCs w:val="22"/>
        </w:rPr>
        <w:t xml:space="preserve">Folosim convenția industrială standard: valid_from = 1900-01-01 pentru versiunile inițiale (semnificând „a existat dintotdeauna până la prima modificare”) și valid_to = 3000-01-01 pentru versiunile curente (semnificând „e în vigoare până la următoarea modificare”). Această abordare elimină gestionarea valorilor NULL în JOIN-urile temporale și este recomandată în literatura Kimball.</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6.2 Coloanele is_current alături de valid_to</w:t>
      </w:r>
    </w:p>
    <w:p>
      <w:pPr>
        <w:spacing w:after="100" w:before="80"/>
        <w:jc w:val="both"/>
      </w:pPr>
      <w:r>
        <w:rPr>
          <w:rFonts w:ascii="Arial" w:cs="Arial" w:eastAsia="Arial" w:hAnsi="Arial"/>
          <w:color w:val="404040"/>
          <w:sz w:val="22"/>
          <w:szCs w:val="22"/>
        </w:rPr>
        <w:t xml:space="preserve">În mod tehnic, is_current = (valid_to &gt;= today) este derivabil din valid_to. Totuși păstrăm flag-ul is_current ca „flag de viteză” pentru optimizarea query-urilor frecvente „dă-mi versiunea curentă a fiecărui client” și pentru claritate semantică pentru consumatorii business. Este pattern-ul recomandat de Kimball în The Data Warehouse Toolkit.</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6.3 PRAGMA foreign_keys = OFF la transactions</w:t>
      </w:r>
    </w:p>
    <w:p>
      <w:pPr>
        <w:spacing w:after="100" w:before="80"/>
        <w:jc w:val="both"/>
      </w:pPr>
      <w:r>
        <w:rPr>
          <w:rFonts w:ascii="Arial" w:cs="Arial" w:eastAsia="Arial" w:hAnsi="Arial"/>
          <w:color w:val="404040"/>
          <w:sz w:val="22"/>
          <w:szCs w:val="22"/>
        </w:rPr>
        <w:t xml:space="preserve">În generator, dezactivăm temporar FK-urile la inserarea tranzacțiilor pentru a permite înregistrărilor cu erori injectate (status_code, channel_code invalide) să ajungă în baza de date și să fie ulterior detectate în Silver. Acesta este principiul fundamental al arhitecturii medallion: Bronze primește totul, Silver decide ce e valid.</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6.4 Păstrarea metadatei lineage în Silver</w:t>
      </w:r>
    </w:p>
    <w:p>
      <w:pPr>
        <w:spacing w:after="100" w:before="80"/>
        <w:jc w:val="both"/>
      </w:pPr>
      <w:r>
        <w:rPr>
          <w:rFonts w:ascii="Arial" w:cs="Arial" w:eastAsia="Arial" w:hAnsi="Arial"/>
          <w:color w:val="404040"/>
          <w:sz w:val="22"/>
          <w:szCs w:val="22"/>
        </w:rPr>
        <w:t xml:space="preserve">În loc să eliminăm complet metadatele Bronze (_batch_id, _ingestion_ts), le redămăm în Silver: source_batch_id, source_ingestion_ts. Aceasta permite trasabilitate end-to-end fără a compromite claritatea modelului dimensional pentru consumatorii business. Adăugăm apoi propriile metadate Silver: silver_loaded_at.</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6.5 Quarantine cu pattern „fix_status”</w:t>
      </w:r>
    </w:p>
    <w:p>
      <w:pPr>
        <w:spacing w:after="100" w:before="80"/>
        <w:jc w:val="both"/>
      </w:pPr>
      <w:r>
        <w:rPr>
          <w:rFonts w:ascii="Arial" w:cs="Arial" w:eastAsia="Arial" w:hAnsi="Arial"/>
          <w:color w:val="404040"/>
          <w:sz w:val="22"/>
          <w:szCs w:val="22"/>
        </w:rPr>
        <w:t xml:space="preserve">Înregistrările corectate (auto sau manual) sunt marcate în quarantine cu fix_status în loc să fie șterse, pentru a păstra audit trail-ul complet. Originalul cu valori defecte rămâne în carantină, iar versiunea corectată ajunge în Silver dim/fact prin DELETE + INSERT atomic (deduplicare la migrare).</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6.6 fact_transactions cu lookup SCD Type 2</w:t>
      </w:r>
    </w:p>
    <w:p>
      <w:pPr>
        <w:spacing w:after="100" w:before="80"/>
        <w:jc w:val="both"/>
      </w:pPr>
      <w:r>
        <w:rPr>
          <w:rFonts w:ascii="Arial" w:cs="Arial" w:eastAsia="Arial" w:hAnsi="Arial"/>
          <w:color w:val="404040"/>
          <w:sz w:val="22"/>
          <w:szCs w:val="22"/>
        </w:rPr>
        <w:t xml:space="preserve">Pentru fiecare tranzacție căutăm versiunea SCD2 a clientului valabilă la momentul initiated_at — nu pe cea curentă. Aceasta asigură că rapoartele istorice (ex. „venituri pe segment în martie”) reflectă corect segmentul clientului la acel moment, nu segmentul actual. Este principiul fundamental al SCD Type 2.</w:t>
      </w:r>
    </w:p>
    <w:p>
      <w:r>
        <w:br w:type="page"/>
      </w:r>
    </w:p>
    <w:p>
      <w:pPr>
        <w:pStyle w:val="Heading1"/>
        <w:spacing w:after="160" w:before="360"/>
      </w:pPr>
      <w:r>
        <w:rPr>
          <w:rFonts w:ascii="Arial" w:cs="Arial" w:eastAsia="Arial" w:hAnsi="Arial"/>
          <w:b/>
          <w:bCs/>
          <w:color w:val="1F4E79"/>
          <w:sz w:val="32"/>
          <w:szCs w:val="32"/>
        </w:rPr>
        <w:t xml:space="preserve">7. Sumar volume în fiecare strat</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7.1 SQLite (sursa)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Rânduri</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14 nomenclator</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~140 (total)</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branches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employees</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60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customers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500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accounts</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800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cards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600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loans</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200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transactions</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~50.000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audit_log</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Auto (variază)</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7.2 Bronze</w:t>
      </w:r>
    </w:p>
    <w:p>
      <w:pPr>
        <w:spacing w:after="100" w:before="80"/>
        <w:jc w:val="both"/>
      </w:pPr>
      <w:r>
        <w:rPr>
          <w:rFonts w:ascii="Arial" w:cs="Arial" w:eastAsia="Arial" w:hAnsi="Arial"/>
          <w:color w:val="404040"/>
          <w:sz w:val="22"/>
          <w:szCs w:val="22"/>
        </w:rPr>
        <w:t xml:space="preserve">22 tabele raw_* + _bronze_runs. Volume identice cu sursa SQLite, plus 4 coloane de metadata pe fiecare tabel.</w:t>
      </w:r>
    </w:p>
    <w:p>
      <w:pPr>
        <w:spacing w:after="80" w:before="80"/>
      </w:pPr>
      <w:r>
        <w:t xml:space="preserve"/>
      </w:r>
    </w:p>
    <w:p>
      <w:pPr>
        <w:pStyle w:val="Heading2"/>
        <w:spacing w:after="120" w:before="280"/>
      </w:pPr>
      <w:r>
        <w:rPr>
          <w:rFonts w:ascii="Arial" w:cs="Arial" w:eastAsia="Arial" w:hAnsi="Arial"/>
          <w:b/>
          <w:bCs/>
          <w:color w:val="0F6E56"/>
          <w:sz w:val="26"/>
          <w:szCs w:val="26"/>
        </w:rPr>
        <w:t xml:space="preserve">7.3 Silver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Rânduri estimate</w:t>
            </w:r>
          </w:p>
        </w:tc>
      </w:tr>
      <w:tr>
        <w:tc>
          <w:tcPr>
            <w:tcW w:type="dxa" w:w="3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14 ref_*</w:t>
            </w:r>
          </w:p>
        </w:tc>
        <w:tc>
          <w:tcPr>
            <w:tcW w:type="dxa" w:w="5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~140 (total, ca în Bronze)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dim_branches</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~20</w:t>
            </w:r>
          </w:p>
        </w:tc>
      </w:tr>
      <w:tr>
        <w:tc>
          <w:tcPr>
            <w:tcW w:type="dxa" w:w="3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dim_employees</w:t>
            </w:r>
          </w:p>
        </w:tc>
        <w:tc>
          <w:tcPr>
            <w:tcW w:type="dxa" w:w="5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~60</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dim_accounts</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~800</w:t>
            </w:r>
          </w:p>
        </w:tc>
      </w:tr>
      <w:tr>
        <w:tc>
          <w:tcPr>
            <w:tcW w:type="dxa" w:w="3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dim_cards</w:t>
            </w:r>
          </w:p>
        </w:tc>
        <w:tc>
          <w:tcPr>
            <w:tcW w:type="dxa" w:w="5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~580 (din ~600, 3% în quarantine)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dim_loans</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~194 (din 200, 3% în quarantine)</w:t>
            </w:r>
          </w:p>
        </w:tc>
      </w:tr>
      <w:tr>
        <w:tc>
          <w:tcPr>
            <w:tcW w:type="dxa" w:w="3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dim_customers</w:t>
            </w:r>
          </w:p>
        </w:tc>
        <w:tc>
          <w:tcPr>
            <w:tcW w:type="dxa" w:w="5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~500 inițial, +25 versiuni după update-uri</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dim_date</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~4018 (2020-2030)</w:t>
            </w:r>
          </w:p>
        </w:tc>
      </w:tr>
      <w:tr>
        <w:tc>
          <w:tcPr>
            <w:tcW w:type="dxa" w:w="3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fact_transactions</w:t>
            </w:r>
          </w:p>
        </w:tc>
        <w:tc>
          <w:tcPr>
            <w:tcW w:type="dxa" w:w="5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~46.000 (din ~50.000, 8% în quarantine)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qrt_* (carantină)</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 din total — distribuită pe entități</w:t>
            </w:r>
          </w:p>
        </w:tc>
      </w:tr>
    </w:tbl>
    <w:p>
      <w:pPr>
        <w:spacing w:after="80" w:before="80"/>
      </w:pPr>
      <w:r>
        <w:t xml:space="preserve"/>
      </w:r>
    </w:p>
    <w:p>
      <w:pPr>
        <w:pStyle w:val="Heading2"/>
        <w:spacing w:after="120" w:before="280"/>
      </w:pPr>
      <w:r>
        <w:rPr>
          <w:rFonts w:ascii="Arial" w:cs="Arial" w:eastAsia="Arial" w:hAnsi="Arial"/>
          <w:b/>
          <w:bCs/>
          <w:color w:val="0F6E56"/>
          <w:sz w:val="26"/>
          <w:szCs w:val="26"/>
        </w:rPr>
        <w:t xml:space="preserve">7.4 Gold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Rânduri</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dim_product</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~16</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dim_customer_enriched</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~500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dim_risk_profile</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kpi_transactions_daily</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~20-40.000</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customer_segments_rfm</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~500</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report_pnl_monthly</w:t>
            </w:r>
          </w:p>
        </w:tc>
        <w:tc>
          <w:tcPr>
            <w:tcW w:type="dxa" w:w="4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~240 (12 luni × 20 sucursale)</w:t>
            </w:r>
          </w:p>
        </w:tc>
      </w:tr>
      <w:tr>
        <w:tc>
          <w:tcPr>
            <w:tcW w:type="dxa" w:w="45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fraud_features</w:t>
            </w:r>
          </w:p>
        </w:tc>
        <w:tc>
          <w:tcPr>
            <w:tcW w:type="dxa" w:w="4526"/>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r>
              <w:rPr>
                <w:rFonts w:ascii="Arial" w:cs="Arial" w:eastAsia="Arial" w:hAnsi="Arial"/>
                <w:color w:val="404040"/>
                <w:sz w:val="20"/>
                <w:szCs w:val="20"/>
              </w:rPr>
              <w:t xml:space="preserve">~46.000</w:t>
            </w:r>
          </w:p>
        </w:tc>
      </w:tr>
    </w:tbl>
    <w:p>
      <w:r>
        <w:br w:type="page"/>
      </w:r>
    </w:p>
    <w:p>
      <w:pPr>
        <w:pStyle w:val="Heading1"/>
        <w:spacing w:after="160" w:before="360"/>
      </w:pPr>
      <w:r>
        <w:rPr>
          <w:rFonts w:ascii="Arial" w:cs="Arial" w:eastAsia="Arial" w:hAnsi="Arial"/>
          <w:b/>
          <w:bCs/>
          <w:color w:val="1F4E79"/>
          <w:sz w:val="32"/>
          <w:szCs w:val="32"/>
        </w:rPr>
        <w:t xml:space="preserve">8. Pași următori</w:t>
      </w:r>
    </w:p>
    <w:p>
      <w:pPr>
        <w:spacing w:after="100" w:before="80"/>
        <w:jc w:val="both"/>
      </w:pPr>
      <w:r>
        <w:rPr>
          <w:rFonts w:ascii="Arial" w:cs="Arial" w:eastAsia="Arial" w:hAnsi="Arial"/>
          <w:color w:val="404040"/>
          <w:sz w:val="22"/>
          <w:szCs w:val="22"/>
        </w:rPr>
        <w:t xml:space="preserve">Cu Bronze, Silver și Gold complete, urmează capitolele care valorifică datele pregătite: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120"/>
              <w:left w:type="dxa" w:w="160"/>
              <w:bottom w:type="dxa" w:w="100"/>
              <w:right w:type="dxa" w:w="160"/>
            </w:tcMar>
          </w:tcPr>
          <w:p>
            <w:pPr>
              <w:spacing w:after="80" w:before="0"/>
            </w:pPr>
            <w:r>
              <w:rPr>
                <w:rFonts w:ascii="Arial" w:cs="Arial" w:eastAsia="Arial" w:hAnsi="Arial"/>
                <w:b/>
                <w:bCs/>
                <w:color w:val="3C3489"/>
                <w:sz w:val="22"/>
                <w:szCs w:val="22"/>
              </w:rPr>
              <w:t xml:space="preserve">MLflow — Detecție anomalii</w:t>
            </w:r>
          </w:p>
          <w:p>
            <w:pPr>
              <w:spacing w:after="40" w:before="0"/>
            </w:pPr>
            <w:r>
              <w:rPr>
                <w:rFonts w:ascii="Arial" w:cs="Arial" w:eastAsia="Arial" w:hAnsi="Arial"/>
                <w:color w:val="3C3489"/>
                <w:sz w:val="20"/>
                <w:szCs w:val="20"/>
              </w:rPr>
              <w:t xml:space="preserve">Antrenare model pe fraud_features (Logistic Regression / Random Forest)</w:t>
            </w:r>
          </w:p>
          <w:p>
            <w:pPr>
              <w:spacing w:after="40" w:before="0"/>
            </w:pPr>
            <w:r>
              <w:rPr>
                <w:rFonts w:ascii="Arial" w:cs="Arial" w:eastAsia="Arial" w:hAnsi="Arial"/>
                <w:color w:val="3C3489"/>
                <w:sz w:val="20"/>
                <w:szCs w:val="20"/>
              </w:rPr>
              <w:t xml:space="preserve">Tracking experimente în MLflow (params, metrics, artifacts)</w:t>
            </w:r>
          </w:p>
          <w:p>
            <w:pPr>
              <w:spacing w:after="40" w:before="0"/>
            </w:pPr>
            <w:r>
              <w:rPr>
                <w:rFonts w:ascii="Arial" w:cs="Arial" w:eastAsia="Arial" w:hAnsi="Arial"/>
                <w:color w:val="3C3489"/>
                <w:sz w:val="20"/>
                <w:szCs w:val="20"/>
              </w:rPr>
              <w:t xml:space="preserve">Înregistrare model în Model Registry</w:t>
            </w:r>
          </w:p>
          <w:p>
            <w:pPr>
              <w:spacing w:after="40" w:before="0"/>
            </w:pPr>
            <w:r>
              <w:rPr>
                <w:rFonts w:ascii="Arial" w:cs="Arial" w:eastAsia="Arial" w:hAnsi="Arial"/>
                <w:color w:val="3C3489"/>
                <w:sz w:val="20"/>
                <w:szCs w:val="20"/>
              </w:rPr>
              <w:t xml:space="preserve">Inferență batch pentru detecție anomalii în tranzacții noi</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00"/>
              <w:right w:type="dxa" w:w="160"/>
            </w:tcMar>
          </w:tcPr>
          <w:p>
            <w:pPr>
              <w:spacing w:after="80" w:before="0"/>
            </w:pPr>
            <w:r>
              <w:rPr>
                <w:rFonts w:ascii="Arial" w:cs="Arial" w:eastAsia="Arial" w:hAnsi="Arial"/>
                <w:b/>
                <w:bCs/>
                <w:color w:val="1F4E79"/>
                <w:sz w:val="22"/>
                <w:szCs w:val="22"/>
              </w:rPr>
              <w:t xml:space="preserve">Dashboards Databricks</w:t>
            </w:r>
          </w:p>
          <w:p>
            <w:pPr>
              <w:spacing w:after="40" w:before="0"/>
            </w:pPr>
            <w:r>
              <w:rPr>
                <w:rFonts w:ascii="Arial" w:cs="Arial" w:eastAsia="Arial" w:hAnsi="Arial"/>
                <w:color w:val="1F4E79"/>
                <w:sz w:val="20"/>
                <w:szCs w:val="20"/>
              </w:rPr>
              <w:t xml:space="preserve">Dashboard operațional: KPI tranzacții zilnice, alerte fraud</w:t>
            </w:r>
          </w:p>
          <w:p>
            <w:pPr>
              <w:spacing w:after="40" w:before="0"/>
            </w:pPr>
            <w:r>
              <w:rPr>
                <w:rFonts w:ascii="Arial" w:cs="Arial" w:eastAsia="Arial" w:hAnsi="Arial"/>
                <w:color w:val="1F4E79"/>
                <w:sz w:val="20"/>
                <w:szCs w:val="20"/>
              </w:rPr>
              <w:t xml:space="preserve">Dashboard management: P&amp;L lunar, segmentare RFM, distribuția risc</w:t>
            </w:r>
          </w:p>
          <w:p>
            <w:pPr>
              <w:spacing w:after="40" w:before="0"/>
            </w:pPr>
            <w:r>
              <w:rPr>
                <w:rFonts w:ascii="Arial" w:cs="Arial" w:eastAsia="Arial" w:hAnsi="Arial"/>
                <w:color w:val="1F4E79"/>
                <w:sz w:val="20"/>
                <w:szCs w:val="20"/>
              </w:rPr>
              <w:t xml:space="preserve">Vizualizări native Databricks SQL pe tabelele Gold</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60"/>
              <w:bottom w:type="dxa" w:w="100"/>
              <w:right w:type="dxa" w:w="160"/>
            </w:tcMar>
          </w:tcPr>
          <w:p>
            <w:pPr>
              <w:spacing w:after="80" w:before="0"/>
            </w:pPr>
            <w:r>
              <w:rPr>
                <w:rFonts w:ascii="Arial" w:cs="Arial" w:eastAsia="Arial" w:hAnsi="Arial"/>
                <w:b/>
                <w:bCs/>
                <w:color w:val="0F6E56"/>
                <w:sz w:val="22"/>
                <w:szCs w:val="22"/>
              </w:rPr>
              <w:t xml:space="preserve">Workflows — Orchestrare</w:t>
            </w:r>
          </w:p>
          <w:p>
            <w:pPr>
              <w:spacing w:after="40" w:before="0"/>
            </w:pPr>
            <w:r>
              <w:rPr>
                <w:rFonts w:ascii="Arial" w:cs="Arial" w:eastAsia="Arial" w:hAnsi="Arial"/>
                <w:color w:val="0F6E56"/>
                <w:sz w:val="20"/>
                <w:szCs w:val="20"/>
              </w:rPr>
              <w:t xml:space="preserve">Job zilnic care rulează pipeline-ul complet Bronze → Silver → Gold</w:t>
            </w:r>
          </w:p>
          <w:p>
            <w:pPr>
              <w:spacing w:after="40" w:before="0"/>
            </w:pPr>
            <w:r>
              <w:rPr>
                <w:rFonts w:ascii="Arial" w:cs="Arial" w:eastAsia="Arial" w:hAnsi="Arial"/>
                <w:color w:val="0F6E56"/>
                <w:sz w:val="20"/>
                <w:szCs w:val="20"/>
              </w:rPr>
              <w:t xml:space="preserve">Trigger-e și dependențe între task-uri</w:t>
            </w:r>
          </w:p>
          <w:p>
            <w:pPr>
              <w:spacing w:after="40" w:before="0"/>
            </w:pPr>
            <w:r>
              <w:rPr>
                <w:rFonts w:ascii="Arial" w:cs="Arial" w:eastAsia="Arial" w:hAnsi="Arial"/>
                <w:color w:val="0F6E56"/>
                <w:sz w:val="20"/>
                <w:szCs w:val="20"/>
              </w:rPr>
              <w:t xml:space="preserve">Notificări la eșec, retry policy</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EDA" w:val="clear"/>
            <w:tcMar>
              <w:top w:type="dxa" w:w="120"/>
              <w:left w:type="dxa" w:w="160"/>
              <w:bottom w:type="dxa" w:w="100"/>
              <w:right w:type="dxa" w:w="160"/>
            </w:tcMar>
          </w:tcPr>
          <w:p>
            <w:pPr>
              <w:spacing w:after="80" w:before="0"/>
            </w:pPr>
            <w:r>
              <w:rPr>
                <w:rFonts w:ascii="Arial" w:cs="Arial" w:eastAsia="Arial" w:hAnsi="Arial"/>
                <w:b/>
                <w:bCs/>
                <w:color w:val="633806"/>
                <w:sz w:val="22"/>
                <w:szCs w:val="22"/>
              </w:rPr>
              <w:t xml:space="preserve">Bibliografie academică</w:t>
            </w:r>
          </w:p>
          <w:p>
            <w:pPr>
              <w:spacing w:after="40" w:before="0"/>
            </w:pPr>
            <w:r>
              <w:rPr>
                <w:rFonts w:ascii="Arial" w:cs="Arial" w:eastAsia="Arial" w:hAnsi="Arial"/>
                <w:color w:val="633806"/>
                <w:sz w:val="20"/>
                <w:szCs w:val="20"/>
              </w:rPr>
              <w:t xml:space="preserve">Selecție cărți și articole pentru dizertație</w:t>
            </w:r>
          </w:p>
          <w:p>
            <w:pPr>
              <w:spacing w:after="40" w:before="0"/>
            </w:pPr>
            <w:r>
              <w:rPr>
                <w:rFonts w:ascii="Arial" w:cs="Arial" w:eastAsia="Arial" w:hAnsi="Arial"/>
                <w:color w:val="633806"/>
                <w:sz w:val="20"/>
                <w:szCs w:val="20"/>
              </w:rPr>
              <w:t xml:space="preserve">Kimball, Inmon, papers Delta Lake, MLflow</w:t>
            </w:r>
          </w:p>
          <w:p>
            <w:pPr>
              <w:spacing w:after="40" w:before="0"/>
            </w:pPr>
            <w:r>
              <w:rPr>
                <w:rFonts w:ascii="Arial" w:cs="Arial" w:eastAsia="Arial" w:hAnsi="Arial"/>
                <w:color w:val="633806"/>
                <w:sz w:val="20"/>
                <w:szCs w:val="20"/>
              </w:rPr>
              <w:t xml:space="preserve">Format academic standard</w:t>
            </w:r>
          </w:p>
        </w:tc>
      </w:tr>
    </w:tbl>
    <w:p>
      <w:pPr>
        <w:spacing w:after="80" w:before="80"/>
      </w:pPr>
      <w:r>
        <w:t xml:space="preserve"/>
      </w:r>
    </w:p>
    <w:p>
      <w:pPr>
        <w:pStyle w:val="Heading1"/>
        <w:spacing w:after="160" w:before="360"/>
      </w:pPr>
      <w:r>
        <w:rPr>
          <w:rFonts w:ascii="Arial" w:cs="Arial" w:eastAsia="Arial" w:hAnsi="Arial"/>
          <w:b/>
          <w:bCs/>
          <w:color w:val="1F4E79"/>
          <w:sz w:val="32"/>
          <w:szCs w:val="32"/>
        </w:rPr>
        <w:t xml:space="preserve">9. Concluzii</w:t>
      </w:r>
    </w:p>
    <w:p>
      <w:pPr>
        <w:spacing w:after="100" w:before="80"/>
        <w:jc w:val="both"/>
      </w:pPr>
      <w:r>
        <w:rPr>
          <w:rFonts w:ascii="Arial" w:cs="Arial" w:eastAsia="Arial" w:hAnsi="Arial"/>
          <w:color w:val="404040"/>
          <w:sz w:val="22"/>
          <w:szCs w:val="22"/>
        </w:rPr>
        <w:t xml:space="preserve">La acest moment am construit complet straturile de date din arhitectura medallion: 22 de tabele în SQLite, 22 în Bronze, ~30 în Silver (incluzând quarantine și corrections) și 7 în Gold. Sistemul demonstrează toate principiile fundamentale ale unui data warehouse modern:</w:t>
      </w:r>
    </w:p>
    <w:p>
      <w:pPr>
        <w:spacing w:after="80" w:before="80"/>
      </w:pPr>
      <w:r>
        <w:t xml:space="preserve"/>
      </w:r>
    </w:p>
    <w:p>
      <w:pPr>
        <w:pStyle w:val="ListParagraph"/>
        <w:numPr>
          <w:ilvl w:val="0"/>
          <w:numId w:val="2"/>
        </w:numPr>
        <w:spacing w:after="40" w:before="40"/>
      </w:pPr>
      <w:r>
        <w:rPr>
          <w:rFonts w:ascii="Arial" w:cs="Arial" w:eastAsia="Arial" w:hAnsi="Arial"/>
          <w:color w:val="404040"/>
          <w:sz w:val="22"/>
          <w:szCs w:val="22"/>
        </w:rPr>
        <w:t xml:space="preserve">Separarea responsabilităților pe straturi (raw, cleaned, business-ready)</w:t>
      </w:r>
    </w:p>
    <w:p>
      <w:pPr>
        <w:pStyle w:val="ListParagraph"/>
        <w:numPr>
          <w:ilvl w:val="0"/>
          <w:numId w:val="2"/>
        </w:numPr>
        <w:spacing w:after="40" w:before="40"/>
      </w:pPr>
      <w:r>
        <w:rPr>
          <w:rFonts w:ascii="Arial" w:cs="Arial" w:eastAsia="Arial" w:hAnsi="Arial"/>
          <w:color w:val="404040"/>
          <w:sz w:val="22"/>
          <w:szCs w:val="22"/>
        </w:rPr>
        <w:t xml:space="preserve">Type safety prin casting explicit și validări în Silver</w:t>
      </w:r>
    </w:p>
    <w:p>
      <w:pPr>
        <w:pStyle w:val="ListParagraph"/>
        <w:numPr>
          <w:ilvl w:val="0"/>
          <w:numId w:val="2"/>
        </w:numPr>
        <w:spacing w:after="40" w:before="40"/>
      </w:pPr>
      <w:r>
        <w:rPr>
          <w:rFonts w:ascii="Arial" w:cs="Arial" w:eastAsia="Arial" w:hAnsi="Arial"/>
          <w:color w:val="404040"/>
          <w:sz w:val="22"/>
          <w:szCs w:val="22"/>
        </w:rPr>
        <w:t xml:space="preserve">Audit trail end-to-end (Bronze metadata → Silver lineage → Gold)</w:t>
      </w:r>
    </w:p>
    <w:p>
      <w:pPr>
        <w:pStyle w:val="ListParagraph"/>
        <w:numPr>
          <w:ilvl w:val="0"/>
          <w:numId w:val="2"/>
        </w:numPr>
        <w:spacing w:after="40" w:before="40"/>
      </w:pPr>
      <w:r>
        <w:rPr>
          <w:rFonts w:ascii="Arial" w:cs="Arial" w:eastAsia="Arial" w:hAnsi="Arial"/>
          <w:color w:val="404040"/>
          <w:sz w:val="22"/>
          <w:szCs w:val="22"/>
        </w:rPr>
        <w:t xml:space="preserve">Gestionarea calității datelor prin quarantine + auto-fix + manual override</w:t>
      </w:r>
    </w:p>
    <w:p>
      <w:pPr>
        <w:pStyle w:val="ListParagraph"/>
        <w:numPr>
          <w:ilvl w:val="0"/>
          <w:numId w:val="2"/>
        </w:numPr>
        <w:spacing w:after="40" w:before="40"/>
      </w:pPr>
      <w:r>
        <w:rPr>
          <w:rFonts w:ascii="Arial" w:cs="Arial" w:eastAsia="Arial" w:hAnsi="Arial"/>
          <w:color w:val="404040"/>
          <w:sz w:val="22"/>
          <w:szCs w:val="22"/>
        </w:rPr>
        <w:t xml:space="preserve">SCD Type 2 corect implementat pentru istoricul clienților</w:t>
      </w:r>
    </w:p>
    <w:p>
      <w:pPr>
        <w:pStyle w:val="ListParagraph"/>
        <w:numPr>
          <w:ilvl w:val="0"/>
          <w:numId w:val="2"/>
        </w:numPr>
        <w:spacing w:after="40" w:before="40"/>
      </w:pPr>
      <w:r>
        <w:rPr>
          <w:rFonts w:ascii="Arial" w:cs="Arial" w:eastAsia="Arial" w:hAnsi="Arial"/>
          <w:color w:val="404040"/>
          <w:sz w:val="22"/>
          <w:szCs w:val="22"/>
        </w:rPr>
        <w:t xml:space="preserve">Star schema clasică (fact_transactions + dimensiuni) în Silver</w:t>
      </w:r>
    </w:p>
    <w:p>
      <w:pPr>
        <w:pStyle w:val="ListParagraph"/>
        <w:numPr>
          <w:ilvl w:val="0"/>
          <w:numId w:val="2"/>
        </w:numPr>
        <w:spacing w:after="40" w:before="40"/>
      </w:pPr>
      <w:r>
        <w:rPr>
          <w:rFonts w:ascii="Arial" w:cs="Arial" w:eastAsia="Arial" w:hAnsi="Arial"/>
          <w:color w:val="404040"/>
          <w:sz w:val="22"/>
          <w:szCs w:val="22"/>
        </w:rPr>
        <w:t xml:space="preserve">Dimensiuni îmbogățite și agregate pentru analitică în Gold</w:t>
      </w:r>
    </w:p>
    <w:p>
      <w:pPr>
        <w:pStyle w:val="ListParagraph"/>
        <w:numPr>
          <w:ilvl w:val="0"/>
          <w:numId w:val="2"/>
        </w:numPr>
        <w:spacing w:after="40" w:before="40"/>
      </w:pPr>
      <w:r>
        <w:rPr>
          <w:rFonts w:ascii="Arial" w:cs="Arial" w:eastAsia="Arial" w:hAnsi="Arial"/>
          <w:color w:val="404040"/>
          <w:sz w:val="22"/>
          <w:szCs w:val="22"/>
        </w:rPr>
        <w:t xml:space="preserve">Dataset pregătit pentru ML (fraud_features) cu features inteligente</w:t>
      </w:r>
    </w:p>
    <w:p>
      <w:pPr>
        <w:spacing w:after="80" w:before="80"/>
      </w:pPr>
      <w:r>
        <w:t xml:space="preserve"/>
      </w:r>
    </w:p>
    <w:p>
      <w:pPr>
        <w:spacing w:after="100" w:before="80"/>
        <w:jc w:val="both"/>
      </w:pPr>
      <w:r>
        <w:rPr>
          <w:rFonts w:ascii="Arial" w:cs="Arial" w:eastAsia="Arial" w:hAnsi="Arial"/>
          <w:color w:val="404040"/>
          <w:sz w:val="22"/>
          <w:szCs w:val="22"/>
        </w:rPr>
        <w:t xml:space="preserve">Toate componentele sunt reproductibile end-to-end — pornind de la generatorul Python care creează date sintetice, până la tabelele Gold gata pentru consum analitic. Documentația tehnică (acest document) și diagramele UML din task-ul paralel oferă împreună o imagine completă a sistemului implementat.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2026-05-02T22:58:32.833Z</dcterms:created>
  <dcterms:modified xsi:type="dcterms:W3CDTF">2026-05-02T22:58:32.834Z</dcterms:modified>
</cp:coreProperties>
</file>

<file path=docProps/custom.xml><?xml version="1.0" encoding="utf-8"?>
<Properties xmlns="http://schemas.openxmlformats.org/officeDocument/2006/custom-properties" xmlns:vt="http://schemas.openxmlformats.org/officeDocument/2006/docPropsVTypes"/>
</file>