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553"/>
      </w:pPr>
      <w:r>
        <w:rPr>
          <w:w w:val="105"/>
        </w:rPr>
        <w:t>Table: COVID-19 Confirmed cases in Bangladesh (up to May 17, 2020 at 8:00am)</w:t>
      </w:r>
    </w:p>
    <w:tbl>
      <w:tblPr>
        <w:tblW w:w="0" w:type="auto"/>
        <w:jc w:val="left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466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9565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9565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57.38%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3368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20.20%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1463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695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1"/>
              <w:rPr>
                <w:sz w:val="15"/>
              </w:rPr>
            </w:pPr>
            <w:r>
              <w:rPr>
                <w:sz w:val="15"/>
              </w:rPr>
              <w:t>1644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9.86%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245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525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3.15%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351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2.11%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295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565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3.39%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0.97%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246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5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20" w:right="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2"/>
        </w:rPr>
      </w:pPr>
    </w:p>
    <w:p>
      <w:pPr>
        <w:pStyle w:val="Heading1"/>
        <w:tabs>
          <w:tab w:pos="2980" w:val="left" w:leader="none"/>
          <w:tab w:pos="5861" w:val="left" w:leader="none"/>
          <w:tab w:pos="8742" w:val="left" w:leader="none"/>
        </w:tabs>
      </w:pPr>
      <w:r>
        <w:rPr/>
        <w:pict>
          <v:shape style="width:117.5pt;height:687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3"/>
                  </w:tblGrid>
                  <w:tr>
                    <w:trPr>
                      <w:trHeight w:val="405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66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66"/>
                          <w:ind w:right="112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2"/>
        </w:rPr>
        <w:pict>
          <v:shape style="width:117.55pt;height:682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3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Fulbaria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Gabtoli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Hajipara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Indira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Jinjira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71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2"/>
        </w:rPr>
        <w:pict>
          <v:shape style="width:117.5pt;height:682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3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Merul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Mintu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Niketon</w:t>
                        </w:r>
                      </w:p>
                    </w:tc>
                    <w:tc>
                      <w:tcPr>
                        <w:tcW w:w="71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9"/>
        </w:rPr>
        <w:pict>
          <v:shape style="width:117.5pt;height:678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71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Paikpara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9"/>
        </w:rPr>
      </w:r>
    </w:p>
    <w:p>
      <w:pPr>
        <w:spacing w:after="0"/>
        <w:sectPr>
          <w:headerReference w:type="default" r:id="rId5"/>
          <w:pgSz w:w="12240" w:h="15840"/>
          <w:pgMar w:header="783" w:footer="0" w:top="1100" w:bottom="0" w:left="620" w:right="420"/>
        </w:sectPr>
      </w:pPr>
    </w:p>
    <w:p>
      <w:pPr>
        <w:pStyle w:val="BodyText"/>
        <w:spacing w:before="8"/>
        <w:rPr>
          <w:rFonts w:ascii="Times New Roman"/>
          <w:b w:val="0"/>
          <w:sz w:val="23"/>
        </w:rPr>
      </w:pPr>
    </w:p>
    <w:p>
      <w:pPr>
        <w:tabs>
          <w:tab w:pos="2980" w:val="left" w:leader="none"/>
          <w:tab w:pos="5861" w:val="left" w:leader="none"/>
          <w:tab w:pos="8742" w:val="left" w:leader="none"/>
        </w:tabs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17.5pt;height:62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3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Taltola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17.55pt;height:62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3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17.5pt;height:62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3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1"/>
          <w:sz w:val="20"/>
        </w:rPr>
        <w:pict>
          <v:shape style="width:117.5pt;height:46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712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31"/>
          <w:sz w:val="20"/>
        </w:rPr>
      </w:r>
    </w:p>
    <w:sectPr>
      <w:pgSz w:w="12240" w:h="15840"/>
      <w:pgMar w:header="783" w:footer="0" w:top="1100" w:bottom="280" w:left="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00003pt;margin-top:38.150002pt;width:387.25pt;height:18pt;mso-position-horizontal-relative:page;mso-position-vertical-relative:page;z-index:-52552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Dhaka City Case Distribution(Up to 17 May, 2020.8:00AM)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2020-05-18T10:38:56Z</dcterms:created>
  <dcterms:modified xsi:type="dcterms:W3CDTF">2020-05-18T10:38:56Z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