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6A17" w:rsidRPr="00B35738" w:rsidRDefault="00A97450" w:rsidP="00B56A17">
      <w:pPr>
        <w:jc w:val="center"/>
        <w:rPr>
          <w:rFonts w:ascii="Times New Roman" w:hAnsi="Times New Roman" w:cs="Times New Roman"/>
          <w:sz w:val="36"/>
          <w:szCs w:val="36"/>
        </w:rPr>
      </w:pPr>
      <w:r w:rsidRPr="00B35738">
        <w:rPr>
          <w:rFonts w:ascii="Times New Roman" w:hAnsi="Times New Roman" w:cs="Times New Roman"/>
          <w:sz w:val="36"/>
          <w:szCs w:val="36"/>
        </w:rPr>
        <w:t xml:space="preserve">Présentation de l’article </w:t>
      </w:r>
      <w:r w:rsidR="00853B44" w:rsidRPr="00B35738">
        <w:rPr>
          <w:rFonts w:ascii="Times New Roman" w:hAnsi="Times New Roman" w:cs="Times New Roman"/>
          <w:sz w:val="36"/>
          <w:szCs w:val="36"/>
        </w:rPr>
        <w:t>scientifique</w:t>
      </w:r>
    </w:p>
    <w:p w:rsidR="00B56A17" w:rsidRPr="00B35738" w:rsidRDefault="00B56A17" w:rsidP="00B56A17">
      <w:pPr>
        <w:jc w:val="center"/>
        <w:rPr>
          <w:rFonts w:ascii="Times New Roman" w:hAnsi="Times New Roman" w:cs="Times New Roman"/>
        </w:rPr>
      </w:pPr>
    </w:p>
    <w:p w:rsidR="00A97450" w:rsidRPr="00B35738" w:rsidRDefault="00A97450" w:rsidP="00A97450">
      <w:pPr>
        <w:pStyle w:val="Titre1"/>
        <w:rPr>
          <w:rFonts w:ascii="Times New Roman" w:hAnsi="Times New Roman" w:cs="Times New Roman"/>
        </w:rPr>
      </w:pPr>
      <w:r w:rsidRPr="00B35738">
        <w:rPr>
          <w:rFonts w:ascii="Times New Roman" w:hAnsi="Times New Roman" w:cs="Times New Roman"/>
        </w:rPr>
        <w:t xml:space="preserve">Objectif </w:t>
      </w:r>
    </w:p>
    <w:p w:rsidR="00A97450" w:rsidRPr="00B35738" w:rsidRDefault="00A97450" w:rsidP="00A97450">
      <w:pPr>
        <w:rPr>
          <w:rFonts w:ascii="Times New Roman" w:hAnsi="Times New Roman" w:cs="Times New Roman"/>
        </w:rPr>
      </w:pPr>
    </w:p>
    <w:p w:rsidR="00853B44" w:rsidRPr="00B35738" w:rsidRDefault="00853B44" w:rsidP="00853B44">
      <w:pPr>
        <w:pStyle w:val="NormalWeb"/>
      </w:pPr>
      <w:r w:rsidRPr="00B35738">
        <w:t>L’article vise à comparer deux approches d’électrification pour atteindre la neutralité carbone en Allemagne d’ici 2050 :</w:t>
      </w:r>
    </w:p>
    <w:p w:rsidR="00853B44" w:rsidRPr="00B35738" w:rsidRDefault="00853B44" w:rsidP="00853B44">
      <w:pPr>
        <w:pStyle w:val="NormalWeb"/>
        <w:numPr>
          <w:ilvl w:val="0"/>
          <w:numId w:val="1"/>
        </w:numPr>
      </w:pPr>
      <w:r w:rsidRPr="00B35738">
        <w:rPr>
          <w:rStyle w:val="lev"/>
        </w:rPr>
        <w:t>L’électrification directe</w:t>
      </w:r>
      <w:r w:rsidRPr="00B35738">
        <w:t>, qui repose sur l’utilisation de l’électricité pour produire de la chaleur (pompes à chaleur, chauffages électriques) et alimenter les transports (véhicules électriques à batteries, trolleybus).</w:t>
      </w:r>
    </w:p>
    <w:p w:rsidR="00853B44" w:rsidRPr="00B35738" w:rsidRDefault="00853B44" w:rsidP="00853B44">
      <w:pPr>
        <w:pStyle w:val="NormalWeb"/>
        <w:numPr>
          <w:ilvl w:val="0"/>
          <w:numId w:val="1"/>
        </w:numPr>
      </w:pPr>
      <w:r w:rsidRPr="00B35738">
        <w:rPr>
          <w:rStyle w:val="lev"/>
        </w:rPr>
        <w:t>L’électrification indirecte</w:t>
      </w:r>
      <w:r w:rsidRPr="00B35738">
        <w:t>, qui transforme l’électricité en carburants synthétiques (hydrogène, méthane, carburants liquides) utilisés ensuite par des technologies classiques (moteurs à combustion, piles à combustible).</w:t>
      </w:r>
    </w:p>
    <w:p w:rsidR="00E44FC5" w:rsidRDefault="00853B44" w:rsidP="00B35738">
      <w:pPr>
        <w:pStyle w:val="NormalWeb"/>
      </w:pPr>
      <w:r w:rsidRPr="00B35738">
        <w:t xml:space="preserve">L’objectif principal est d’évaluer, à partir de </w:t>
      </w:r>
      <w:r w:rsidRPr="00B35738">
        <w:rPr>
          <w:rStyle w:val="lev"/>
        </w:rPr>
        <w:t>22 scénarios énergétiques</w:t>
      </w:r>
      <w:r w:rsidRPr="00B35738">
        <w:t>, la part respective de ces deux voies dans la décarbonation du chauffage et du transport routier en Allemagne, ainsi que les besoins additionnels en électricité renouvelable.</w:t>
      </w:r>
    </w:p>
    <w:p w:rsidR="00B35738" w:rsidRPr="00B35738" w:rsidRDefault="00B35738" w:rsidP="00B35738">
      <w:pPr>
        <w:pStyle w:val="NormalWeb"/>
      </w:pPr>
    </w:p>
    <w:p w:rsidR="00B35738" w:rsidRPr="00B35738" w:rsidRDefault="00B35738" w:rsidP="00B35738">
      <w:pPr>
        <w:pStyle w:val="Titre1"/>
        <w:rPr>
          <w:rFonts w:ascii="Times New Roman" w:hAnsi="Times New Roman" w:cs="Times New Roman"/>
        </w:rPr>
      </w:pPr>
      <w:r w:rsidRPr="00B35738">
        <w:rPr>
          <w:rFonts w:ascii="Times New Roman" w:hAnsi="Times New Roman" w:cs="Times New Roman"/>
        </w:rPr>
        <w:t>Méthode</w:t>
      </w:r>
    </w:p>
    <w:p w:rsidR="00B35738" w:rsidRPr="00B35738" w:rsidRDefault="00B35738" w:rsidP="00B35738">
      <w:pPr>
        <w:rPr>
          <w:rFonts w:ascii="Times New Roman" w:hAnsi="Times New Roman" w:cs="Times New Roman"/>
        </w:rPr>
      </w:pPr>
    </w:p>
    <w:p w:rsidR="00B35738" w:rsidRPr="00B35738" w:rsidRDefault="00B35738" w:rsidP="00B35738">
      <w:pPr>
        <w:pStyle w:val="NormalWeb"/>
      </w:pPr>
      <w:r w:rsidRPr="00B35738">
        <w:t xml:space="preserve">Les auteurs réalisent une </w:t>
      </w:r>
      <w:r w:rsidRPr="00B35738">
        <w:rPr>
          <w:rStyle w:val="lev"/>
        </w:rPr>
        <w:t>revue comparative</w:t>
      </w:r>
      <w:r w:rsidRPr="00B35738">
        <w:t xml:space="preserve"> de scénarios énergétiques élaborés entre 2014 et 2017 par différents instituts (DLR, Fraunhofer, </w:t>
      </w:r>
      <w:proofErr w:type="spellStart"/>
      <w:r w:rsidRPr="00B35738">
        <w:t>Oeko</w:t>
      </w:r>
      <w:proofErr w:type="spellEnd"/>
      <w:r w:rsidRPr="00B35738">
        <w:t>-Institut, UBA…).</w:t>
      </w:r>
      <w:r w:rsidRPr="00B35738">
        <w:br/>
        <w:t>Les scénarios sont classés selon :</w:t>
      </w:r>
    </w:p>
    <w:p w:rsidR="00B35738" w:rsidRPr="00B35738" w:rsidRDefault="00B35738" w:rsidP="00B35738">
      <w:pPr>
        <w:pStyle w:val="NormalWeb"/>
        <w:numPr>
          <w:ilvl w:val="0"/>
          <w:numId w:val="2"/>
        </w:numPr>
      </w:pPr>
      <w:r w:rsidRPr="00B35738">
        <w:t xml:space="preserve">Leur objectif de réduction des émissions de GES : </w:t>
      </w:r>
      <w:r w:rsidRPr="00B35738">
        <w:rPr>
          <w:rStyle w:val="Accentuation"/>
        </w:rPr>
        <w:t>tendance</w:t>
      </w:r>
      <w:r w:rsidRPr="00B35738">
        <w:t xml:space="preserve"> (−54 à −65 %), </w:t>
      </w:r>
      <w:r w:rsidRPr="00B35738">
        <w:rPr>
          <w:rStyle w:val="Accentuation"/>
        </w:rPr>
        <w:t>DGHG ≥ 80 %</w:t>
      </w:r>
      <w:r w:rsidRPr="00B35738">
        <w:t xml:space="preserve"> et </w:t>
      </w:r>
      <w:r w:rsidRPr="00B35738">
        <w:rPr>
          <w:rStyle w:val="Accentuation"/>
        </w:rPr>
        <w:t>DGHG ≥ 85 %</w:t>
      </w:r>
      <w:r w:rsidRPr="00B35738">
        <w:t>.</w:t>
      </w:r>
    </w:p>
    <w:p w:rsidR="00B35738" w:rsidRPr="00B35738" w:rsidRDefault="00B35738" w:rsidP="00B35738">
      <w:pPr>
        <w:pStyle w:val="NormalWeb"/>
        <w:numPr>
          <w:ilvl w:val="0"/>
          <w:numId w:val="2"/>
        </w:numPr>
      </w:pPr>
      <w:r w:rsidRPr="00B35738">
        <w:t xml:space="preserve">Le secteur concerné : </w:t>
      </w:r>
      <w:r w:rsidRPr="00B35738">
        <w:rPr>
          <w:rStyle w:val="lev"/>
        </w:rPr>
        <w:t>chaleur des bâtiments</w:t>
      </w:r>
      <w:r w:rsidRPr="00B35738">
        <w:t xml:space="preserve">, </w:t>
      </w:r>
      <w:r w:rsidRPr="00B35738">
        <w:rPr>
          <w:rStyle w:val="lev"/>
        </w:rPr>
        <w:t>chaleur industrielle</w:t>
      </w:r>
      <w:r w:rsidRPr="00B35738">
        <w:t xml:space="preserve">, </w:t>
      </w:r>
      <w:r w:rsidRPr="00B35738">
        <w:rPr>
          <w:rStyle w:val="lev"/>
        </w:rPr>
        <w:t>transport des voitures</w:t>
      </w:r>
      <w:r w:rsidRPr="00B35738">
        <w:t xml:space="preserve"> et </w:t>
      </w:r>
      <w:r w:rsidRPr="00B35738">
        <w:rPr>
          <w:rStyle w:val="lev"/>
        </w:rPr>
        <w:t>des camions</w:t>
      </w:r>
      <w:r w:rsidRPr="00B35738">
        <w:t>.</w:t>
      </w:r>
    </w:p>
    <w:p w:rsidR="00B35738" w:rsidRPr="00B35738" w:rsidRDefault="00B35738" w:rsidP="00B35738">
      <w:pPr>
        <w:pStyle w:val="NormalWeb"/>
      </w:pPr>
      <w:r w:rsidRPr="00B35738">
        <w:t>Les indicateurs utilisés sont :</w:t>
      </w:r>
    </w:p>
    <w:p w:rsidR="00B35738" w:rsidRPr="00B35738" w:rsidRDefault="00B35738" w:rsidP="00B35738">
      <w:pPr>
        <w:pStyle w:val="NormalWeb"/>
        <w:numPr>
          <w:ilvl w:val="0"/>
          <w:numId w:val="3"/>
        </w:numPr>
      </w:pPr>
      <w:r w:rsidRPr="00B35738">
        <w:t xml:space="preserve">La </w:t>
      </w:r>
      <w:r w:rsidRPr="00B35738">
        <w:rPr>
          <w:rStyle w:val="lev"/>
        </w:rPr>
        <w:t>consommation d’électricité</w:t>
      </w:r>
      <w:r w:rsidRPr="00B35738">
        <w:t xml:space="preserve"> pour le chauffage et le transport.</w:t>
      </w:r>
    </w:p>
    <w:p w:rsidR="00B35738" w:rsidRPr="00B35738" w:rsidRDefault="00B35738" w:rsidP="00B35738">
      <w:pPr>
        <w:pStyle w:val="NormalWeb"/>
        <w:numPr>
          <w:ilvl w:val="0"/>
          <w:numId w:val="3"/>
        </w:numPr>
      </w:pPr>
      <w:r w:rsidRPr="00B35738">
        <w:t xml:space="preserve">Le </w:t>
      </w:r>
      <w:r w:rsidRPr="00B35738">
        <w:rPr>
          <w:rStyle w:val="lev"/>
        </w:rPr>
        <w:t>taux d’électrification utile</w:t>
      </w:r>
      <w:r w:rsidRPr="00B35738">
        <w:t>, c’est-à-dire la part de l’énergie finale consommée sous forme d’électricité.</w:t>
      </w:r>
    </w:p>
    <w:p w:rsidR="00B35738" w:rsidRPr="00B35738" w:rsidRDefault="00B35738" w:rsidP="00B35738">
      <w:pPr>
        <w:pStyle w:val="NormalWeb"/>
        <w:numPr>
          <w:ilvl w:val="0"/>
          <w:numId w:val="3"/>
        </w:numPr>
      </w:pPr>
      <w:r w:rsidRPr="00B35738">
        <w:t xml:space="preserve">La distinction entre </w:t>
      </w:r>
      <w:r w:rsidRPr="00B35738">
        <w:rPr>
          <w:rStyle w:val="lev"/>
        </w:rPr>
        <w:t>électrification directe</w:t>
      </w:r>
      <w:r w:rsidRPr="00B35738">
        <w:t xml:space="preserve"> et </w:t>
      </w:r>
      <w:r w:rsidRPr="00B35738">
        <w:rPr>
          <w:rStyle w:val="lev"/>
        </w:rPr>
        <w:t>indirecte</w:t>
      </w:r>
      <w:r w:rsidRPr="00B35738">
        <w:t xml:space="preserve"> (via carburants synthétiques).</w:t>
      </w:r>
    </w:p>
    <w:p w:rsidR="00B35738" w:rsidRPr="00B35738" w:rsidRDefault="00B35738" w:rsidP="00B35738">
      <w:pPr>
        <w:pStyle w:val="NormalWeb"/>
      </w:pPr>
      <w:r w:rsidRPr="00B35738">
        <w:t>Les résultats sont visualisés à l’aide de graphiques en coordonnées croisées, permettant de comparer les scénarios selon le niveau d’électrification et les objectifs climatiques.</w:t>
      </w:r>
    </w:p>
    <w:p w:rsidR="00B35738" w:rsidRPr="00B35738" w:rsidRDefault="00B35738" w:rsidP="00B35738">
      <w:pPr>
        <w:rPr>
          <w:rFonts w:ascii="Times New Roman" w:hAnsi="Times New Roman" w:cs="Times New Roman"/>
        </w:rPr>
      </w:pPr>
    </w:p>
    <w:p w:rsidR="00E44FC5" w:rsidRPr="00B35738" w:rsidRDefault="00E44FC5" w:rsidP="00A97450">
      <w:pPr>
        <w:rPr>
          <w:rFonts w:ascii="Times New Roman" w:hAnsi="Times New Roman" w:cs="Times New Roman"/>
        </w:rPr>
      </w:pPr>
    </w:p>
    <w:p w:rsidR="00B56A17" w:rsidRPr="00B35738" w:rsidRDefault="00B56A17" w:rsidP="00A97450">
      <w:pPr>
        <w:rPr>
          <w:rFonts w:ascii="Times New Roman" w:hAnsi="Times New Roman" w:cs="Times New Roman"/>
        </w:rPr>
      </w:pPr>
    </w:p>
    <w:p w:rsidR="00B35738" w:rsidRPr="00B35738" w:rsidRDefault="00B35738" w:rsidP="00B35738">
      <w:pPr>
        <w:pStyle w:val="Titre1"/>
        <w:rPr>
          <w:rFonts w:ascii="Times New Roman" w:hAnsi="Times New Roman" w:cs="Times New Roman"/>
        </w:rPr>
      </w:pPr>
      <w:r w:rsidRPr="00B35738">
        <w:rPr>
          <w:rFonts w:ascii="Times New Roman" w:hAnsi="Times New Roman" w:cs="Times New Roman"/>
        </w:rPr>
        <w:t>Résultats</w:t>
      </w:r>
    </w:p>
    <w:p w:rsidR="00B56A17" w:rsidRPr="00B35738" w:rsidRDefault="00B56A17" w:rsidP="00A97450">
      <w:pPr>
        <w:rPr>
          <w:rFonts w:ascii="Times New Roman" w:hAnsi="Times New Roman" w:cs="Times New Roman"/>
        </w:rPr>
      </w:pPr>
    </w:p>
    <w:p w:rsidR="00B35738" w:rsidRPr="00B35738" w:rsidRDefault="00B35738" w:rsidP="00B35738">
      <w:pPr>
        <w:pStyle w:val="NormalWeb"/>
      </w:pPr>
      <w:r w:rsidRPr="00B35738">
        <w:t>Les principaux résultats montrent que :</w:t>
      </w:r>
    </w:p>
    <w:p w:rsidR="00B35738" w:rsidRPr="00B35738" w:rsidRDefault="00B35738" w:rsidP="00B35738">
      <w:pPr>
        <w:pStyle w:val="NormalWeb"/>
        <w:numPr>
          <w:ilvl w:val="0"/>
          <w:numId w:val="4"/>
        </w:numPr>
      </w:pPr>
      <w:r w:rsidRPr="00B35738">
        <w:t>L’électrification (directe ou indirecte) est indispensable pour atteindre les objectifs de neutralité carbone.</w:t>
      </w:r>
    </w:p>
    <w:p w:rsidR="00B35738" w:rsidRPr="00B35738" w:rsidRDefault="00B35738" w:rsidP="00B35738">
      <w:pPr>
        <w:pStyle w:val="NormalWeb"/>
        <w:numPr>
          <w:ilvl w:val="0"/>
          <w:numId w:val="4"/>
        </w:numPr>
      </w:pPr>
      <w:r w:rsidRPr="00B35738">
        <w:t xml:space="preserve">Les besoins en </w:t>
      </w:r>
      <w:r w:rsidRPr="00B35738">
        <w:rPr>
          <w:rStyle w:val="lev"/>
        </w:rPr>
        <w:t>électricité pour la chaleur et le transport</w:t>
      </w:r>
      <w:r w:rsidRPr="00B35738">
        <w:t xml:space="preserve"> devraient </w:t>
      </w:r>
      <w:r w:rsidRPr="00B35738">
        <w:rPr>
          <w:rStyle w:val="lev"/>
        </w:rPr>
        <w:t>augmenter de 400 à 800 TWh d’ici 2050</w:t>
      </w:r>
      <w:r w:rsidRPr="00B35738">
        <w:t>.</w:t>
      </w:r>
    </w:p>
    <w:p w:rsidR="00B35738" w:rsidRPr="00B35738" w:rsidRDefault="00B35738" w:rsidP="00B35738">
      <w:pPr>
        <w:pStyle w:val="NormalWeb"/>
        <w:numPr>
          <w:ilvl w:val="0"/>
          <w:numId w:val="4"/>
        </w:numPr>
      </w:pPr>
      <w:r w:rsidRPr="00B35738">
        <w:t xml:space="preserve">L’électrification de la chaleur dans les bâtiments atteindrait </w:t>
      </w:r>
      <w:r w:rsidRPr="00B35738">
        <w:rPr>
          <w:rStyle w:val="lev"/>
        </w:rPr>
        <w:t>40 à 95 %</w:t>
      </w:r>
      <w:r w:rsidRPr="00B35738">
        <w:t xml:space="preserve">, dominée par les </w:t>
      </w:r>
      <w:r w:rsidRPr="00B35738">
        <w:rPr>
          <w:rStyle w:val="lev"/>
        </w:rPr>
        <w:t>pompes à chaleur</w:t>
      </w:r>
      <w:r w:rsidRPr="00B35738">
        <w:t>.</w:t>
      </w:r>
    </w:p>
    <w:p w:rsidR="00B35738" w:rsidRPr="00B35738" w:rsidRDefault="00B35738" w:rsidP="00B35738">
      <w:pPr>
        <w:pStyle w:val="NormalWeb"/>
        <w:numPr>
          <w:ilvl w:val="0"/>
          <w:numId w:val="4"/>
        </w:numPr>
      </w:pPr>
      <w:r w:rsidRPr="00B35738">
        <w:t>L’industrie nécessitera une part croissante d’électricité, surtout pour les procédés à haute température et les pompes à chaleur industrielles.</w:t>
      </w:r>
    </w:p>
    <w:p w:rsidR="00B35738" w:rsidRPr="00B35738" w:rsidRDefault="00B35738" w:rsidP="00B35738">
      <w:pPr>
        <w:pStyle w:val="NormalWeb"/>
        <w:numPr>
          <w:ilvl w:val="0"/>
          <w:numId w:val="4"/>
        </w:numPr>
      </w:pPr>
      <w:r w:rsidRPr="00B35738">
        <w:t xml:space="preserve">Le </w:t>
      </w:r>
      <w:r w:rsidRPr="00B35738">
        <w:rPr>
          <w:rStyle w:val="lev"/>
        </w:rPr>
        <w:t>transport routier</w:t>
      </w:r>
      <w:r w:rsidRPr="00B35738">
        <w:t xml:space="preserve"> serait électrifié entre </w:t>
      </w:r>
      <w:r w:rsidRPr="00B35738">
        <w:rPr>
          <w:rStyle w:val="lev"/>
        </w:rPr>
        <w:t>40 et 100 %</w:t>
      </w:r>
      <w:r w:rsidRPr="00B35738">
        <w:t xml:space="preserve">, avec une prédominance des </w:t>
      </w:r>
      <w:r w:rsidRPr="00B35738">
        <w:rPr>
          <w:rStyle w:val="lev"/>
        </w:rPr>
        <w:t>véhicules électriques à batteries</w:t>
      </w:r>
      <w:r w:rsidRPr="00B35738">
        <w:t>, mais une incertitude persistante sur le rôle futur des carburants synthétiques (hydrogène et méthane).</w:t>
      </w:r>
    </w:p>
    <w:p w:rsidR="00B56A17" w:rsidRPr="00B35738" w:rsidRDefault="00B35738" w:rsidP="00A97450">
      <w:pPr>
        <w:rPr>
          <w:rFonts w:ascii="Times New Roman" w:hAnsi="Times New Roman" w:cs="Times New Roman"/>
          <w:b/>
          <w:sz w:val="24"/>
          <w:szCs w:val="24"/>
        </w:rPr>
      </w:pPr>
      <w:r w:rsidRPr="00B35738">
        <w:rPr>
          <w:rFonts w:ascii="Times New Roman" w:hAnsi="Times New Roman" w:cs="Times New Roman"/>
          <w:b/>
          <w:sz w:val="24"/>
          <w:szCs w:val="24"/>
        </w:rPr>
        <w:t>Figure clé : consommation d’électricité pour la chaleur et le transport (Fig. 2)</w:t>
      </w:r>
    </w:p>
    <w:p w:rsidR="00B56A17" w:rsidRPr="00B35738" w:rsidRDefault="00B56A17" w:rsidP="00A97450">
      <w:pPr>
        <w:rPr>
          <w:rFonts w:ascii="Times New Roman" w:hAnsi="Times New Roman" w:cs="Times New Roman"/>
        </w:rPr>
      </w:pPr>
    </w:p>
    <w:p w:rsidR="00A97450" w:rsidRDefault="00B35738" w:rsidP="00A974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144218" cy="2896004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738" w:rsidRDefault="00B35738" w:rsidP="00A97450">
      <w:pPr>
        <w:rPr>
          <w:rFonts w:ascii="Times New Roman" w:hAnsi="Times New Roman" w:cs="Times New Roman"/>
        </w:rPr>
      </w:pPr>
    </w:p>
    <w:p w:rsidR="00B35738" w:rsidRPr="00B35738" w:rsidRDefault="00B35738" w:rsidP="00B35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35738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figure illustre la relation entre les objectifs de réduction des émissions et la consommation d’électricité.</w:t>
      </w:r>
      <w:r w:rsidRPr="00B3573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Plus les scénarios visent une baisse importante des GES (≥ 85 %), plus la demande d’électricité croît, surtout dans le transport.</w:t>
      </w:r>
      <w:r w:rsidRPr="00B3573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35738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bookmarkStart w:id="0" w:name="_GoBack"/>
      <w:bookmarkEnd w:id="0"/>
      <w:r w:rsidRPr="00B357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Interprétation :</w:t>
      </w:r>
      <w:r w:rsidRPr="00B357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atteindre la neutralité carbone, la production d’électricité renouvelable devra augmenter massivement afin d’alimenter à la fois le chauffage et la mobilité.</w:t>
      </w:r>
    </w:p>
    <w:p w:rsidR="00B35738" w:rsidRDefault="00B35738" w:rsidP="00A97450">
      <w:pPr>
        <w:rPr>
          <w:rFonts w:ascii="Times New Roman" w:hAnsi="Times New Roman" w:cs="Times New Roman"/>
        </w:rPr>
      </w:pPr>
    </w:p>
    <w:p w:rsidR="00B35738" w:rsidRDefault="00B35738" w:rsidP="00A97450">
      <w:pPr>
        <w:rPr>
          <w:rFonts w:ascii="Times New Roman" w:hAnsi="Times New Roman" w:cs="Times New Roman"/>
        </w:rPr>
      </w:pPr>
    </w:p>
    <w:p w:rsidR="00B35738" w:rsidRDefault="00B35738" w:rsidP="00B35738">
      <w:pPr>
        <w:pStyle w:val="Titre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Discussion</w:t>
      </w:r>
    </w:p>
    <w:p w:rsidR="00B35738" w:rsidRDefault="00B35738" w:rsidP="00B35738"/>
    <w:p w:rsidR="00B35738" w:rsidRDefault="00B35738" w:rsidP="00B35738">
      <w:pPr>
        <w:pStyle w:val="NormalWeb"/>
      </w:pPr>
      <w:r>
        <w:t>Les auteurs concluent que :</w:t>
      </w:r>
    </w:p>
    <w:p w:rsidR="00B35738" w:rsidRDefault="00B35738" w:rsidP="00B35738">
      <w:pPr>
        <w:pStyle w:val="NormalWeb"/>
        <w:numPr>
          <w:ilvl w:val="0"/>
          <w:numId w:val="5"/>
        </w:numPr>
      </w:pPr>
      <w:r>
        <w:rPr>
          <w:rStyle w:val="lev"/>
        </w:rPr>
        <w:t>L’électrification des usages finaux</w:t>
      </w:r>
      <w:r>
        <w:t xml:space="preserve"> est un levier central de la décarbonation, mais elle suppose un </w:t>
      </w:r>
      <w:r>
        <w:rPr>
          <w:rStyle w:val="lev"/>
        </w:rPr>
        <w:t>doublement de la production d’électricité renouvelable</w:t>
      </w:r>
      <w:r>
        <w:t>.</w:t>
      </w:r>
    </w:p>
    <w:p w:rsidR="00B35738" w:rsidRDefault="00B35738" w:rsidP="00B35738">
      <w:pPr>
        <w:pStyle w:val="NormalWeb"/>
        <w:numPr>
          <w:ilvl w:val="0"/>
          <w:numId w:val="5"/>
        </w:numPr>
      </w:pPr>
      <w:r>
        <w:t xml:space="preserve">Les </w:t>
      </w:r>
      <w:r>
        <w:rPr>
          <w:rStyle w:val="lev"/>
        </w:rPr>
        <w:t>pompes à chaleur</w:t>
      </w:r>
      <w:r>
        <w:t xml:space="preserve"> sont la solution la plus efficace pour le chauffage, mais leur déploiement doit s’accompagner de politiques d’efficacité énergétique.</w:t>
      </w:r>
    </w:p>
    <w:p w:rsidR="00B35738" w:rsidRDefault="00B35738" w:rsidP="00B35738">
      <w:pPr>
        <w:pStyle w:val="NormalWeb"/>
        <w:numPr>
          <w:ilvl w:val="0"/>
          <w:numId w:val="5"/>
        </w:numPr>
      </w:pPr>
      <w:r>
        <w:t xml:space="preserve">Le </w:t>
      </w:r>
      <w:r>
        <w:rPr>
          <w:rStyle w:val="lev"/>
        </w:rPr>
        <w:t>secteur des transports</w:t>
      </w:r>
      <w:r>
        <w:t xml:space="preserve"> reste incertain : la concurrence entre batteries, hydrogène et biocarburants nécessite une vision politique claire et des infrastructures adaptées.</w:t>
      </w:r>
    </w:p>
    <w:p w:rsidR="00B35738" w:rsidRDefault="00B35738" w:rsidP="00B35738">
      <w:pPr>
        <w:pStyle w:val="NormalWeb"/>
        <w:numPr>
          <w:ilvl w:val="0"/>
          <w:numId w:val="5"/>
        </w:numPr>
      </w:pPr>
      <w:r>
        <w:t xml:space="preserve">Les </w:t>
      </w:r>
      <w:r>
        <w:rPr>
          <w:rStyle w:val="lev"/>
        </w:rPr>
        <w:t>incertitudes technologiques</w:t>
      </w:r>
      <w:r>
        <w:t xml:space="preserve"> (rendement, coûts, maturité) rendent les scénarios hétérogènes, mais tous soulignent l’importance de l’innovation et de la planification intégrée.</w:t>
      </w:r>
    </w:p>
    <w:p w:rsidR="00B35738" w:rsidRDefault="00B35738" w:rsidP="00B35738">
      <w:pPr>
        <w:pStyle w:val="NormalWeb"/>
        <w:numPr>
          <w:ilvl w:val="0"/>
          <w:numId w:val="5"/>
        </w:numPr>
      </w:pPr>
      <w:r>
        <w:t xml:space="preserve">Les auteurs appellent à des </w:t>
      </w:r>
      <w:r>
        <w:rPr>
          <w:rStyle w:val="lev"/>
        </w:rPr>
        <w:t>scénarios plus cohérents et comparables</w:t>
      </w:r>
      <w:r>
        <w:t>, intégrant simultanément électricité, chaleur et transport pour mieux guider les décisions politiques.</w:t>
      </w:r>
    </w:p>
    <w:p w:rsidR="00B35738" w:rsidRPr="00B35738" w:rsidRDefault="00B35738" w:rsidP="00B35738"/>
    <w:p w:rsidR="00B35738" w:rsidRPr="00B35738" w:rsidRDefault="00B35738" w:rsidP="00A97450">
      <w:pPr>
        <w:rPr>
          <w:rFonts w:ascii="Times New Roman" w:hAnsi="Times New Roman" w:cs="Times New Roman"/>
        </w:rPr>
      </w:pPr>
    </w:p>
    <w:sectPr w:rsidR="00B35738" w:rsidRPr="00B357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B2865"/>
    <w:multiLevelType w:val="multilevel"/>
    <w:tmpl w:val="DEF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F769C"/>
    <w:multiLevelType w:val="multilevel"/>
    <w:tmpl w:val="FFA8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777B2"/>
    <w:multiLevelType w:val="multilevel"/>
    <w:tmpl w:val="8112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01A35"/>
    <w:multiLevelType w:val="multilevel"/>
    <w:tmpl w:val="0DD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CB5E21"/>
    <w:multiLevelType w:val="multilevel"/>
    <w:tmpl w:val="BEDCB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50"/>
    <w:rsid w:val="00582F71"/>
    <w:rsid w:val="005F61EA"/>
    <w:rsid w:val="00750CD3"/>
    <w:rsid w:val="00853B44"/>
    <w:rsid w:val="009645D2"/>
    <w:rsid w:val="00A97450"/>
    <w:rsid w:val="00B35738"/>
    <w:rsid w:val="00B53FAC"/>
    <w:rsid w:val="00B56A17"/>
    <w:rsid w:val="00C3225C"/>
    <w:rsid w:val="00E4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1F906"/>
  <w15:chartTrackingRefBased/>
  <w15:docId w15:val="{05618387-A761-4926-96BB-B168FAD52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74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7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56A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56A1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853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53B44"/>
    <w:rPr>
      <w:b/>
      <w:bCs/>
    </w:rPr>
  </w:style>
  <w:style w:type="character" w:styleId="Accentuation">
    <w:name w:val="Emphasis"/>
    <w:basedOn w:val="Policepardfaut"/>
    <w:uiPriority w:val="20"/>
    <w:qFormat/>
    <w:rsid w:val="00B357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90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598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PIGNOL LEO</dc:creator>
  <cp:keywords/>
  <dc:description/>
  <cp:lastModifiedBy>PIGNOL LEO</cp:lastModifiedBy>
  <cp:revision>11</cp:revision>
  <dcterms:created xsi:type="dcterms:W3CDTF">2025-10-24T12:46:00Z</dcterms:created>
  <dcterms:modified xsi:type="dcterms:W3CDTF">2025-11-03T14:08:00Z</dcterms:modified>
</cp:coreProperties>
</file>