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spacing w:before="240" w:after="120"/>
      </w:pPr>
      <w:r>
        <w:rPr>
          <w:color w:val="1F3864"/>
        </w:rPr>
        <w:t>EAST INDIA UDYOG LIMITED</w:t>
      </w:r>
    </w:p>
    <w:p/>
    <w:p>
      <w:pPr>
        <w:pStyle w:val="Heading2"/>
        <w:spacing w:before="200" w:after="80"/>
      </w:pPr>
      <w:r>
        <w:rPr>
          <w:color w:val="2E74B5"/>
        </w:rPr>
        <w:t>NOTES TO THE FINANCIAL STATEMENTS (ALL AMOUNTS ARE IN LAKHS UNLESS OTHERWISE STATED)</w:t>
      </w:r>
    </w:p>
    <w:p/>
    <w:p>
      <w:pPr>
        <w:pStyle w:val="Heading2"/>
        <w:spacing w:before="200" w:after="80"/>
      </w:pPr>
      <w:r>
        <w:rPr>
          <w:color w:val="2E74B5"/>
        </w:rPr>
        <w:t>FINANCIAL YEAR 2020-21</w:t>
      </w:r>
    </w:p>
    <w:p/>
    <w:p>
      <w:pPr>
        <w:pStyle w:val="Heading3"/>
        <w:spacing w:before="160" w:after="60"/>
      </w:pPr>
      <w:r>
        <w:rPr>
          <w:color w:val="2E74B5"/>
        </w:rPr>
        <w:t>Note 19: Provisions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employee benefits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Provision for compensated absences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35.08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44.24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Provision for gratuity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342.36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312.53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377.45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356.76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employee benefits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Provision for compensated absences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16.88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7.96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Provision for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53.28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48.64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56.60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20: Trade Payables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Payable to micro enterprises and small enterprises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Other trade payables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Payable against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2,142.38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4,876.22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Payable against services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2,548.27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3,102.01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(iii) Payable against LC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711.19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1,206.78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5,401.84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9,185.01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21: Other Financial Liabilities (Current)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Current maturities of long term debt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Term loans (secured)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1,077.13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29.15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Term Loans (unsecured)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123.29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103.66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Interest accrued on borrowings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11.72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37.66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Employees benefit expenses payable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64.17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339.98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Payable to Subsidiary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68.69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Others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13.65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3.79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|--------------|-----------------|---------------|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**Total**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**1,358.64**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**588.90**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22: Other Current Liabilities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Advance from customers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44.51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792.13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Statutory dues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167.73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274.46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Others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15.84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119.04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228.08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1,185.62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23: Current Tax Liabilities (net)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income tax (net of prepaid taxes)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Current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321.33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2,042.75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Earlier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593.61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593.61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914.93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2,636.35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28: Changes in Inventories of Finished Goods, Work in Progress and Projects Traded Goods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Stocks at the end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Work in progress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896.19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743.57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6.89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(WIP)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903.07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743.86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Finished / Projects traded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1,533.64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1,790.50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47.11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147.94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Projects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10,873.71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18,400.16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(Finished/Traded)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12,454.47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20,338.61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(End of Year)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13,357.54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21,082.47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Stocks at the beginning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Work in progress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743.57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1,547.02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1.51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Projects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39.80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(WIP)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743.86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1,588.33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Finished / Projects traded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1,790.50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1,909.07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- Conductors | 147.94 | 66.84 |</w:t>
      </w:r>
    </w:p>
    <w:p>
      <w:pPr>
        <w:spacing w:before="0" w:after="60"/>
      </w:pPr>
      <w:r>
        <w:rPr>
          <w:sz w:val="22"/>
        </w:rPr>
        <w:t>| - Projects | 18,400.16 | 22,399.75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Sub Total (Finished/Traded)</w:t>
      </w:r>
      <w:r>
        <w:rPr>
          <w:sz w:val="22"/>
        </w:rPr>
        <w:t xml:space="preserve"> | </w:t>
      </w:r>
      <w:r>
        <w:rPr>
          <w:b/>
          <w:sz w:val="22"/>
        </w:rPr>
        <w:t>20,338.61</w:t>
      </w:r>
      <w:r>
        <w:rPr>
          <w:sz w:val="22"/>
        </w:rPr>
        <w:t xml:space="preserve"> | </w:t>
      </w:r>
      <w:r>
        <w:rPr>
          <w:b/>
          <w:sz w:val="22"/>
        </w:rPr>
        <w:t>24,375.66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(Beginning of Year)</w:t>
      </w:r>
      <w:r>
        <w:rPr>
          <w:sz w:val="22"/>
        </w:rPr>
        <w:t xml:space="preserve"> | </w:t>
      </w:r>
      <w:r>
        <w:rPr>
          <w:b/>
          <w:sz w:val="22"/>
        </w:rPr>
        <w:t>21,082.47</w:t>
      </w:r>
      <w:r>
        <w:rPr>
          <w:sz w:val="22"/>
        </w:rPr>
        <w:t xml:space="preserve"> | </w:t>
      </w:r>
      <w:r>
        <w:rPr>
          <w:b/>
          <w:sz w:val="22"/>
        </w:rPr>
        <w:t>25,963.99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(Increase)/decrease in stock (b-a) | 7,724.93 | 4,881.53 |</w:t>
      </w:r>
    </w:p>
    <w:p/>
    <w:p>
      <w:pPr>
        <w:pStyle w:val="Heading3"/>
        <w:spacing w:before="160" w:after="60"/>
      </w:pPr>
      <w:r>
        <w:rPr>
          <w:color w:val="2E74B5"/>
        </w:rPr>
        <w:t>Note 29: Manufacturing and Projects Erection Expenses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Job work &amp;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3,997.25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4,820.19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Wages and labour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516.37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211.73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Power and fuel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163.12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261.92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Repairs of plant and machinery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135.58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33.22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Rent -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108.97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67.37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Miscellaneous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34.23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85.83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4,955.52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5,480.26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30: Employee Benefits Expense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Salaries and allowances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3,192.22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3,332.29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Remuneration to directors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226.60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259.62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Contribution to provident and other funds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23.61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18.95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Leave encashment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0.66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28.72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80.69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84.58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Staff welfare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158.62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88.08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3,682.39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3,812.24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31: Finance Costs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1,741.37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1,726.30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Bank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759.16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829.73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Interest on income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315.56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98.20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Amortisation of processing fees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1.12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Interest on 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2,829.31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2,673.01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37: Leases</w:t>
      </w:r>
    </w:p>
    <w:p/>
    <w:p>
      <w:pPr>
        <w:pStyle w:val="Heading4"/>
        <w:spacing w:before="120" w:after="40"/>
      </w:pPr>
      <w:r>
        <w:rPr>
          <w:color w:val="404040"/>
        </w:rPr>
        <w:t>Movement in Lease Liabilities: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beginning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328.00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Additions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 accrued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Deletions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Payment of lease liabilities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(120.00)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(160.00)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end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</w:tbl>
    <w:p/>
    <w:p/>
    <w:p>
      <w:pPr>
        <w:pStyle w:val="Heading4"/>
        <w:spacing w:before="120" w:after="40"/>
      </w:pPr>
      <w:r>
        <w:rPr>
          <w:color w:val="404040"/>
        </w:rPr>
        <w:t>Maturity of Lease Liabilities: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&lt;=1 Year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1-3 Years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 at 31-Mar-21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 at 31-Mar-20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107.84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40: Related Party Transactions</w:t>
      </w:r>
    </w:p>
    <w:p/>
    <w:p>
      <w:pPr>
        <w:pStyle w:val="Heading4"/>
        <w:spacing w:before="120" w:after="40"/>
      </w:pPr>
      <w:r>
        <w:rPr>
          <w:color w:val="404040"/>
        </w:rPr>
        <w:t>(a) Subsidiaries:</w:t>
      </w:r>
    </w:p>
    <w:p/>
    <w:p>
      <w:pPr>
        <w:spacing w:before="0" w:after="60"/>
      </w:pPr>
      <w:r>
        <w:rPr>
          <w:sz w:val="22"/>
        </w:rPr>
        <w:t>E.I.U Limited – Wholly owned Subsidiary – Nigeria – Trading in transformers, conductors and other electrical goods and doing other project related work.</w:t>
      </w:r>
    </w:p>
    <w:p/>
    <w:p>
      <w:pPr>
        <w:pStyle w:val="Heading4"/>
        <w:spacing w:before="120" w:after="40"/>
      </w:pPr>
      <w:r>
        <w:rPr>
          <w:color w:val="404040"/>
        </w:rPr>
        <w:t>(b) Directors and Key Managerial Personnel:</w:t>
      </w:r>
    </w:p>
    <w:p/>
    <w:p>
      <w:pPr>
        <w:spacing w:before="0" w:after="60"/>
      </w:pPr>
      <w:r>
        <w:rPr>
          <w:sz w:val="22"/>
        </w:rPr>
        <w:t>Mr. Harsh Gupta, Mr. Mohil Sarangi, Mrs. Indira Lohia</w:t>
      </w:r>
    </w:p>
    <w:p/>
    <w:p>
      <w:pPr>
        <w:pStyle w:val="Heading3"/>
        <w:spacing w:before="160" w:after="60"/>
      </w:pPr>
      <w:r>
        <w:rPr>
          <w:color w:val="2E74B5"/>
        </w:rPr>
        <w:t>Note 41: Financial Instruments – Fair Value Classification (31-Mar-21)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Financial Assets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FVTPL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FVTOCI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Amortised Cost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financial assets: loans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184.85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184.85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financial assets: loans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5,497.28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5,497.28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other financial assets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1,391.30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1,391.30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financial assets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688.19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688.19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trade receivables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trade receivables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(excl. cash equivalents)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994.90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34,978.74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35,973.65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Financial Liabilities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Amortised Cost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trade payables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financial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15,527.17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15,527.17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22,365.48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22,365.48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Maturities of Financial Liabilities (31-Mar-21)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Less than 1 year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1-5 years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More than 5 years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1,201.44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2,639.16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1,471.88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5,312.49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liabilities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7,961.93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2,639.16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1,471.88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12,072.97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43: Capital Management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Borrowings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16,727.59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16,452.78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Cash and cash equivalents incl. bank balances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6,067.62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7,665.53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debt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10,659.97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8,787.25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45,028.78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42,871.01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debt to equity ratio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0.20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FINANCIAL YEAR 2021-22</w:t>
      </w:r>
    </w:p>
    <w:p/>
    <w:p>
      <w:pPr>
        <w:pStyle w:val="Heading3"/>
        <w:spacing w:before="160" w:after="60"/>
      </w:pPr>
      <w:r>
        <w:rPr>
          <w:color w:val="2E74B5"/>
        </w:rPr>
        <w:t>Balance Sheet as at 31 March 2022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Property,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13,993.23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14,146.87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intangible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175.81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7.89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Intangible assets under development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146.99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Right-of-use-assets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162.08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278.19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1,603.83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199.53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1,705.06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1,576.15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306.26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1,418.27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18,145.81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23,028.45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Inventories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7,383.59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14,334.97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31,017.12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1,387.48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other than cash equivalents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3,257.85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7,728.98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5,134.03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1,285.20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1,051.44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 assets (net)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3,636.65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2,510.48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57,494.41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47,586.39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75,640.22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70,614.84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AND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share capital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equity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48,299.66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44,738.93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48,589.49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45,028.76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6,291.54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4,105.05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186.60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377.45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 liabilities (net)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1,657.92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1,629.98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8,136.06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6,112.48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12,831.70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12,622.54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Lease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3,313.15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Other financial liabilities (Current) | 289.38 | 158.23 |</w:t>
      </w:r>
    </w:p>
    <w:p>
      <w:pPr>
        <w:spacing w:before="0" w:after="60"/>
      </w:pPr>
      <w:r>
        <w:rPr>
          <w:sz w:val="22"/>
        </w:rPr>
        <w:t>| Provisions (Current) | 49.31 | 70.16 |</w:t>
      </w:r>
    </w:p>
    <w:p>
      <w:pPr>
        <w:spacing w:before="0" w:after="60"/>
      </w:pPr>
      <w:r>
        <w:rPr>
          <w:sz w:val="22"/>
        </w:rPr>
        <w:t>| Other current liabilities | 1,138.66 | 228.08 |</w:t>
      </w:r>
    </w:p>
    <w:p>
      <w:pPr>
        <w:spacing w:before="0" w:after="60"/>
      </w:pPr>
      <w:r>
        <w:rPr>
          <w:sz w:val="22"/>
        </w:rPr>
        <w:t>| Current tax liabilities (net) | 1,292.46 | 914.93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current liabilities</w:t>
      </w:r>
      <w:r>
        <w:rPr>
          <w:sz w:val="22"/>
        </w:rPr>
        <w:t xml:space="preserve"> | </w:t>
      </w:r>
      <w:r>
        <w:rPr>
          <w:b/>
          <w:sz w:val="22"/>
        </w:rPr>
        <w:t>18,914.67</w:t>
      </w:r>
      <w:r>
        <w:rPr>
          <w:sz w:val="22"/>
        </w:rPr>
        <w:t xml:space="preserve"> | </w:t>
      </w:r>
      <w:r>
        <w:rPr>
          <w:b/>
          <w:sz w:val="22"/>
        </w:rPr>
        <w:t>19,473.60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liabilities</w:t>
      </w:r>
      <w:r>
        <w:rPr>
          <w:sz w:val="22"/>
        </w:rPr>
        <w:t xml:space="preserve"> | </w:t>
      </w:r>
      <w:r>
        <w:rPr>
          <w:b/>
          <w:sz w:val="22"/>
        </w:rPr>
        <w:t>27,050.73</w:t>
      </w:r>
      <w:r>
        <w:rPr>
          <w:sz w:val="22"/>
        </w:rPr>
        <w:t xml:space="preserve"> | </w:t>
      </w:r>
      <w:r>
        <w:rPr>
          <w:b/>
          <w:sz w:val="22"/>
        </w:rPr>
        <w:t>25,586.08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equity and liabilities</w:t>
      </w:r>
      <w:r>
        <w:rPr>
          <w:sz w:val="22"/>
        </w:rPr>
        <w:t xml:space="preserve"> | </w:t>
      </w:r>
      <w:r>
        <w:rPr>
          <w:b/>
          <w:sz w:val="22"/>
        </w:rPr>
        <w:t>75,640.22</w:t>
      </w:r>
      <w:r>
        <w:rPr>
          <w:sz w:val="22"/>
        </w:rPr>
        <w:t xml:space="preserve"> | </w:t>
      </w:r>
      <w:r>
        <w:rPr>
          <w:b/>
          <w:sz w:val="22"/>
        </w:rPr>
        <w:t>70,614.84</w:t>
      </w:r>
      <w:r>
        <w:rPr>
          <w:sz w:val="22"/>
        </w:rPr>
        <w:t xml:space="preserve"> |</w:t>
      </w:r>
    </w:p>
    <w:p/>
    <w:p>
      <w:pPr>
        <w:pStyle w:val="Heading3"/>
        <w:spacing w:before="160" w:after="60"/>
      </w:pPr>
      <w:r>
        <w:rPr>
          <w:color w:val="2E74B5"/>
        </w:rPr>
        <w:t>Statement of Profit and Loss for the Year Ended 31 March 2022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Gross 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36,189.30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43,154.92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Goods and service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2,161.99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4,264.35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34,027.31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38,890.57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1,081.80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979.57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35,109.11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39,870.14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Cost of material consumed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2,199.90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6,101.44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finished/projects/traded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9,396.87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7,299.37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(Increase)/Decrease in 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6,388.02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7,724.93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Manufacturing and projects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4,065.38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4,955.52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Employee benefits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3,304.43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3,682.39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2,553.80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2,829.31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Depreciation and amortisation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348.52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265.94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2,230.46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4,495.26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30,487.38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37,354.16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2,515.98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1,129.16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706.19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21.49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(69.90)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tax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1,150.65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636.28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for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3,471.09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1,879.69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Re-measurement gains on defined benefit plans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23.70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46.21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instruments through OCI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72.40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299.66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Income tax effect on OCI items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(6.45)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(67.81)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comprehensive income (net of tax)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278.05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comprehensive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3,560.73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2,157.75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Basic/Diluted EPS (Rs.)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119.76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64.86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28: Changes in Inventories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Stocks at end of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|----------------------------------|------------------|------------------|</w:t>
      </w:r>
    </w:p>
    <w:p>
      <w:pPr>
        <w:spacing w:before="0" w:after="60"/>
      </w:pPr>
      <w:r>
        <w:rPr>
          <w:sz w:val="22"/>
        </w:rPr>
        <w:t>| Work in progress | 237.79 | 903.07 |</w:t>
      </w:r>
    </w:p>
    <w:p>
      <w:pPr>
        <w:spacing w:before="0" w:after="60"/>
      </w:pPr>
      <w:r>
        <w:rPr>
          <w:sz w:val="22"/>
        </w:rPr>
        <w:t>| Finished/projects/traded goods | 6,731.73 | 12,454.47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(End of Year)</w:t>
      </w:r>
      <w:r>
        <w:rPr>
          <w:sz w:val="22"/>
        </w:rPr>
        <w:t xml:space="preserve"> | </w:t>
      </w:r>
      <w:r>
        <w:rPr>
          <w:b/>
          <w:sz w:val="22"/>
        </w:rPr>
        <w:t>6,969.52</w:t>
      </w:r>
      <w:r>
        <w:rPr>
          <w:sz w:val="22"/>
        </w:rPr>
        <w:t xml:space="preserve"> | </w:t>
      </w:r>
      <w:r>
        <w:rPr>
          <w:b/>
          <w:sz w:val="22"/>
        </w:rPr>
        <w:t>13,357.54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Stocks at beginning of year | | |</w:t>
      </w:r>
    </w:p>
    <w:p>
      <w:pPr>
        <w:spacing w:before="0" w:after="60"/>
      </w:pPr>
      <w:r>
        <w:rPr>
          <w:sz w:val="22"/>
        </w:rPr>
        <w:t>| Work in progress | 903.07 | 743.86 |</w:t>
      </w:r>
    </w:p>
    <w:p>
      <w:pPr>
        <w:spacing w:before="0" w:after="60"/>
      </w:pPr>
      <w:r>
        <w:rPr>
          <w:sz w:val="22"/>
        </w:rPr>
        <w:t>| Finished/projects/traded goods | 12,454.47 | 20,338.61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(Beginning of Year)</w:t>
      </w:r>
      <w:r>
        <w:rPr>
          <w:sz w:val="22"/>
        </w:rPr>
        <w:t xml:space="preserve"> | </w:t>
      </w:r>
      <w:r>
        <w:rPr>
          <w:b/>
          <w:sz w:val="22"/>
        </w:rPr>
        <w:t>13,357.54</w:t>
      </w:r>
      <w:r>
        <w:rPr>
          <w:sz w:val="22"/>
        </w:rPr>
        <w:t xml:space="preserve"> | </w:t>
      </w:r>
      <w:r>
        <w:rPr>
          <w:b/>
          <w:sz w:val="22"/>
        </w:rPr>
        <w:t>21,082.47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(Increase)/decrease in stock | 6,388.02 | 7,724.93 |</w:t>
      </w:r>
    </w:p>
    <w:p/>
    <w:p>
      <w:pPr>
        <w:pStyle w:val="Heading3"/>
        <w:spacing w:before="160" w:after="60"/>
      </w:pPr>
      <w:r>
        <w:rPr>
          <w:color w:val="2E74B5"/>
        </w:rPr>
        <w:t>Note 29: Manufacturing and Projects Erection Expenses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Job work, technical &amp;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3,502.78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3,997.25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Wages and labour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388.80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516.37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Power and fuel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81.35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163.12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Repairs of plant and machinery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2.48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135.58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Rent -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66.69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108.97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Miscellaneous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23.29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34.23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4,065.38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4,955.52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30: Employee Benefits Expense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Salaries and allowances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2,780.17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3,192.22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Remuneration to directors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245.60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226.60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Contribution to provident and other funds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Leave encashment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11.92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25.03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80.69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Staff welfare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223.52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158.62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3,304.43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3,682.39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31: Finance Costs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1,751.80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1,741.37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Bank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765.20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759.16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Interest on income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315.56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Amortisation of processing fees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Interest on 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2,553.80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2,829.31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38: Leases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beginning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Additions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 accrued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Deletions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Payment of lease liabilities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(80.00)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(120.00)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end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37: Analytical Ratios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Variance (%)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3.04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2.44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24.39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Debt equity ratio (times)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0.39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0.37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5.94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Debt service coverage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0.35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20.97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profit ratio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10.20%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4.83%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111.06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equity (%)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7.14%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4.17%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71.13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capital employed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10.60%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8.66%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22.43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turnover ratio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1.14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1.64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(30.04)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 turnover ratio (times)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4.13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2.98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38.64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capital turnover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1.02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1.51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(32.52)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investment - quoted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11.53%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71.02%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(83.76)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FINANCIAL YEAR 2022-23</w:t>
      </w:r>
    </w:p>
    <w:p/>
    <w:p>
      <w:pPr>
        <w:pStyle w:val="Heading3"/>
        <w:spacing w:before="160" w:after="60"/>
      </w:pPr>
      <w:r>
        <w:rPr>
          <w:color w:val="2E74B5"/>
        </w:rPr>
        <w:t>Balance Sheet as at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Property,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13,843.32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13,993.23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intangible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136.02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175.81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Right-of-use-assets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137.08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162.08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2,838.57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1,603.83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585.57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199.53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3,152.74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1,705.06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non-current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295.28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306.26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20,988.59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18,145.81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5,425.80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7,383.59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17,514.64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31,017.12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1,550.01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1,387.48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other than cash equivalents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10,878.68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3,257.85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6,210.24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7,728.98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2,267.33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1,285.20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 assets (net)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28.23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6,733.77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3,636.65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50,608.70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57,494.41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71,597.28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75,640.22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AND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share capital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49,440.13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48,299.66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49,729.96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48,589.49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5,505.57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6,291.54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161.60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186.60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 liabilities (net)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1,811.69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1,657.92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7,478.87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8,136.06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5,961.67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12,831.70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liabilities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6,082.87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3,313.15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785.38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289.38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39.98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49.31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Current tax liabilities (net) | 868.85 | 1,138.66 |</w:t>
      </w:r>
    </w:p>
    <w:p>
      <w:pPr>
        <w:spacing w:before="0" w:after="60"/>
      </w:pPr>
      <w:r>
        <w:rPr>
          <w:sz w:val="22"/>
        </w:rPr>
        <w:t>| Other current liabilities (2) | 649.71 | 1,292.46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current liabilities</w:t>
      </w:r>
      <w:r>
        <w:rPr>
          <w:sz w:val="22"/>
        </w:rPr>
        <w:t xml:space="preserve"> | </w:t>
      </w:r>
      <w:r>
        <w:rPr>
          <w:b/>
          <w:sz w:val="22"/>
        </w:rPr>
        <w:t>14,388.45</w:t>
      </w:r>
      <w:r>
        <w:rPr>
          <w:sz w:val="22"/>
        </w:rPr>
        <w:t xml:space="preserve"> | </w:t>
      </w:r>
      <w:r>
        <w:rPr>
          <w:b/>
          <w:sz w:val="22"/>
        </w:rPr>
        <w:t>18,914.67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liabilities</w:t>
      </w:r>
      <w:r>
        <w:rPr>
          <w:sz w:val="22"/>
        </w:rPr>
        <w:t xml:space="preserve"> | </w:t>
      </w:r>
      <w:r>
        <w:rPr>
          <w:b/>
          <w:sz w:val="22"/>
        </w:rPr>
        <w:t>21,867.32</w:t>
      </w:r>
      <w:r>
        <w:rPr>
          <w:sz w:val="22"/>
        </w:rPr>
        <w:t xml:space="preserve"> | </w:t>
      </w:r>
      <w:r>
        <w:rPr>
          <w:b/>
          <w:sz w:val="22"/>
        </w:rPr>
        <w:t>27,050.73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equity and liabilities</w:t>
      </w:r>
      <w:r>
        <w:rPr>
          <w:sz w:val="22"/>
        </w:rPr>
        <w:t xml:space="preserve"> | </w:t>
      </w:r>
      <w:r>
        <w:rPr>
          <w:b/>
          <w:sz w:val="22"/>
        </w:rPr>
        <w:t>71,597.28</w:t>
      </w:r>
      <w:r>
        <w:rPr>
          <w:sz w:val="22"/>
        </w:rPr>
        <w:t xml:space="preserve"> | </w:t>
      </w:r>
      <w:r>
        <w:rPr>
          <w:b/>
          <w:sz w:val="22"/>
        </w:rPr>
        <w:t>75,640.22</w:t>
      </w:r>
      <w:r>
        <w:rPr>
          <w:sz w:val="22"/>
        </w:rPr>
        <w:t xml:space="preserve"> |</w:t>
      </w:r>
    </w:p>
    <w:p/>
    <w:p>
      <w:pPr>
        <w:pStyle w:val="Heading3"/>
        <w:spacing w:before="160" w:after="60"/>
      </w:pPr>
      <w:r>
        <w:rPr>
          <w:color w:val="2E74B5"/>
        </w:rPr>
        <w:t>Statement of Profit and Loss for the Year Ended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Gross 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27,586.90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36,189.30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Goods and service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2,676.68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2,161.99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24,910.22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34,027.31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1,490.93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1,081.80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26,401.15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35,109.11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Cost of material consumed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280.43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2,199.90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finished/projects/traded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9,871.23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9,396.87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(Increase)/Decrease in 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1,918.87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6,388.02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Manufacturing and projects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4,281.98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4,065.38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Employee benefits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2,545.10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3,304.43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1,911.07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2,553.80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Depreciation and amortisation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255.01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348.52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2,040.49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2,230.46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23,104.18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30,487.38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3,296.96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599.91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1,129.16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100.47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21.49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tax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700.38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1,150.65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for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2,596.58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3,471.09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Re-measurement gains on defined benefit plans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23.70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instruments through OCI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405.83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72.40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Income tax effect on OCI items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(53.29)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(6.45)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comprehensive income (net of tax)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354.56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89.64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comprehensive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2,951.14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3,560.73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Basic/Diluted EPS (Rs.)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119.76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Statement of Cash Flow for the Year Ended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A. Cash flow from operating activities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3,296.96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Liability no longer required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(969.06)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(161.48)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|-------------------------------------------------|-------------|------------|</w:t>
      </w:r>
    </w:p>
    <w:p>
      <w:pPr>
        <w:spacing w:before="0" w:after="60"/>
      </w:pPr>
      <w:r>
        <w:rPr>
          <w:sz w:val="22"/>
        </w:rPr>
        <w:t>| Interest income | (1,435.88) | (987.13) |</w:t>
      </w:r>
    </w:p>
    <w:p>
      <w:pPr>
        <w:spacing w:before="0" w:after="60"/>
      </w:pPr>
      <w:r>
        <w:rPr>
          <w:sz w:val="22"/>
        </w:rPr>
        <w:t>| Unrealised Foreign exchange loss/(gain) | (38.77) | (20.81) |</w:t>
      </w:r>
    </w:p>
    <w:p>
      <w:pPr>
        <w:spacing w:before="0" w:after="60"/>
      </w:pPr>
      <w:r>
        <w:rPr>
          <w:sz w:val="22"/>
        </w:rPr>
        <w:t>| Loss on sale of PPE and Investments (net) | 5.07 | 22.47 |</w:t>
      </w:r>
    </w:p>
    <w:p>
      <w:pPr>
        <w:spacing w:before="0" w:after="60"/>
      </w:pPr>
      <w:r>
        <w:rPr>
          <w:sz w:val="22"/>
        </w:rPr>
        <w:t>| Depreciation and amortisation | 255.01 | 348.52 |</w:t>
      </w:r>
    </w:p>
    <w:p>
      <w:pPr>
        <w:spacing w:before="0" w:after="60"/>
      </w:pPr>
      <w:r>
        <w:rPr>
          <w:sz w:val="22"/>
        </w:rPr>
        <w:t>| Allowance for expected credit loss | (1,398.43) | (597.77) |</w:t>
      </w:r>
    </w:p>
    <w:p>
      <w:pPr>
        <w:spacing w:before="0" w:after="60"/>
      </w:pPr>
      <w:r>
        <w:rPr>
          <w:sz w:val="22"/>
        </w:rPr>
        <w:t>| Finance costs | 1,911.07 | 2,553.80 |</w:t>
      </w:r>
    </w:p>
    <w:p>
      <w:pPr>
        <w:spacing w:before="0" w:after="60"/>
      </w:pPr>
      <w:r>
        <w:rPr>
          <w:sz w:val="22"/>
        </w:rPr>
        <w:t>| Bad debts recovered | (1,566.81) | (2,298.55) |</w:t>
      </w:r>
    </w:p>
    <w:p>
      <w:pPr>
        <w:spacing w:before="0" w:after="60"/>
      </w:pPr>
      <w:r>
        <w:rPr>
          <w:sz w:val="22"/>
        </w:rPr>
        <w:t>| Operating profit before working capital changes | 59.16 | 3,480.78 |</w:t>
      </w:r>
    </w:p>
    <w:p>
      <w:pPr>
        <w:spacing w:before="0" w:after="60"/>
      </w:pPr>
      <w:r>
        <w:rPr>
          <w:sz w:val="22"/>
        </w:rPr>
        <w:t>| (Increase)/decrease in trade receivables | 16,042.56 | (7,114.43) |</w:t>
      </w:r>
    </w:p>
    <w:p>
      <w:pPr>
        <w:spacing w:before="0" w:after="60"/>
      </w:pPr>
      <w:r>
        <w:rPr>
          <w:sz w:val="22"/>
        </w:rPr>
        <w:t>| (Increase)/decrease in inventories | 1,957.79 | 6,951.38 |</w:t>
      </w:r>
    </w:p>
    <w:p>
      <w:pPr>
        <w:spacing w:before="0" w:after="60"/>
      </w:pPr>
      <w:r>
        <w:rPr>
          <w:sz w:val="22"/>
        </w:rPr>
        <w:t>| (Increase)/decrease in other assets | (3,031.58) | (14.15) |</w:t>
      </w:r>
    </w:p>
    <w:p>
      <w:pPr>
        <w:spacing w:before="0" w:after="60"/>
      </w:pPr>
      <w:r>
        <w:rPr>
          <w:sz w:val="22"/>
        </w:rPr>
        <w:t>| (Increase)/decrease in financial assets | (1,776.97) | (251.59) |</w:t>
      </w:r>
    </w:p>
    <w:p>
      <w:pPr>
        <w:spacing w:before="0" w:after="60"/>
      </w:pPr>
      <w:r>
        <w:rPr>
          <w:sz w:val="22"/>
        </w:rPr>
        <w:t>| Increase/(decrease) in trade payables | 3,813.06 | (1,953.59) |</w:t>
      </w:r>
    </w:p>
    <w:p>
      <w:pPr>
        <w:spacing w:before="0" w:after="60"/>
      </w:pPr>
      <w:r>
        <w:rPr>
          <w:sz w:val="22"/>
        </w:rPr>
        <w:t>| Increase/(decrease) in other liabilities | (269.82) | 910.58 |</w:t>
      </w:r>
    </w:p>
    <w:p>
      <w:pPr>
        <w:spacing w:before="0" w:after="60"/>
      </w:pPr>
      <w:r>
        <w:rPr>
          <w:sz w:val="22"/>
        </w:rPr>
        <w:t>| Increase/(decrease) in financial liabilities | (90.32) | 133.06 |</w:t>
      </w:r>
    </w:p>
    <w:p>
      <w:pPr>
        <w:spacing w:before="0" w:after="60"/>
      </w:pPr>
      <w:r>
        <w:rPr>
          <w:sz w:val="22"/>
        </w:rPr>
        <w:t>| Increase/(decrease) in provisions | (32.30) | (188.01) |</w:t>
      </w:r>
    </w:p>
    <w:p>
      <w:pPr>
        <w:spacing w:before="0" w:after="60"/>
      </w:pPr>
      <w:r>
        <w:rPr>
          <w:sz w:val="22"/>
        </w:rPr>
        <w:t>| Cash generated from operations | 16,671.59 | 1,954.04 |</w:t>
      </w:r>
    </w:p>
    <w:p>
      <w:pPr>
        <w:spacing w:before="0" w:after="60"/>
      </w:pPr>
      <w:r>
        <w:rPr>
          <w:sz w:val="22"/>
        </w:rPr>
        <w:t>| Income taxes paid | (1,394.46) | (796.58) |</w:t>
      </w:r>
    </w:p>
    <w:p>
      <w:pPr>
        <w:spacing w:before="0" w:after="60"/>
      </w:pPr>
      <w:r>
        <w:rPr>
          <w:sz w:val="22"/>
        </w:rPr>
        <w:t>| Net cash from operating activities | 15,277.13 | 1,157.46 |</w:t>
      </w:r>
    </w:p>
    <w:p>
      <w:pPr>
        <w:spacing w:before="0" w:after="60"/>
      </w:pPr>
      <w:r>
        <w:rPr>
          <w:sz w:val="22"/>
        </w:rPr>
        <w:t>| B. Cash flow from investing activities | | |</w:t>
      </w:r>
    </w:p>
    <w:p>
      <w:pPr>
        <w:spacing w:before="0" w:after="60"/>
      </w:pPr>
      <w:r>
        <w:rPr>
          <w:sz w:val="22"/>
        </w:rPr>
        <w:t>| Interest received | 1,359.34 | 876.05 |</w:t>
      </w:r>
    </w:p>
    <w:p>
      <w:pPr>
        <w:spacing w:before="0" w:after="60"/>
      </w:pPr>
      <w:r>
        <w:rPr>
          <w:sz w:val="22"/>
        </w:rPr>
        <w:t>| Investments made | (953.90) | (682.54) |</w:t>
      </w:r>
    </w:p>
    <w:p>
      <w:pPr>
        <w:spacing w:before="0" w:after="60"/>
      </w:pPr>
      <w:r>
        <w:rPr>
          <w:sz w:val="22"/>
        </w:rPr>
        <w:t>| Investments matured | 123.79 | 146.00 |</w:t>
      </w:r>
    </w:p>
    <w:p>
      <w:pPr>
        <w:spacing w:before="0" w:after="60"/>
      </w:pPr>
      <w:r>
        <w:rPr>
          <w:sz w:val="22"/>
        </w:rPr>
        <w:t>| Payments for property, plant and equipment | (117.62) | (118.03) |</w:t>
      </w:r>
    </w:p>
    <w:p>
      <w:pPr>
        <w:spacing w:before="0" w:after="60"/>
      </w:pPr>
      <w:r>
        <w:rPr>
          <w:sz w:val="22"/>
        </w:rPr>
        <w:t>| Proceeds from disposals of PPE | 22.17 | (4.15) |</w:t>
      </w:r>
    </w:p>
    <w:p>
      <w:pPr>
        <w:spacing w:before="0" w:after="60"/>
      </w:pPr>
      <w:r>
        <w:rPr>
          <w:sz w:val="22"/>
        </w:rPr>
        <w:t>| Loans given | (10,963.43) | (7,133.04) |</w:t>
      </w:r>
    </w:p>
    <w:p>
      <w:pPr>
        <w:spacing w:before="0" w:after="60"/>
      </w:pPr>
      <w:r>
        <w:rPr>
          <w:sz w:val="22"/>
        </w:rPr>
        <w:t>| Loans received back | 12,495.32 | 4,542.35 |</w:t>
      </w:r>
    </w:p>
    <w:p>
      <w:pPr>
        <w:spacing w:before="0" w:after="60"/>
      </w:pPr>
      <w:r>
        <w:rPr>
          <w:sz w:val="22"/>
        </w:rPr>
        <w:t>| Term deposits (net) | (7,620.83) | (121.12) |</w:t>
      </w:r>
    </w:p>
    <w:p>
      <w:pPr>
        <w:spacing w:before="0" w:after="60"/>
      </w:pPr>
      <w:r>
        <w:rPr>
          <w:sz w:val="22"/>
        </w:rPr>
        <w:t>| Net cash from investing activities | (5,655.16) | (2,494.48) |</w:t>
      </w:r>
    </w:p>
    <w:p>
      <w:pPr>
        <w:spacing w:before="0" w:after="60"/>
      </w:pPr>
      <w:r>
        <w:rPr>
          <w:sz w:val="22"/>
        </w:rPr>
        <w:t>| C. Cash flow from financing activities | | |</w:t>
      </w:r>
    </w:p>
    <w:p>
      <w:pPr>
        <w:spacing w:before="0" w:after="60"/>
      </w:pPr>
      <w:r>
        <w:rPr>
          <w:sz w:val="22"/>
        </w:rPr>
        <w:t>| Proceeds/(repayment) from long term borrowings | (938.54) | 2,038.96 |</w:t>
      </w:r>
    </w:p>
    <w:p>
      <w:pPr>
        <w:spacing w:before="0" w:after="60"/>
      </w:pPr>
      <w:r>
        <w:rPr>
          <w:sz w:val="22"/>
        </w:rPr>
        <w:t>| Proceeds/(repayment) from short term borrowings | (6,718.77) | 355.67 |</w:t>
      </w:r>
    </w:p>
    <w:p>
      <w:pPr>
        <w:spacing w:before="0" w:after="60"/>
      </w:pPr>
      <w:r>
        <w:rPr>
          <w:sz w:val="22"/>
        </w:rPr>
        <w:t>| Payment of interest/finance cost | (1,853.75) | (2,518.32) |</w:t>
      </w:r>
    </w:p>
    <w:p>
      <w:pPr>
        <w:spacing w:before="0" w:after="60"/>
      </w:pPr>
      <w:r>
        <w:rPr>
          <w:sz w:val="22"/>
        </w:rPr>
        <w:t>| Payment of lease liabilities | - | (80.00) |</w:t>
      </w:r>
    </w:p>
    <w:p>
      <w:pPr>
        <w:spacing w:before="0" w:after="60"/>
      </w:pPr>
      <w:r>
        <w:rPr>
          <w:sz w:val="22"/>
        </w:rPr>
        <w:t>| Net cash from financing activities | (9,511.07) | (203.69) |</w:t>
      </w:r>
    </w:p>
    <w:p>
      <w:pPr>
        <w:spacing w:before="0" w:after="60"/>
      </w:pPr>
      <w:r>
        <w:rPr>
          <w:sz w:val="22"/>
        </w:rPr>
        <w:t>| Net increase/(decrease) in cash | 110.91 | (1,540.71) |</w:t>
      </w:r>
    </w:p>
    <w:p>
      <w:pPr>
        <w:spacing w:before="0" w:after="60"/>
      </w:pPr>
      <w:r>
        <w:rPr>
          <w:sz w:val="22"/>
        </w:rPr>
        <w:t>| Opening cash and cash equivalents | 1,387.48 | 2,930.90 |</w:t>
      </w:r>
    </w:p>
    <w:p>
      <w:pPr>
        <w:spacing w:before="0" w:after="60"/>
      </w:pPr>
      <w:r>
        <w:rPr>
          <w:sz w:val="22"/>
        </w:rPr>
        <w:t>| Effect of exchange rate fluctuations | 51.62 | (2.71) |</w:t>
      </w:r>
    </w:p>
    <w:p>
      <w:pPr>
        <w:spacing w:before="0" w:after="60"/>
      </w:pPr>
      <w:r>
        <w:rPr>
          <w:sz w:val="22"/>
        </w:rPr>
        <w:t>| Closing cash and cash equivalents | 1,550.01 | 1,387.48 |</w:t>
      </w:r>
    </w:p>
    <w:p/>
    <w:p>
      <w:pPr>
        <w:pStyle w:val="Heading3"/>
        <w:spacing w:before="160" w:after="60"/>
      </w:pPr>
      <w:r>
        <w:rPr>
          <w:color w:val="2E74B5"/>
        </w:rPr>
        <w:t>Note 42: Related Party Transactions (FY 2021-22)</w:t>
      </w:r>
    </w:p>
    <w:p/>
    <w:p>
      <w:pPr>
        <w:pStyle w:val="Heading4"/>
        <w:spacing w:before="120" w:after="40"/>
      </w:pPr>
      <w:r>
        <w:rPr>
          <w:color w:val="404040"/>
        </w:rPr>
        <w:t>**(e) Transactions with Related Parties:**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Subsidiaries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trade receivables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17.58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(14.00)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loans given &amp;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4.25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(0.55)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other payables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(4.56)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(5.97)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Interest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11.21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KMP influence parties -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Sales of products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Interest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696.94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456.65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KMP influence parties -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1.40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Rent - land &amp; building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126.00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given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7,071.49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2,733.86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received back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4,502.92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767.99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Directors/KMP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Remuneration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225.60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201.60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Commission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20.00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25.00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Relatives of Directors/KMP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Salaries and allowances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60.00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75.00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**Note 5: Investments (FY 2022-23)**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Investment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 in subsidiary companies (net of impairment)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Quoted equity (FVTOCI)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1,090.13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813.27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Unquoted equity (at cost)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– Equity Instruments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1,110.13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833.27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 in preference shares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 in LLPs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0.56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0.56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Investments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1,880.69*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1,603.83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\*Note: Total investments shown as 2,838.57 in balance sheet includes additional LLP/preference share items per detailed notes.</w:t>
      </w:r>
    </w:p>
    <w:p/>
    <w:p>
      <w:pPr>
        <w:pStyle w:val="Heading4"/>
        <w:spacing w:before="120" w:after="40"/>
      </w:pPr>
      <w:r>
        <w:rPr>
          <w:color w:val="404040"/>
        </w:rPr>
        <w:t>**For Satiya &amp; Associates**</w:t>
      </w:r>
    </w:p>
    <w:p/>
    <w:p>
      <w:pPr>
        <w:spacing w:before="0" w:after="60"/>
      </w:pPr>
      <w:r>
        <w:rPr>
          <w:sz w:val="22"/>
        </w:rPr>
        <w:t>Chartered Accountants | Firm Registration No.: 029830N</w:t>
      </w:r>
    </w:p>
    <w:p/>
    <w:p>
      <w:pPr>
        <w:spacing w:before="0" w:after="60"/>
      </w:pPr>
      <w:r>
        <w:rPr>
          <w:sz w:val="22"/>
        </w:rPr>
        <w:t>Ashu Satiya, Proprietor | Membership No.: 539572</w:t>
      </w:r>
    </w:p>
    <w:p/>
    <w:p>
      <w:pPr>
        <w:spacing w:before="0" w:after="60"/>
      </w:pPr>
      <w:r>
        <w:rPr>
          <w:sz w:val="22"/>
        </w:rPr>
        <w:t>Place: Noida</w:t>
      </w:r>
    </w:p>
    <w:p/>
    <w:p>
      <w:pPr>
        <w:pStyle w:val="Heading4"/>
        <w:spacing w:before="120" w:after="40"/>
      </w:pPr>
      <w:r>
        <w:rPr>
          <w:color w:val="404040"/>
        </w:rPr>
        <w:t>**For and on behalf of the Board of Directors:**</w:t>
      </w:r>
    </w:p>
    <w:p/>
    <w:p>
      <w:pPr>
        <w:spacing w:before="0" w:after="60"/>
      </w:pPr>
      <w:r>
        <w:rPr>
          <w:sz w:val="22"/>
        </w:rPr>
        <w:t>Harsh Gupta – Managing Director (DIN 00899037)</w:t>
      </w:r>
    </w:p>
    <w:p/>
    <w:p>
      <w:pPr>
        <w:spacing w:before="0" w:after="60"/>
      </w:pPr>
      <w:r>
        <w:rPr>
          <w:sz w:val="22"/>
        </w:rPr>
        <w:t>Mohit Sarangi – Whole-time Director (DIN 03600877)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