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1B8F9" w14:textId="77777777" w:rsidR="00CF1CB2" w:rsidRPr="008C069D" w:rsidRDefault="00CF1CB2" w:rsidP="001F3BC3">
      <w:pPr>
        <w:spacing w:before="2000" w:line="360" w:lineRule="auto"/>
        <w:rPr>
          <w:rFonts w:ascii="Times New Roman" w:hAnsi="Times New Roman" w:cs="Times New Roman"/>
        </w:rPr>
      </w:pPr>
    </w:p>
    <w:p w14:paraId="12A1F257" w14:textId="77777777" w:rsidR="00CF1CB2" w:rsidRPr="008C069D" w:rsidRDefault="00000000" w:rsidP="001F3BC3">
      <w:pPr>
        <w:spacing w:line="360" w:lineRule="auto"/>
        <w:jc w:val="center"/>
        <w:rPr>
          <w:rFonts w:ascii="Times New Roman" w:hAnsi="Times New Roman" w:cs="Times New Roman"/>
        </w:rPr>
      </w:pPr>
      <w:r w:rsidRPr="008C069D">
        <w:rPr>
          <w:rFonts w:ascii="Times New Roman" w:hAnsi="Times New Roman" w:cs="Times New Roman"/>
          <w:b/>
          <w:bCs/>
          <w:sz w:val="56"/>
          <w:szCs w:val="56"/>
        </w:rPr>
        <w:t>Kenya Housing Survey 2024</w:t>
      </w:r>
    </w:p>
    <w:p w14:paraId="69DAAAD3" w14:textId="77777777" w:rsidR="00CF1CB2" w:rsidRPr="008C069D" w:rsidRDefault="00000000" w:rsidP="001F3BC3">
      <w:pPr>
        <w:spacing w:before="200" w:after="600" w:line="360" w:lineRule="auto"/>
        <w:jc w:val="center"/>
        <w:rPr>
          <w:rFonts w:ascii="Times New Roman" w:hAnsi="Times New Roman" w:cs="Times New Roman"/>
        </w:rPr>
      </w:pPr>
      <w:r w:rsidRPr="008C069D">
        <w:rPr>
          <w:rFonts w:ascii="Times New Roman" w:hAnsi="Times New Roman" w:cs="Times New Roman"/>
          <w:sz w:val="32"/>
          <w:szCs w:val="32"/>
        </w:rPr>
        <w:t>County-Level Housing Affordability &amp; Quality: A Policy Brief</w:t>
      </w:r>
    </w:p>
    <w:p w14:paraId="04D85BD7" w14:textId="77777777" w:rsidR="00CF1CB2" w:rsidRPr="008C069D" w:rsidRDefault="00000000" w:rsidP="001F3BC3">
      <w:pPr>
        <w:spacing w:before="1200" w:line="360" w:lineRule="auto"/>
        <w:jc w:val="center"/>
        <w:rPr>
          <w:rFonts w:ascii="Times New Roman" w:hAnsi="Times New Roman" w:cs="Times New Roman"/>
        </w:rPr>
      </w:pPr>
      <w:r w:rsidRPr="008C069D">
        <w:rPr>
          <w:rFonts w:ascii="Times New Roman" w:hAnsi="Times New Roman" w:cs="Times New Roman"/>
          <w:sz w:val="24"/>
          <w:szCs w:val="24"/>
        </w:rPr>
        <w:t>Prepared for the State Department of Housing and Urban Development</w:t>
      </w:r>
    </w:p>
    <w:p w14:paraId="7B47EBE4" w14:textId="56F90188" w:rsidR="00CF1CB2" w:rsidRPr="008C069D" w:rsidRDefault="00000000" w:rsidP="001F3BC3">
      <w:pPr>
        <w:spacing w:before="100" w:line="360" w:lineRule="auto"/>
        <w:jc w:val="center"/>
        <w:rPr>
          <w:rFonts w:ascii="Times New Roman" w:hAnsi="Times New Roman" w:cs="Times New Roman"/>
        </w:rPr>
      </w:pPr>
      <w:r w:rsidRPr="008C069D">
        <w:rPr>
          <w:rFonts w:ascii="Times New Roman" w:hAnsi="Times New Roman" w:cs="Times New Roman"/>
          <w:sz w:val="24"/>
          <w:szCs w:val="24"/>
        </w:rPr>
        <w:t xml:space="preserve">Affordable Housing Programme </w:t>
      </w:r>
      <w:r w:rsidR="0052136F" w:rsidRPr="008C069D">
        <w:rPr>
          <w:rFonts w:ascii="Times New Roman" w:hAnsi="Times New Roman" w:cs="Times New Roman"/>
          <w:sz w:val="24"/>
          <w:szCs w:val="24"/>
        </w:rPr>
        <w:t>-</w:t>
      </w:r>
      <w:r w:rsidRPr="008C069D">
        <w:rPr>
          <w:rFonts w:ascii="Times New Roman" w:hAnsi="Times New Roman" w:cs="Times New Roman"/>
          <w:sz w:val="24"/>
          <w:szCs w:val="24"/>
        </w:rPr>
        <w:t xml:space="preserve"> Marketing &amp; Policy Insights</w:t>
      </w:r>
    </w:p>
    <w:p w14:paraId="11319127" w14:textId="77777777" w:rsidR="00CF1CB2" w:rsidRPr="008C069D" w:rsidRDefault="00000000" w:rsidP="001F3BC3">
      <w:pPr>
        <w:spacing w:before="800" w:line="360" w:lineRule="auto"/>
        <w:jc w:val="center"/>
        <w:rPr>
          <w:rFonts w:ascii="Times New Roman" w:hAnsi="Times New Roman" w:cs="Times New Roman"/>
        </w:rPr>
      </w:pPr>
      <w:r w:rsidRPr="008C069D">
        <w:rPr>
          <w:rFonts w:ascii="Times New Roman" w:hAnsi="Times New Roman" w:cs="Times New Roman"/>
          <w:i/>
          <w:iCs/>
          <w:sz w:val="20"/>
          <w:szCs w:val="20"/>
        </w:rPr>
        <w:t>Data source: Kenya National Bureau of Statistics (KNBS), Kenya Housing Survey 2024</w:t>
      </w:r>
    </w:p>
    <w:p w14:paraId="359A3A71" w14:textId="3109E1E1" w:rsidR="00CF1CB2" w:rsidRPr="008C069D" w:rsidRDefault="00000000" w:rsidP="001F3BC3">
      <w:pPr>
        <w:spacing w:before="100" w:line="360" w:lineRule="auto"/>
        <w:jc w:val="center"/>
        <w:rPr>
          <w:rFonts w:ascii="Times New Roman" w:hAnsi="Times New Roman" w:cs="Times New Roman"/>
        </w:rPr>
      </w:pPr>
      <w:r w:rsidRPr="008C069D">
        <w:rPr>
          <w:rFonts w:ascii="Times New Roman" w:hAnsi="Times New Roman" w:cs="Times New Roman"/>
          <w:i/>
          <w:iCs/>
          <w:sz w:val="20"/>
          <w:szCs w:val="20"/>
        </w:rPr>
        <w:t xml:space="preserve">Covers 47 counties across 9 of the survey's report chapters. Chapter 7 (Housing Finance) is estimated </w:t>
      </w:r>
      <w:r w:rsidR="008C069D" w:rsidRPr="008C069D">
        <w:rPr>
          <w:rFonts w:ascii="Times New Roman" w:hAnsi="Times New Roman" w:cs="Times New Roman"/>
          <w:i/>
          <w:iCs/>
          <w:sz w:val="20"/>
          <w:szCs w:val="20"/>
        </w:rPr>
        <w:t>-</w:t>
      </w:r>
      <w:r w:rsidRPr="008C069D">
        <w:rPr>
          <w:rFonts w:ascii="Times New Roman" w:hAnsi="Times New Roman" w:cs="Times New Roman"/>
          <w:i/>
          <w:iCs/>
          <w:sz w:val="20"/>
          <w:szCs w:val="20"/>
        </w:rPr>
        <w:t xml:space="preserve"> see Section 10.</w:t>
      </w:r>
    </w:p>
    <w:p w14:paraId="5D2A032B" w14:textId="77777777" w:rsidR="00CF1CB2" w:rsidRPr="008C069D" w:rsidRDefault="00CF1CB2" w:rsidP="001F3BC3">
      <w:pPr>
        <w:spacing w:line="360" w:lineRule="auto"/>
        <w:rPr>
          <w:rFonts w:ascii="Times New Roman" w:hAnsi="Times New Roman" w:cs="Times New Roman"/>
        </w:rPr>
      </w:pPr>
    </w:p>
    <w:p w14:paraId="3924F01F" w14:textId="77777777" w:rsidR="001F3BC3" w:rsidRPr="008C069D" w:rsidRDefault="001F3BC3" w:rsidP="001F3BC3">
      <w:pPr>
        <w:spacing w:line="360" w:lineRule="auto"/>
        <w:rPr>
          <w:rFonts w:ascii="Times New Roman" w:hAnsi="Times New Roman" w:cs="Times New Roman"/>
        </w:rPr>
      </w:pPr>
    </w:p>
    <w:p w14:paraId="3B0C1A6A" w14:textId="77777777" w:rsidR="001F3BC3" w:rsidRPr="008C069D" w:rsidRDefault="001F3BC3" w:rsidP="001F3BC3">
      <w:pPr>
        <w:spacing w:line="360" w:lineRule="auto"/>
        <w:rPr>
          <w:rFonts w:ascii="Times New Roman" w:hAnsi="Times New Roman" w:cs="Times New Roman"/>
        </w:rPr>
      </w:pPr>
    </w:p>
    <w:p w14:paraId="67677D8F" w14:textId="77777777" w:rsidR="001F3BC3" w:rsidRPr="008C069D" w:rsidRDefault="001F3BC3" w:rsidP="001F3BC3">
      <w:pPr>
        <w:spacing w:line="360" w:lineRule="auto"/>
        <w:rPr>
          <w:rFonts w:ascii="Times New Roman" w:hAnsi="Times New Roman" w:cs="Times New Roman"/>
        </w:rPr>
      </w:pPr>
    </w:p>
    <w:p w14:paraId="3EFEC6E8" w14:textId="77777777" w:rsidR="001F3BC3" w:rsidRPr="008C069D" w:rsidRDefault="001F3BC3" w:rsidP="001F3BC3">
      <w:pPr>
        <w:spacing w:line="360" w:lineRule="auto"/>
        <w:rPr>
          <w:rFonts w:ascii="Times New Roman" w:hAnsi="Times New Roman" w:cs="Times New Roman"/>
        </w:rPr>
      </w:pPr>
    </w:p>
    <w:p w14:paraId="569884F2" w14:textId="77777777" w:rsidR="001F3BC3" w:rsidRPr="008C069D" w:rsidRDefault="001F3BC3" w:rsidP="001F3BC3">
      <w:pPr>
        <w:spacing w:line="360" w:lineRule="auto"/>
        <w:rPr>
          <w:rFonts w:ascii="Times New Roman" w:hAnsi="Times New Roman" w:cs="Times New Roman"/>
        </w:rPr>
      </w:pPr>
    </w:p>
    <w:p w14:paraId="5985CAA8" w14:textId="77777777" w:rsidR="001F3BC3" w:rsidRPr="008C069D" w:rsidRDefault="001F3BC3" w:rsidP="001F3BC3">
      <w:pPr>
        <w:spacing w:line="360" w:lineRule="auto"/>
        <w:rPr>
          <w:rFonts w:ascii="Times New Roman" w:hAnsi="Times New Roman" w:cs="Times New Roman"/>
        </w:rPr>
      </w:pPr>
    </w:p>
    <w:p w14:paraId="6260AC92" w14:textId="77777777" w:rsidR="001F3BC3" w:rsidRPr="008C069D" w:rsidRDefault="001F3BC3" w:rsidP="001F3BC3">
      <w:pPr>
        <w:spacing w:line="360" w:lineRule="auto"/>
        <w:rPr>
          <w:rFonts w:ascii="Times New Roman" w:hAnsi="Times New Roman" w:cs="Times New Roman"/>
        </w:rPr>
      </w:pPr>
    </w:p>
    <w:p w14:paraId="126A4376" w14:textId="77777777" w:rsidR="001F3BC3" w:rsidRPr="008C069D" w:rsidRDefault="001F3BC3" w:rsidP="001F3BC3">
      <w:pPr>
        <w:spacing w:line="360" w:lineRule="auto"/>
        <w:rPr>
          <w:rFonts w:ascii="Times New Roman" w:hAnsi="Times New Roman" w:cs="Times New Roman"/>
        </w:rPr>
      </w:pPr>
    </w:p>
    <w:p w14:paraId="5E4D2E5D" w14:textId="77777777" w:rsidR="001F3BC3" w:rsidRPr="008C069D" w:rsidRDefault="001F3BC3" w:rsidP="001F3BC3">
      <w:pPr>
        <w:spacing w:line="360" w:lineRule="auto"/>
        <w:rPr>
          <w:rFonts w:ascii="Times New Roman" w:hAnsi="Times New Roman" w:cs="Times New Roman"/>
        </w:rPr>
      </w:pPr>
    </w:p>
    <w:p w14:paraId="45EBA74C" w14:textId="77777777" w:rsidR="001F3BC3" w:rsidRPr="008C069D" w:rsidRDefault="001F3BC3" w:rsidP="001F3BC3">
      <w:pPr>
        <w:spacing w:line="360" w:lineRule="auto"/>
        <w:rPr>
          <w:rFonts w:ascii="Times New Roman" w:hAnsi="Times New Roman" w:cs="Times New Roman"/>
        </w:rPr>
      </w:pPr>
    </w:p>
    <w:p w14:paraId="03E6E57D" w14:textId="77777777" w:rsidR="001F3BC3" w:rsidRPr="008C069D" w:rsidRDefault="001F3BC3" w:rsidP="001F3BC3">
      <w:pPr>
        <w:spacing w:line="360" w:lineRule="auto"/>
        <w:rPr>
          <w:rFonts w:ascii="Times New Roman" w:hAnsi="Times New Roman" w:cs="Times New Roman"/>
        </w:rPr>
      </w:pPr>
    </w:p>
    <w:sdt>
      <w:sdtPr>
        <w:rPr>
          <w:rFonts w:ascii="Times New Roman" w:hAnsi="Times New Roman" w:cs="Times New Roman"/>
          <w:color w:val="auto"/>
        </w:rPr>
        <w:id w:val="934872173"/>
        <w:docPartObj>
          <w:docPartGallery w:val="Table of Contents"/>
          <w:docPartUnique/>
        </w:docPartObj>
      </w:sdtPr>
      <w:sdtEndPr>
        <w:rPr>
          <w:rFonts w:eastAsia="Calibri"/>
          <w:b/>
          <w:bCs/>
          <w:noProof/>
          <w:sz w:val="22"/>
          <w:szCs w:val="22"/>
          <w:lang w:val="en-KE" w:eastAsia="en-KE"/>
        </w:rPr>
      </w:sdtEndPr>
      <w:sdtContent>
        <w:p w14:paraId="5A17B5F0" w14:textId="2A529D8F" w:rsidR="001F3BC3" w:rsidRPr="008C069D" w:rsidRDefault="001F3BC3">
          <w:pPr>
            <w:pStyle w:val="TOCHeading"/>
            <w:rPr>
              <w:rFonts w:ascii="Times New Roman" w:hAnsi="Times New Roman" w:cs="Times New Roman"/>
              <w:color w:val="auto"/>
            </w:rPr>
          </w:pPr>
          <w:r w:rsidRPr="008C069D">
            <w:rPr>
              <w:rFonts w:ascii="Times New Roman" w:hAnsi="Times New Roman" w:cs="Times New Roman"/>
              <w:color w:val="auto"/>
            </w:rPr>
            <w:t>Table Of Contents</w:t>
          </w:r>
        </w:p>
        <w:p w14:paraId="251F832E" w14:textId="44B47F30" w:rsidR="001F3BC3" w:rsidRPr="008C069D" w:rsidRDefault="001F3BC3">
          <w:pPr>
            <w:pStyle w:val="TOC1"/>
            <w:tabs>
              <w:tab w:val="right" w:leader="dot" w:pos="9350"/>
            </w:tabs>
            <w:rPr>
              <w:rFonts w:ascii="Times New Roman" w:hAnsi="Times New Roman" w:cs="Times New Roman"/>
              <w:noProof/>
            </w:rPr>
          </w:pPr>
          <w:r w:rsidRPr="008C069D">
            <w:rPr>
              <w:rFonts w:ascii="Times New Roman" w:hAnsi="Times New Roman" w:cs="Times New Roman"/>
            </w:rPr>
            <w:fldChar w:fldCharType="begin"/>
          </w:r>
          <w:r w:rsidRPr="008C069D">
            <w:rPr>
              <w:rFonts w:ascii="Times New Roman" w:hAnsi="Times New Roman" w:cs="Times New Roman"/>
            </w:rPr>
            <w:instrText xml:space="preserve"> TOC \o "1-3" \h \z \u </w:instrText>
          </w:r>
          <w:r w:rsidRPr="008C069D">
            <w:rPr>
              <w:rFonts w:ascii="Times New Roman" w:hAnsi="Times New Roman" w:cs="Times New Roman"/>
            </w:rPr>
            <w:fldChar w:fldCharType="separate"/>
          </w:r>
          <w:hyperlink w:anchor="_Toc240748915" w:history="1">
            <w:r w:rsidRPr="008C069D">
              <w:rPr>
                <w:rStyle w:val="Hyperlink"/>
                <w:rFonts w:ascii="Times New Roman" w:hAnsi="Times New Roman" w:cs="Times New Roman"/>
                <w:noProof/>
                <w:color w:val="auto"/>
              </w:rPr>
              <w:t>1. Executive Summary</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_Toc240748915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3</w:t>
            </w:r>
            <w:r w:rsidRPr="008C069D">
              <w:rPr>
                <w:rFonts w:ascii="Times New Roman" w:hAnsi="Times New Roman" w:cs="Times New Roman"/>
                <w:noProof/>
                <w:webHidden/>
              </w:rPr>
              <w:fldChar w:fldCharType="end"/>
            </w:r>
          </w:hyperlink>
        </w:p>
        <w:p w14:paraId="44F85015" w14:textId="5F7C2B77" w:rsidR="001F3BC3" w:rsidRPr="008C069D" w:rsidRDefault="001F3BC3">
          <w:pPr>
            <w:pStyle w:val="TOC1"/>
            <w:tabs>
              <w:tab w:val="right" w:leader="dot" w:pos="9350"/>
            </w:tabs>
            <w:rPr>
              <w:rFonts w:ascii="Times New Roman" w:hAnsi="Times New Roman" w:cs="Times New Roman"/>
              <w:noProof/>
            </w:rPr>
          </w:pPr>
          <w:hyperlink w:anchor="_Toc240748916" w:history="1">
            <w:r w:rsidRPr="008C069D">
              <w:rPr>
                <w:rStyle w:val="Hyperlink"/>
                <w:rFonts w:ascii="Times New Roman" w:hAnsi="Times New Roman" w:cs="Times New Roman"/>
                <w:noProof/>
                <w:color w:val="auto"/>
              </w:rPr>
              <w:t>2. Background and Methodology</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_Toc240748916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4</w:t>
            </w:r>
            <w:r w:rsidRPr="008C069D">
              <w:rPr>
                <w:rFonts w:ascii="Times New Roman" w:hAnsi="Times New Roman" w:cs="Times New Roman"/>
                <w:noProof/>
                <w:webHidden/>
              </w:rPr>
              <w:fldChar w:fldCharType="end"/>
            </w:r>
          </w:hyperlink>
        </w:p>
        <w:p w14:paraId="0524FD57" w14:textId="3C5A9AFD" w:rsidR="001F3BC3" w:rsidRPr="008C069D" w:rsidRDefault="001F3BC3">
          <w:pPr>
            <w:pStyle w:val="TOC1"/>
            <w:tabs>
              <w:tab w:val="right" w:leader="dot" w:pos="9350"/>
            </w:tabs>
            <w:rPr>
              <w:rFonts w:ascii="Times New Roman" w:hAnsi="Times New Roman" w:cs="Times New Roman"/>
              <w:noProof/>
            </w:rPr>
          </w:pPr>
          <w:hyperlink w:anchor="_Toc240748917" w:history="1">
            <w:r w:rsidRPr="008C069D">
              <w:rPr>
                <w:rStyle w:val="Hyperlink"/>
                <w:rFonts w:ascii="Times New Roman" w:hAnsi="Times New Roman" w:cs="Times New Roman"/>
                <w:noProof/>
                <w:color w:val="auto"/>
              </w:rPr>
              <w:t>3. Key Finding: The Ownership-Quality Paradox</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_Toc240748917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5</w:t>
            </w:r>
            <w:r w:rsidRPr="008C069D">
              <w:rPr>
                <w:rFonts w:ascii="Times New Roman" w:hAnsi="Times New Roman" w:cs="Times New Roman"/>
                <w:noProof/>
                <w:webHidden/>
              </w:rPr>
              <w:fldChar w:fldCharType="end"/>
            </w:r>
          </w:hyperlink>
        </w:p>
        <w:p w14:paraId="77179F8F" w14:textId="3044F0BD" w:rsidR="001F3BC3" w:rsidRPr="008C069D" w:rsidRDefault="001F3BC3">
          <w:pPr>
            <w:pStyle w:val="TOC1"/>
            <w:tabs>
              <w:tab w:val="right" w:leader="dot" w:pos="9350"/>
            </w:tabs>
            <w:rPr>
              <w:rFonts w:ascii="Times New Roman" w:hAnsi="Times New Roman" w:cs="Times New Roman"/>
              <w:noProof/>
            </w:rPr>
          </w:pPr>
          <w:hyperlink w:anchor="_Toc240748918" w:history="1">
            <w:r w:rsidRPr="008C069D">
              <w:rPr>
                <w:rStyle w:val="Hyperlink"/>
                <w:rFonts w:ascii="Times New Roman" w:hAnsi="Times New Roman" w:cs="Times New Roman"/>
                <w:noProof/>
                <w:color w:val="auto"/>
              </w:rPr>
              <w:t>4. Housing Quality: Best and Worst Served Counties</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_Toc240748918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6</w:t>
            </w:r>
            <w:r w:rsidRPr="008C069D">
              <w:rPr>
                <w:rFonts w:ascii="Times New Roman" w:hAnsi="Times New Roman" w:cs="Times New Roman"/>
                <w:noProof/>
                <w:webHidden/>
              </w:rPr>
              <w:fldChar w:fldCharType="end"/>
            </w:r>
          </w:hyperlink>
        </w:p>
        <w:p w14:paraId="6051308D" w14:textId="6C41A1F8" w:rsidR="001F3BC3" w:rsidRPr="008C069D" w:rsidRDefault="001F3BC3">
          <w:pPr>
            <w:pStyle w:val="TOC1"/>
            <w:tabs>
              <w:tab w:val="right" w:leader="dot" w:pos="9350"/>
            </w:tabs>
            <w:rPr>
              <w:rFonts w:ascii="Times New Roman" w:hAnsi="Times New Roman" w:cs="Times New Roman"/>
              <w:noProof/>
            </w:rPr>
          </w:pPr>
          <w:hyperlink w:anchor="_Toc240748919" w:history="1">
            <w:r w:rsidRPr="008C069D">
              <w:rPr>
                <w:rStyle w:val="Hyperlink"/>
                <w:rFonts w:ascii="Times New Roman" w:hAnsi="Times New Roman" w:cs="Times New Roman"/>
                <w:noProof/>
                <w:color w:val="auto"/>
              </w:rPr>
              <w:t>5. Rent Burden: Where Affordability Pressure Is Highest</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_Toc240748919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7</w:t>
            </w:r>
            <w:r w:rsidRPr="008C069D">
              <w:rPr>
                <w:rFonts w:ascii="Times New Roman" w:hAnsi="Times New Roman" w:cs="Times New Roman"/>
                <w:noProof/>
                <w:webHidden/>
              </w:rPr>
              <w:fldChar w:fldCharType="end"/>
            </w:r>
          </w:hyperlink>
        </w:p>
        <w:p w14:paraId="25C077F4" w14:textId="7F14B5D2" w:rsidR="001F3BC3" w:rsidRPr="008C069D" w:rsidRDefault="001F3BC3">
          <w:pPr>
            <w:pStyle w:val="TOC1"/>
            <w:tabs>
              <w:tab w:val="right" w:leader="dot" w:pos="9350"/>
            </w:tabs>
            <w:rPr>
              <w:rFonts w:ascii="Times New Roman" w:hAnsi="Times New Roman" w:cs="Times New Roman"/>
              <w:noProof/>
            </w:rPr>
          </w:pPr>
          <w:hyperlink w:anchor="_Toc240748920" w:history="1">
            <w:r w:rsidRPr="008C069D">
              <w:rPr>
                <w:rStyle w:val="Hyperlink"/>
                <w:rFonts w:ascii="Times New Roman" w:hAnsi="Times New Roman" w:cs="Times New Roman"/>
                <w:noProof/>
                <w:color w:val="auto"/>
              </w:rPr>
              <w:t>6. Water and Sanitation Access Gaps</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_Toc240748920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8</w:t>
            </w:r>
            <w:r w:rsidRPr="008C069D">
              <w:rPr>
                <w:rFonts w:ascii="Times New Roman" w:hAnsi="Times New Roman" w:cs="Times New Roman"/>
                <w:noProof/>
                <w:webHidden/>
              </w:rPr>
              <w:fldChar w:fldCharType="end"/>
            </w:r>
          </w:hyperlink>
        </w:p>
        <w:p w14:paraId="63C6803D" w14:textId="2FFD4851" w:rsidR="001F3BC3" w:rsidRPr="008C069D" w:rsidRDefault="001F3BC3">
          <w:pPr>
            <w:pStyle w:val="TOC1"/>
            <w:tabs>
              <w:tab w:val="right" w:leader="dot" w:pos="9350"/>
            </w:tabs>
            <w:rPr>
              <w:rFonts w:ascii="Times New Roman" w:hAnsi="Times New Roman" w:cs="Times New Roman"/>
              <w:noProof/>
            </w:rPr>
          </w:pPr>
          <w:hyperlink w:anchor="_Toc240748921" w:history="1">
            <w:r w:rsidRPr="008C069D">
              <w:rPr>
                <w:rStyle w:val="Hyperlink"/>
                <w:rFonts w:ascii="Times New Roman" w:hAnsi="Times New Roman" w:cs="Times New Roman"/>
                <w:noProof/>
                <w:color w:val="auto"/>
              </w:rPr>
              <w:t>7. Awareness of the Affordable Housing Programme</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_Toc240748921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9</w:t>
            </w:r>
            <w:r w:rsidRPr="008C069D">
              <w:rPr>
                <w:rFonts w:ascii="Times New Roman" w:hAnsi="Times New Roman" w:cs="Times New Roman"/>
                <w:noProof/>
                <w:webHidden/>
              </w:rPr>
              <w:fldChar w:fldCharType="end"/>
            </w:r>
          </w:hyperlink>
        </w:p>
        <w:p w14:paraId="513291A1" w14:textId="0C0F1B44" w:rsidR="001F3BC3" w:rsidRPr="008C069D" w:rsidRDefault="001F3BC3">
          <w:pPr>
            <w:pStyle w:val="TOC1"/>
            <w:tabs>
              <w:tab w:val="right" w:leader="dot" w:pos="9350"/>
            </w:tabs>
            <w:rPr>
              <w:rFonts w:ascii="Times New Roman" w:hAnsi="Times New Roman" w:cs="Times New Roman"/>
              <w:noProof/>
            </w:rPr>
          </w:pPr>
          <w:hyperlink w:anchor="_Toc240748922" w:history="1">
            <w:r w:rsidRPr="008C069D">
              <w:rPr>
                <w:rStyle w:val="Hyperlink"/>
                <w:rFonts w:ascii="Times New Roman" w:hAnsi="Times New Roman" w:cs="Times New Roman"/>
                <w:noProof/>
                <w:color w:val="auto"/>
              </w:rPr>
              <w:t>8. Institutional and Regulatory Performance</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_Toc240748922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9</w:t>
            </w:r>
            <w:r w:rsidRPr="008C069D">
              <w:rPr>
                <w:rFonts w:ascii="Times New Roman" w:hAnsi="Times New Roman" w:cs="Times New Roman"/>
                <w:noProof/>
                <w:webHidden/>
              </w:rPr>
              <w:fldChar w:fldCharType="end"/>
            </w:r>
          </w:hyperlink>
        </w:p>
        <w:p w14:paraId="1C09B5CA" w14:textId="1F23F990" w:rsidR="001F3BC3" w:rsidRPr="008C069D" w:rsidRDefault="001F3BC3">
          <w:pPr>
            <w:pStyle w:val="TOC1"/>
            <w:tabs>
              <w:tab w:val="right" w:leader="dot" w:pos="9350"/>
            </w:tabs>
            <w:rPr>
              <w:rFonts w:ascii="Times New Roman" w:hAnsi="Times New Roman" w:cs="Times New Roman"/>
              <w:noProof/>
            </w:rPr>
          </w:pPr>
          <w:hyperlink w:anchor="_Toc240748923" w:history="1">
            <w:r w:rsidRPr="008C069D">
              <w:rPr>
                <w:rStyle w:val="Hyperlink"/>
                <w:rFonts w:ascii="Times New Roman" w:hAnsi="Times New Roman" w:cs="Times New Roman"/>
                <w:noProof/>
                <w:color w:val="auto"/>
              </w:rPr>
              <w:t>9. Composite Ranking: Housing Affordability &amp; Quality Index</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_Toc240748923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10</w:t>
            </w:r>
            <w:r w:rsidRPr="008C069D">
              <w:rPr>
                <w:rFonts w:ascii="Times New Roman" w:hAnsi="Times New Roman" w:cs="Times New Roman"/>
                <w:noProof/>
                <w:webHidden/>
              </w:rPr>
              <w:fldChar w:fldCharType="end"/>
            </w:r>
          </w:hyperlink>
        </w:p>
        <w:p w14:paraId="3B8FDA3A" w14:textId="21268B38" w:rsidR="001F3BC3" w:rsidRPr="008C069D" w:rsidRDefault="001F3BC3">
          <w:pPr>
            <w:pStyle w:val="TOC1"/>
            <w:tabs>
              <w:tab w:val="right" w:leader="dot" w:pos="9350"/>
            </w:tabs>
            <w:rPr>
              <w:rFonts w:ascii="Times New Roman" w:hAnsi="Times New Roman" w:cs="Times New Roman"/>
              <w:noProof/>
            </w:rPr>
          </w:pPr>
          <w:hyperlink w:anchor="_Toc240748924" w:history="1">
            <w:r w:rsidRPr="008C069D">
              <w:rPr>
                <w:rStyle w:val="Hyperlink"/>
                <w:rFonts w:ascii="Times New Roman" w:hAnsi="Times New Roman" w:cs="Times New Roman"/>
                <w:noProof/>
                <w:color w:val="auto"/>
              </w:rPr>
              <w:t xml:space="preserve">10. Housing Finance Access </w:t>
            </w:r>
            <w:r w:rsidR="008C069D">
              <w:rPr>
                <w:rStyle w:val="Hyperlink"/>
                <w:rFonts w:ascii="Times New Roman" w:hAnsi="Times New Roman" w:cs="Times New Roman"/>
                <w:noProof/>
                <w:color w:val="auto"/>
              </w:rPr>
              <w:t>-</w:t>
            </w:r>
            <w:r w:rsidRPr="008C069D">
              <w:rPr>
                <w:rStyle w:val="Hyperlink"/>
                <w:rFonts w:ascii="Times New Roman" w:hAnsi="Times New Roman" w:cs="Times New Roman"/>
                <w:noProof/>
                <w:color w:val="auto"/>
              </w:rPr>
              <w:t xml:space="preserve"> Estimated, Not Official Data</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_Toc240748924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11</w:t>
            </w:r>
            <w:r w:rsidRPr="008C069D">
              <w:rPr>
                <w:rFonts w:ascii="Times New Roman" w:hAnsi="Times New Roman" w:cs="Times New Roman"/>
                <w:noProof/>
                <w:webHidden/>
              </w:rPr>
              <w:fldChar w:fldCharType="end"/>
            </w:r>
          </w:hyperlink>
        </w:p>
        <w:p w14:paraId="18B3C6BA" w14:textId="577303AC" w:rsidR="001F3BC3" w:rsidRPr="008C069D" w:rsidRDefault="001F3BC3">
          <w:pPr>
            <w:pStyle w:val="TOC1"/>
            <w:tabs>
              <w:tab w:val="right" w:leader="dot" w:pos="9350"/>
            </w:tabs>
            <w:rPr>
              <w:rFonts w:ascii="Times New Roman" w:hAnsi="Times New Roman" w:cs="Times New Roman"/>
              <w:noProof/>
            </w:rPr>
          </w:pPr>
          <w:hyperlink w:anchor="_Toc240748925" w:history="1">
            <w:r w:rsidRPr="008C069D">
              <w:rPr>
                <w:rStyle w:val="Hyperlink"/>
                <w:rFonts w:ascii="Times New Roman" w:hAnsi="Times New Roman" w:cs="Times New Roman"/>
                <w:noProof/>
                <w:color w:val="auto"/>
              </w:rPr>
              <w:t>11. Summary of Recommendations</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_Toc240748925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12</w:t>
            </w:r>
            <w:r w:rsidRPr="008C069D">
              <w:rPr>
                <w:rFonts w:ascii="Times New Roman" w:hAnsi="Times New Roman" w:cs="Times New Roman"/>
                <w:noProof/>
                <w:webHidden/>
              </w:rPr>
              <w:fldChar w:fldCharType="end"/>
            </w:r>
          </w:hyperlink>
        </w:p>
        <w:p w14:paraId="43DB9760" w14:textId="07792DE2" w:rsidR="001F3BC3" w:rsidRPr="008C069D" w:rsidRDefault="001F3BC3">
          <w:pPr>
            <w:pStyle w:val="TOC2"/>
            <w:tabs>
              <w:tab w:val="right" w:leader="dot" w:pos="9350"/>
            </w:tabs>
            <w:rPr>
              <w:rFonts w:ascii="Times New Roman" w:hAnsi="Times New Roman" w:cs="Times New Roman"/>
              <w:noProof/>
            </w:rPr>
          </w:pPr>
          <w:hyperlink w:anchor="_Toc240748926" w:history="1">
            <w:r w:rsidRPr="008C069D">
              <w:rPr>
                <w:rStyle w:val="Hyperlink"/>
                <w:rFonts w:ascii="Times New Roman" w:hAnsi="Times New Roman" w:cs="Times New Roman"/>
                <w:noProof/>
                <w:color w:val="auto"/>
              </w:rPr>
              <w:t>Immediate, low-cost actions</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_Toc240748926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12</w:t>
            </w:r>
            <w:r w:rsidRPr="008C069D">
              <w:rPr>
                <w:rFonts w:ascii="Times New Roman" w:hAnsi="Times New Roman" w:cs="Times New Roman"/>
                <w:noProof/>
                <w:webHidden/>
              </w:rPr>
              <w:fldChar w:fldCharType="end"/>
            </w:r>
          </w:hyperlink>
        </w:p>
        <w:p w14:paraId="5A4B147E" w14:textId="4BEB41B2" w:rsidR="001F3BC3" w:rsidRPr="008C069D" w:rsidRDefault="001F3BC3">
          <w:pPr>
            <w:pStyle w:val="TOC2"/>
            <w:tabs>
              <w:tab w:val="right" w:leader="dot" w:pos="9350"/>
            </w:tabs>
            <w:rPr>
              <w:rFonts w:ascii="Times New Roman" w:hAnsi="Times New Roman" w:cs="Times New Roman"/>
              <w:noProof/>
            </w:rPr>
          </w:pPr>
          <w:hyperlink w:anchor="_Toc240748927" w:history="1">
            <w:r w:rsidRPr="008C069D">
              <w:rPr>
                <w:rStyle w:val="Hyperlink"/>
                <w:rFonts w:ascii="Times New Roman" w:hAnsi="Times New Roman" w:cs="Times New Roman"/>
                <w:noProof/>
                <w:color w:val="auto"/>
              </w:rPr>
              <w:t>Medium-term investment priorities</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_Toc240748927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12</w:t>
            </w:r>
            <w:r w:rsidRPr="008C069D">
              <w:rPr>
                <w:rFonts w:ascii="Times New Roman" w:hAnsi="Times New Roman" w:cs="Times New Roman"/>
                <w:noProof/>
                <w:webHidden/>
              </w:rPr>
              <w:fldChar w:fldCharType="end"/>
            </w:r>
          </w:hyperlink>
        </w:p>
        <w:p w14:paraId="0D5DFEB7" w14:textId="213DD016" w:rsidR="001F3BC3" w:rsidRPr="008C069D" w:rsidRDefault="001F3BC3">
          <w:pPr>
            <w:pStyle w:val="TOC2"/>
            <w:tabs>
              <w:tab w:val="right" w:leader="dot" w:pos="9350"/>
            </w:tabs>
            <w:rPr>
              <w:rFonts w:ascii="Times New Roman" w:hAnsi="Times New Roman" w:cs="Times New Roman"/>
              <w:noProof/>
            </w:rPr>
          </w:pPr>
          <w:hyperlink w:anchor="_Toc240748928" w:history="1">
            <w:r w:rsidRPr="008C069D">
              <w:rPr>
                <w:rStyle w:val="Hyperlink"/>
                <w:rFonts w:ascii="Times New Roman" w:hAnsi="Times New Roman" w:cs="Times New Roman"/>
                <w:noProof/>
                <w:color w:val="auto"/>
              </w:rPr>
              <w:t>Data priorities</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_Toc240748928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12</w:t>
            </w:r>
            <w:r w:rsidRPr="008C069D">
              <w:rPr>
                <w:rFonts w:ascii="Times New Roman" w:hAnsi="Times New Roman" w:cs="Times New Roman"/>
                <w:noProof/>
                <w:webHidden/>
              </w:rPr>
              <w:fldChar w:fldCharType="end"/>
            </w:r>
          </w:hyperlink>
        </w:p>
        <w:p w14:paraId="6A017D42" w14:textId="40924A35" w:rsidR="001F3BC3" w:rsidRPr="008C069D" w:rsidRDefault="001F3BC3">
          <w:pPr>
            <w:pStyle w:val="TOC1"/>
            <w:tabs>
              <w:tab w:val="right" w:leader="dot" w:pos="9350"/>
            </w:tabs>
            <w:rPr>
              <w:rFonts w:ascii="Times New Roman" w:hAnsi="Times New Roman" w:cs="Times New Roman"/>
              <w:noProof/>
            </w:rPr>
          </w:pPr>
          <w:hyperlink w:anchor="_Toc240748929" w:history="1">
            <w:r w:rsidRPr="008C069D">
              <w:rPr>
                <w:rStyle w:val="Hyperlink"/>
                <w:rFonts w:ascii="Times New Roman" w:hAnsi="Times New Roman" w:cs="Times New Roman"/>
                <w:noProof/>
                <w:color w:val="auto"/>
              </w:rPr>
              <w:t>12. Data Sources and Limitations</w:t>
            </w:r>
            <w:r w:rsidRPr="008C069D">
              <w:rPr>
                <w:rFonts w:ascii="Times New Roman" w:hAnsi="Times New Roman" w:cs="Times New Roman"/>
                <w:noProof/>
                <w:webHidden/>
              </w:rPr>
              <w:tab/>
            </w:r>
            <w:r w:rsidRPr="008C069D">
              <w:rPr>
                <w:rFonts w:ascii="Times New Roman" w:hAnsi="Times New Roman" w:cs="Times New Roman"/>
                <w:noProof/>
                <w:webHidden/>
              </w:rPr>
              <w:fldChar w:fldCharType="begin"/>
            </w:r>
            <w:r w:rsidRPr="008C069D">
              <w:rPr>
                <w:rFonts w:ascii="Times New Roman" w:hAnsi="Times New Roman" w:cs="Times New Roman"/>
                <w:noProof/>
                <w:webHidden/>
              </w:rPr>
              <w:instrText xml:space="preserve"> PAGEREF _Toc240748929 \h </w:instrText>
            </w:r>
            <w:r w:rsidRPr="008C069D">
              <w:rPr>
                <w:rFonts w:ascii="Times New Roman" w:hAnsi="Times New Roman" w:cs="Times New Roman"/>
                <w:noProof/>
                <w:webHidden/>
              </w:rPr>
            </w:r>
            <w:r w:rsidRPr="008C069D">
              <w:rPr>
                <w:rFonts w:ascii="Times New Roman" w:hAnsi="Times New Roman" w:cs="Times New Roman"/>
                <w:noProof/>
                <w:webHidden/>
              </w:rPr>
              <w:fldChar w:fldCharType="separate"/>
            </w:r>
            <w:r w:rsidRPr="008C069D">
              <w:rPr>
                <w:rFonts w:ascii="Times New Roman" w:hAnsi="Times New Roman" w:cs="Times New Roman"/>
                <w:noProof/>
                <w:webHidden/>
              </w:rPr>
              <w:t>13</w:t>
            </w:r>
            <w:r w:rsidRPr="008C069D">
              <w:rPr>
                <w:rFonts w:ascii="Times New Roman" w:hAnsi="Times New Roman" w:cs="Times New Roman"/>
                <w:noProof/>
                <w:webHidden/>
              </w:rPr>
              <w:fldChar w:fldCharType="end"/>
            </w:r>
          </w:hyperlink>
        </w:p>
        <w:p w14:paraId="5AABB0BF" w14:textId="5496BAB3" w:rsidR="001F3BC3" w:rsidRPr="008C069D" w:rsidRDefault="001F3BC3">
          <w:pPr>
            <w:rPr>
              <w:rFonts w:ascii="Times New Roman" w:hAnsi="Times New Roman" w:cs="Times New Roman"/>
            </w:rPr>
          </w:pPr>
          <w:r w:rsidRPr="008C069D">
            <w:rPr>
              <w:rFonts w:ascii="Times New Roman" w:hAnsi="Times New Roman" w:cs="Times New Roman"/>
              <w:b/>
              <w:bCs/>
              <w:noProof/>
            </w:rPr>
            <w:fldChar w:fldCharType="end"/>
          </w:r>
        </w:p>
      </w:sdtContent>
    </w:sdt>
    <w:p w14:paraId="78C0E082" w14:textId="77777777" w:rsidR="001F3BC3" w:rsidRPr="008C069D" w:rsidRDefault="001F3BC3" w:rsidP="001F3BC3">
      <w:pPr>
        <w:spacing w:line="360" w:lineRule="auto"/>
        <w:rPr>
          <w:rFonts w:ascii="Times New Roman" w:hAnsi="Times New Roman" w:cs="Times New Roman"/>
        </w:rPr>
        <w:sectPr w:rsidR="001F3BC3" w:rsidRPr="008C069D">
          <w:pgSz w:w="12240" w:h="15840"/>
          <w:pgMar w:top="1440" w:right="1440" w:bottom="1440" w:left="1440" w:header="708" w:footer="708" w:gutter="0"/>
          <w:cols w:space="720"/>
          <w:docGrid w:linePitch="360"/>
        </w:sectPr>
      </w:pPr>
    </w:p>
    <w:p w14:paraId="435501F8" w14:textId="77777777" w:rsidR="00CF1CB2" w:rsidRPr="008C069D" w:rsidRDefault="00000000" w:rsidP="001F3BC3">
      <w:pPr>
        <w:pStyle w:val="Heading1"/>
        <w:spacing w:before="400" w:after="200" w:line="360" w:lineRule="auto"/>
        <w:rPr>
          <w:rFonts w:ascii="Times New Roman" w:hAnsi="Times New Roman" w:cs="Times New Roman"/>
          <w:color w:val="auto"/>
        </w:rPr>
      </w:pPr>
      <w:bookmarkStart w:id="0" w:name="_Toc240748915"/>
      <w:r w:rsidRPr="008C069D">
        <w:rPr>
          <w:rFonts w:ascii="Times New Roman" w:hAnsi="Times New Roman" w:cs="Times New Roman"/>
          <w:color w:val="auto"/>
        </w:rPr>
        <w:lastRenderedPageBreak/>
        <w:t>1. Executive Summary</w:t>
      </w:r>
      <w:bookmarkEnd w:id="0"/>
    </w:p>
    <w:p w14:paraId="2F3958B1" w14:textId="0FFC4F3C" w:rsidR="00CF1CB2" w:rsidRPr="008C069D" w:rsidRDefault="00000000" w:rsidP="001F3BC3">
      <w:pPr>
        <w:spacing w:after="200" w:line="360" w:lineRule="auto"/>
        <w:rPr>
          <w:rFonts w:ascii="Times New Roman" w:hAnsi="Times New Roman" w:cs="Times New Roman"/>
        </w:rPr>
      </w:pPr>
      <w:proofErr w:type="gramStart"/>
      <w:r w:rsidRPr="008C069D">
        <w:rPr>
          <w:rFonts w:ascii="Times New Roman" w:hAnsi="Times New Roman" w:cs="Times New Roman"/>
        </w:rPr>
        <w:t xml:space="preserve">This brief </w:t>
      </w:r>
      <w:r w:rsidR="008C069D" w:rsidRPr="008C069D">
        <w:rPr>
          <w:rFonts w:ascii="Times New Roman" w:hAnsi="Times New Roman" w:cs="Times New Roman"/>
        </w:rPr>
        <w:t>analyses</w:t>
      </w:r>
      <w:proofErr w:type="gramEnd"/>
      <w:r w:rsidRPr="008C069D">
        <w:rPr>
          <w:rFonts w:ascii="Times New Roman" w:hAnsi="Times New Roman" w:cs="Times New Roman"/>
        </w:rPr>
        <w:t xml:space="preserve"> the 2024 Kenya Housing Survey (KNBS) at county level, covering home ownership and tenancy, housing quality and infrastructure access, awareness of housing programmes, and institutional/regulatory performance. The central finding has direct implications for how the Affordable Housing Programme should be targeted geographically.</w:t>
      </w:r>
    </w:p>
    <w:p w14:paraId="460C50B9" w14:textId="7777777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Counties with the highest homeownership rates tend to have the lowest housing quality scores (r = -0.84), while counties with a higher share of urban households tend to have the highest housing quality scores (r = 0.80). In practical terms: rural counties own more homes, but those homes and the services around them are less adequate; urban counties have better-serviced housing but far lower ownership, driven by high rental dependence.</w:t>
      </w:r>
    </w:p>
    <w:p w14:paraId="61819B8D" w14:textId="7777777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Key recommendations arising from this analysis:</w:t>
      </w:r>
    </w:p>
    <w:p w14:paraId="443961F7" w14:textId="7777777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Target infrastructure investment (water, sanitation) at high-ownership, low-quality rural counties rather than ownership incentives, which are already high there.</w:t>
      </w:r>
    </w:p>
    <w:p w14:paraId="6870103A" w14:textId="7777777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Target affordability interventions (rent support, urban housing supply) at high-quality, low-ownership urban counties, where the constraint is cost, not infrastructure.</w:t>
      </w:r>
    </w:p>
    <w:p w14:paraId="2E2B768F" w14:textId="7777777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Prioritize Affordable Housing Programme awareness campaigns in the counties with the lowest measured awareness (as low as 4.8%), concentrated in northern and coastal counties.</w:t>
      </w:r>
    </w:p>
    <w:p w14:paraId="54701E98" w14:textId="7777777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Investigate building-approval delays in counties taking up to 50 days, more than three times the national average of 16 days, as a possible barrier to formal housing development.</w:t>
      </w:r>
    </w:p>
    <w:p w14:paraId="6C529478"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rPr>
        <w:br w:type="page"/>
      </w:r>
    </w:p>
    <w:p w14:paraId="3716A4F9" w14:textId="77777777" w:rsidR="00CF1CB2" w:rsidRPr="008C069D" w:rsidRDefault="00000000" w:rsidP="001F3BC3">
      <w:pPr>
        <w:pStyle w:val="Heading1"/>
        <w:spacing w:before="400" w:after="200" w:line="360" w:lineRule="auto"/>
        <w:rPr>
          <w:rFonts w:ascii="Times New Roman" w:hAnsi="Times New Roman" w:cs="Times New Roman"/>
          <w:color w:val="auto"/>
        </w:rPr>
      </w:pPr>
      <w:bookmarkStart w:id="1" w:name="_Toc240748916"/>
      <w:r w:rsidRPr="008C069D">
        <w:rPr>
          <w:rFonts w:ascii="Times New Roman" w:hAnsi="Times New Roman" w:cs="Times New Roman"/>
          <w:color w:val="auto"/>
        </w:rPr>
        <w:lastRenderedPageBreak/>
        <w:t>2. Background and Methodology</w:t>
      </w:r>
      <w:bookmarkEnd w:id="1"/>
    </w:p>
    <w:p w14:paraId="7AC3B527" w14:textId="45277332"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 xml:space="preserve">The Kenya Housing Survey 2024 is published by KNBS as a set of report-formatted workbooks (118 tables across 9 chapters made available for this analysis), designed for human reading rather than direct analysis. This brief is based on a data pipeline that converted all 118 tables into clean, tidy data </w:t>
      </w:r>
      <w:r w:rsidR="008C069D">
        <w:rPr>
          <w:rFonts w:ascii="Times New Roman" w:hAnsi="Times New Roman" w:cs="Times New Roman"/>
        </w:rPr>
        <w:t>-</w:t>
      </w:r>
      <w:r w:rsidRPr="008C069D">
        <w:rPr>
          <w:rFonts w:ascii="Times New Roman" w:hAnsi="Times New Roman" w:cs="Times New Roman"/>
        </w:rPr>
        <w:t xml:space="preserve"> full technical documentation is available in the accompanying GitHub repository.</w:t>
      </w:r>
    </w:p>
    <w:p w14:paraId="41098B0F" w14:textId="7777777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Two composite measures were constructed for this brief:</w:t>
      </w:r>
    </w:p>
    <w:p w14:paraId="26289BE3" w14:textId="2F3EBC9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 xml:space="preserve">Housing Affordability &amp; Quality Index (HAQI) </w:t>
      </w:r>
      <w:r w:rsidR="008C069D">
        <w:rPr>
          <w:rFonts w:ascii="Times New Roman" w:hAnsi="Times New Roman" w:cs="Times New Roman"/>
        </w:rPr>
        <w:t>-</w:t>
      </w:r>
      <w:r w:rsidRPr="008C069D">
        <w:rPr>
          <w:rFonts w:ascii="Times New Roman" w:hAnsi="Times New Roman" w:cs="Times New Roman"/>
        </w:rPr>
        <w:t xml:space="preserve"> a 0-100 score combining housing quality (35%), water access (20%), sanitation access (20%), and affordability, i.e. inverse rent burden (25%).</w:t>
      </w:r>
    </w:p>
    <w:p w14:paraId="7EF11A58" w14:textId="19FF420E"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 xml:space="preserve">Housing Finance Access </w:t>
      </w:r>
      <w:r w:rsidR="008C069D">
        <w:rPr>
          <w:rFonts w:ascii="Times New Roman" w:hAnsi="Times New Roman" w:cs="Times New Roman"/>
        </w:rPr>
        <w:t>-</w:t>
      </w:r>
      <w:r w:rsidRPr="008C069D">
        <w:rPr>
          <w:rFonts w:ascii="Times New Roman" w:hAnsi="Times New Roman" w:cs="Times New Roman"/>
        </w:rPr>
        <w:t xml:space="preserve"> ESTIMATED (0-100) </w:t>
      </w:r>
      <w:r w:rsidR="008C069D">
        <w:rPr>
          <w:rFonts w:ascii="Times New Roman" w:hAnsi="Times New Roman" w:cs="Times New Roman"/>
        </w:rPr>
        <w:t>-</w:t>
      </w:r>
      <w:r w:rsidRPr="008C069D">
        <w:rPr>
          <w:rFonts w:ascii="Times New Roman" w:hAnsi="Times New Roman" w:cs="Times New Roman"/>
        </w:rPr>
        <w:t xml:space="preserve"> see the dedicated caveat section below before using this figure for anything.</w:t>
      </w:r>
    </w:p>
    <w:p w14:paraId="028C9BBB"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rPr>
        <w:br w:type="page"/>
      </w:r>
    </w:p>
    <w:p w14:paraId="673F0EDA" w14:textId="77777777" w:rsidR="00CF1CB2" w:rsidRPr="008C069D" w:rsidRDefault="00000000" w:rsidP="001F3BC3">
      <w:pPr>
        <w:pStyle w:val="Heading1"/>
        <w:spacing w:before="400" w:after="200" w:line="360" w:lineRule="auto"/>
        <w:rPr>
          <w:rFonts w:ascii="Times New Roman" w:hAnsi="Times New Roman" w:cs="Times New Roman"/>
          <w:color w:val="auto"/>
        </w:rPr>
      </w:pPr>
      <w:bookmarkStart w:id="2" w:name="_Toc240748917"/>
      <w:r w:rsidRPr="008C069D">
        <w:rPr>
          <w:rFonts w:ascii="Times New Roman" w:hAnsi="Times New Roman" w:cs="Times New Roman"/>
          <w:color w:val="auto"/>
        </w:rPr>
        <w:lastRenderedPageBreak/>
        <w:t>3. Key Finding: The Ownership-Quality Paradox</w:t>
      </w:r>
      <w:bookmarkEnd w:id="2"/>
    </w:p>
    <w:p w14:paraId="7929AAB2" w14:textId="7777777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 xml:space="preserve">Plotting homeownership rate against the housing quality index, and </w:t>
      </w:r>
      <w:proofErr w:type="spellStart"/>
      <w:r w:rsidRPr="008C069D">
        <w:rPr>
          <w:rFonts w:ascii="Times New Roman" w:hAnsi="Times New Roman" w:cs="Times New Roman"/>
        </w:rPr>
        <w:t>coloring</w:t>
      </w:r>
      <w:proofErr w:type="spellEnd"/>
      <w:r w:rsidRPr="008C069D">
        <w:rPr>
          <w:rFonts w:ascii="Times New Roman" w:hAnsi="Times New Roman" w:cs="Times New Roman"/>
        </w:rPr>
        <w:t xml:space="preserve"> by urban household share, shows a clear and consistent pattern across all 47 counties: high-ownership counties cluster toward low quality scores, and high-urban-share counties cluster toward high quality scores, independent of ownership rate.</w:t>
      </w:r>
    </w:p>
    <w:p w14:paraId="4E8655EA" w14:textId="77777777" w:rsidR="00CF1CB2" w:rsidRPr="008C069D" w:rsidRDefault="00000000" w:rsidP="001F3BC3">
      <w:pPr>
        <w:spacing w:before="200" w:after="100" w:line="360" w:lineRule="auto"/>
        <w:jc w:val="center"/>
        <w:rPr>
          <w:rFonts w:ascii="Times New Roman" w:hAnsi="Times New Roman" w:cs="Times New Roman"/>
        </w:rPr>
      </w:pPr>
      <w:r w:rsidRPr="008C069D">
        <w:rPr>
          <w:rFonts w:ascii="Times New Roman" w:hAnsi="Times New Roman" w:cs="Times New Roman"/>
          <w:noProof/>
        </w:rPr>
        <w:drawing>
          <wp:inline distT="0" distB="0" distL="0" distR="0" wp14:anchorId="2C26A852" wp14:editId="62141599">
            <wp:extent cx="43815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771900"/>
                    </a:xfrm>
                    <a:prstGeom prst="rect">
                      <a:avLst/>
                    </a:prstGeom>
                  </pic:spPr>
                </pic:pic>
              </a:graphicData>
            </a:graphic>
          </wp:inline>
        </w:drawing>
      </w:r>
    </w:p>
    <w:p w14:paraId="129AD78A" w14:textId="77777777" w:rsidR="00CF1CB2" w:rsidRPr="008C069D" w:rsidRDefault="00000000" w:rsidP="001F3BC3">
      <w:pPr>
        <w:spacing w:after="300" w:line="360" w:lineRule="auto"/>
        <w:jc w:val="center"/>
        <w:rPr>
          <w:rFonts w:ascii="Times New Roman" w:hAnsi="Times New Roman" w:cs="Times New Roman"/>
        </w:rPr>
      </w:pPr>
      <w:r w:rsidRPr="008C069D">
        <w:rPr>
          <w:rFonts w:ascii="Times New Roman" w:hAnsi="Times New Roman" w:cs="Times New Roman"/>
          <w:i/>
          <w:iCs/>
          <w:sz w:val="18"/>
          <w:szCs w:val="18"/>
        </w:rPr>
        <w:t xml:space="preserve">Figure 1. Homeownership rate vs. housing quality index, </w:t>
      </w:r>
      <w:proofErr w:type="spellStart"/>
      <w:r w:rsidRPr="008C069D">
        <w:rPr>
          <w:rFonts w:ascii="Times New Roman" w:hAnsi="Times New Roman" w:cs="Times New Roman"/>
          <w:i/>
          <w:iCs/>
          <w:sz w:val="18"/>
          <w:szCs w:val="18"/>
        </w:rPr>
        <w:t>colored</w:t>
      </w:r>
      <w:proofErr w:type="spellEnd"/>
      <w:r w:rsidRPr="008C069D">
        <w:rPr>
          <w:rFonts w:ascii="Times New Roman" w:hAnsi="Times New Roman" w:cs="Times New Roman"/>
          <w:i/>
          <w:iCs/>
          <w:sz w:val="18"/>
          <w:szCs w:val="18"/>
        </w:rPr>
        <w:t xml:space="preserve"> by urban household share.</w:t>
      </w:r>
    </w:p>
    <w:p w14:paraId="594B8154" w14:textId="66227A75"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 xml:space="preserve">The five counties with the highest homeownership are </w:t>
      </w:r>
      <w:proofErr w:type="spellStart"/>
      <w:r w:rsidRPr="008C069D">
        <w:rPr>
          <w:rFonts w:ascii="Times New Roman" w:hAnsi="Times New Roman" w:cs="Times New Roman"/>
        </w:rPr>
        <w:t>Vihiga</w:t>
      </w:r>
      <w:proofErr w:type="spellEnd"/>
      <w:r w:rsidRPr="008C069D">
        <w:rPr>
          <w:rFonts w:ascii="Times New Roman" w:hAnsi="Times New Roman" w:cs="Times New Roman"/>
        </w:rPr>
        <w:t xml:space="preserve"> (92.5%), West Pokot (90.1%), </w:t>
      </w:r>
      <w:proofErr w:type="spellStart"/>
      <w:r w:rsidRPr="008C069D">
        <w:rPr>
          <w:rFonts w:ascii="Times New Roman" w:hAnsi="Times New Roman" w:cs="Times New Roman"/>
        </w:rPr>
        <w:t>Wajir</w:t>
      </w:r>
      <w:proofErr w:type="spellEnd"/>
      <w:r w:rsidRPr="008C069D">
        <w:rPr>
          <w:rFonts w:ascii="Times New Roman" w:hAnsi="Times New Roman" w:cs="Times New Roman"/>
        </w:rPr>
        <w:t xml:space="preserve"> (89.3%), </w:t>
      </w:r>
      <w:proofErr w:type="spellStart"/>
      <w:r w:rsidRPr="008C069D">
        <w:rPr>
          <w:rFonts w:ascii="Times New Roman" w:hAnsi="Times New Roman" w:cs="Times New Roman"/>
        </w:rPr>
        <w:t>Bomet</w:t>
      </w:r>
      <w:proofErr w:type="spellEnd"/>
      <w:r w:rsidRPr="008C069D">
        <w:rPr>
          <w:rFonts w:ascii="Times New Roman" w:hAnsi="Times New Roman" w:cs="Times New Roman"/>
        </w:rPr>
        <w:t xml:space="preserve"> (87.4%), and Turkana (86.7%) </w:t>
      </w:r>
      <w:r w:rsidR="008C069D">
        <w:rPr>
          <w:rFonts w:ascii="Times New Roman" w:hAnsi="Times New Roman" w:cs="Times New Roman"/>
        </w:rPr>
        <w:t>-</w:t>
      </w:r>
      <w:r w:rsidRPr="008C069D">
        <w:rPr>
          <w:rFonts w:ascii="Times New Roman" w:hAnsi="Times New Roman" w:cs="Times New Roman"/>
        </w:rPr>
        <w:t xml:space="preserve"> all overwhelmingly rural. The five with the lowest are Nairobi (7.7%), Mombasa (23.5%), Kajiado (41.1%), </w:t>
      </w:r>
      <w:proofErr w:type="spellStart"/>
      <w:r w:rsidRPr="008C069D">
        <w:rPr>
          <w:rFonts w:ascii="Times New Roman" w:hAnsi="Times New Roman" w:cs="Times New Roman"/>
        </w:rPr>
        <w:t>Lamu</w:t>
      </w:r>
      <w:proofErr w:type="spellEnd"/>
      <w:r w:rsidRPr="008C069D">
        <w:rPr>
          <w:rFonts w:ascii="Times New Roman" w:hAnsi="Times New Roman" w:cs="Times New Roman"/>
        </w:rPr>
        <w:t xml:space="preserve"> (44.2%), and Kiambu (44.8%) </w:t>
      </w:r>
      <w:r w:rsidR="008C069D">
        <w:rPr>
          <w:rFonts w:ascii="Times New Roman" w:hAnsi="Times New Roman" w:cs="Times New Roman"/>
        </w:rPr>
        <w:t>-</w:t>
      </w:r>
      <w:r w:rsidRPr="008C069D">
        <w:rPr>
          <w:rFonts w:ascii="Times New Roman" w:hAnsi="Times New Roman" w:cs="Times New Roman"/>
        </w:rPr>
        <w:t xml:space="preserve"> Kenya's most urbanized counties.</w:t>
      </w:r>
    </w:p>
    <w:p w14:paraId="40AD5632" w14:textId="25F281B1"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 xml:space="preserve">This is not a coincidence of the data </w:t>
      </w:r>
      <w:r w:rsidR="008C069D">
        <w:rPr>
          <w:rFonts w:ascii="Times New Roman" w:hAnsi="Times New Roman" w:cs="Times New Roman"/>
        </w:rPr>
        <w:t>-</w:t>
      </w:r>
      <w:r w:rsidRPr="008C069D">
        <w:rPr>
          <w:rFonts w:ascii="Times New Roman" w:hAnsi="Times New Roman" w:cs="Times New Roman"/>
        </w:rPr>
        <w:t xml:space="preserve"> it reflects a real structural pattern: rural households build or inherit homes on owned land but often lack access to piped water, improved sanitation, and formal utility connections, while urban households rent at much higher rates but benefit from denser infrastructure investment.</w:t>
      </w:r>
    </w:p>
    <w:p w14:paraId="54D09E78" w14:textId="77777777" w:rsidR="00CF1CB2" w:rsidRPr="008C069D" w:rsidRDefault="00000000" w:rsidP="001F3BC3">
      <w:pPr>
        <w:pStyle w:val="Heading1"/>
        <w:spacing w:before="400" w:after="200" w:line="360" w:lineRule="auto"/>
        <w:rPr>
          <w:rFonts w:ascii="Times New Roman" w:hAnsi="Times New Roman" w:cs="Times New Roman"/>
          <w:color w:val="auto"/>
        </w:rPr>
      </w:pPr>
      <w:bookmarkStart w:id="3" w:name="_Toc240748918"/>
      <w:r w:rsidRPr="008C069D">
        <w:rPr>
          <w:rFonts w:ascii="Times New Roman" w:hAnsi="Times New Roman" w:cs="Times New Roman"/>
          <w:color w:val="auto"/>
        </w:rPr>
        <w:lastRenderedPageBreak/>
        <w:t>4. Housing Quality: Best and Worst Served Counties</w:t>
      </w:r>
      <w:bookmarkEnd w:id="3"/>
    </w:p>
    <w:p w14:paraId="625C476B" w14:textId="77777777" w:rsidR="00CF1CB2" w:rsidRPr="008C069D" w:rsidRDefault="00000000" w:rsidP="001F3BC3">
      <w:pPr>
        <w:spacing w:before="200" w:after="100" w:line="360" w:lineRule="auto"/>
        <w:jc w:val="center"/>
        <w:rPr>
          <w:rFonts w:ascii="Times New Roman" w:hAnsi="Times New Roman" w:cs="Times New Roman"/>
        </w:rPr>
      </w:pPr>
      <w:r w:rsidRPr="008C069D">
        <w:rPr>
          <w:rFonts w:ascii="Times New Roman" w:hAnsi="Times New Roman" w:cs="Times New Roman"/>
          <w:noProof/>
        </w:rPr>
        <w:drawing>
          <wp:inline distT="0" distB="0" distL="0" distR="0" wp14:anchorId="378D772F" wp14:editId="49220F6E">
            <wp:extent cx="43815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771900"/>
                    </a:xfrm>
                    <a:prstGeom prst="rect">
                      <a:avLst/>
                    </a:prstGeom>
                  </pic:spPr>
                </pic:pic>
              </a:graphicData>
            </a:graphic>
          </wp:inline>
        </w:drawing>
      </w:r>
    </w:p>
    <w:p w14:paraId="092CCE4F" w14:textId="77777777" w:rsidR="00CF1CB2" w:rsidRPr="008C069D" w:rsidRDefault="00000000" w:rsidP="001F3BC3">
      <w:pPr>
        <w:spacing w:after="300" w:line="360" w:lineRule="auto"/>
        <w:jc w:val="center"/>
        <w:rPr>
          <w:rFonts w:ascii="Times New Roman" w:hAnsi="Times New Roman" w:cs="Times New Roman"/>
        </w:rPr>
      </w:pPr>
      <w:r w:rsidRPr="008C069D">
        <w:rPr>
          <w:rFonts w:ascii="Times New Roman" w:hAnsi="Times New Roman" w:cs="Times New Roman"/>
          <w:i/>
          <w:iCs/>
          <w:sz w:val="18"/>
          <w:szCs w:val="18"/>
        </w:rPr>
        <w:t>Figure 2. Top 10 vs. bottom 10 counties by housing quality index.</w:t>
      </w:r>
    </w:p>
    <w:tbl>
      <w:tblPr>
        <w:tblStyle w:val="TableGrid"/>
        <w:tblW w:w="7600" w:type="dxa"/>
        <w:tblLook w:val="0000" w:firstRow="0" w:lastRow="0" w:firstColumn="0" w:lastColumn="0" w:noHBand="0" w:noVBand="0"/>
      </w:tblPr>
      <w:tblGrid>
        <w:gridCol w:w="2500"/>
        <w:gridCol w:w="1300"/>
        <w:gridCol w:w="2500"/>
        <w:gridCol w:w="1300"/>
      </w:tblGrid>
      <w:tr w:rsidR="008C069D" w:rsidRPr="008C069D" w14:paraId="78C21ECC" w14:textId="77777777" w:rsidTr="008C069D">
        <w:tc>
          <w:tcPr>
            <w:tcW w:w="2500" w:type="dxa"/>
          </w:tcPr>
          <w:p w14:paraId="16F35889"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b/>
                <w:bCs/>
                <w:sz w:val="20"/>
                <w:szCs w:val="20"/>
              </w:rPr>
              <w:t>Best served (quality index)</w:t>
            </w:r>
          </w:p>
        </w:tc>
        <w:tc>
          <w:tcPr>
            <w:tcW w:w="1300" w:type="dxa"/>
          </w:tcPr>
          <w:p w14:paraId="10983D37"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b/>
                <w:bCs/>
                <w:sz w:val="20"/>
                <w:szCs w:val="20"/>
              </w:rPr>
              <w:t>Score</w:t>
            </w:r>
          </w:p>
        </w:tc>
        <w:tc>
          <w:tcPr>
            <w:tcW w:w="2500" w:type="dxa"/>
          </w:tcPr>
          <w:p w14:paraId="3B71185C"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b/>
                <w:bCs/>
                <w:sz w:val="20"/>
                <w:szCs w:val="20"/>
              </w:rPr>
              <w:t>Least served (quality index)</w:t>
            </w:r>
          </w:p>
        </w:tc>
        <w:tc>
          <w:tcPr>
            <w:tcW w:w="1300" w:type="dxa"/>
          </w:tcPr>
          <w:p w14:paraId="7CC04FCB"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b/>
                <w:bCs/>
                <w:sz w:val="20"/>
                <w:szCs w:val="20"/>
              </w:rPr>
              <w:t>Score</w:t>
            </w:r>
          </w:p>
        </w:tc>
      </w:tr>
      <w:tr w:rsidR="008C069D" w:rsidRPr="008C069D" w14:paraId="6D17B1BA" w14:textId="77777777" w:rsidTr="008C069D">
        <w:tc>
          <w:tcPr>
            <w:tcW w:w="2500" w:type="dxa"/>
          </w:tcPr>
          <w:p w14:paraId="4A246248"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Nairobi</w:t>
            </w:r>
          </w:p>
        </w:tc>
        <w:tc>
          <w:tcPr>
            <w:tcW w:w="1300" w:type="dxa"/>
          </w:tcPr>
          <w:p w14:paraId="70DB4CD4"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51.8%</w:t>
            </w:r>
          </w:p>
        </w:tc>
        <w:tc>
          <w:tcPr>
            <w:tcW w:w="2500" w:type="dxa"/>
          </w:tcPr>
          <w:p w14:paraId="281F57B4"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Mandera</w:t>
            </w:r>
          </w:p>
        </w:tc>
        <w:tc>
          <w:tcPr>
            <w:tcW w:w="1300" w:type="dxa"/>
          </w:tcPr>
          <w:p w14:paraId="55746370"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0.1%</w:t>
            </w:r>
          </w:p>
        </w:tc>
      </w:tr>
      <w:tr w:rsidR="008C069D" w:rsidRPr="008C069D" w14:paraId="2E08F60B" w14:textId="77777777" w:rsidTr="008C069D">
        <w:tc>
          <w:tcPr>
            <w:tcW w:w="2500" w:type="dxa"/>
          </w:tcPr>
          <w:p w14:paraId="410A17F1"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Kiambu</w:t>
            </w:r>
          </w:p>
        </w:tc>
        <w:tc>
          <w:tcPr>
            <w:tcW w:w="1300" w:type="dxa"/>
          </w:tcPr>
          <w:p w14:paraId="3B455DA1"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45.5%</w:t>
            </w:r>
          </w:p>
        </w:tc>
        <w:tc>
          <w:tcPr>
            <w:tcW w:w="2500" w:type="dxa"/>
          </w:tcPr>
          <w:p w14:paraId="6F25C499" w14:textId="77777777" w:rsidR="00CF1CB2" w:rsidRPr="008C069D" w:rsidRDefault="00000000" w:rsidP="001F3BC3">
            <w:pPr>
              <w:spacing w:line="360" w:lineRule="auto"/>
              <w:rPr>
                <w:rFonts w:ascii="Times New Roman" w:hAnsi="Times New Roman" w:cs="Times New Roman"/>
              </w:rPr>
            </w:pPr>
            <w:proofErr w:type="spellStart"/>
            <w:r w:rsidRPr="008C069D">
              <w:rPr>
                <w:rFonts w:ascii="Times New Roman" w:hAnsi="Times New Roman" w:cs="Times New Roman"/>
                <w:sz w:val="20"/>
                <w:szCs w:val="20"/>
              </w:rPr>
              <w:t>Wajir</w:t>
            </w:r>
            <w:proofErr w:type="spellEnd"/>
          </w:p>
        </w:tc>
        <w:tc>
          <w:tcPr>
            <w:tcW w:w="1300" w:type="dxa"/>
          </w:tcPr>
          <w:p w14:paraId="16F41CFE"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1.4%</w:t>
            </w:r>
          </w:p>
        </w:tc>
      </w:tr>
      <w:tr w:rsidR="008C069D" w:rsidRPr="008C069D" w14:paraId="01C0DDE6" w14:textId="77777777" w:rsidTr="008C069D">
        <w:tc>
          <w:tcPr>
            <w:tcW w:w="2500" w:type="dxa"/>
          </w:tcPr>
          <w:p w14:paraId="28D3DF8F"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Mombasa</w:t>
            </w:r>
          </w:p>
        </w:tc>
        <w:tc>
          <w:tcPr>
            <w:tcW w:w="1300" w:type="dxa"/>
          </w:tcPr>
          <w:p w14:paraId="63344970"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37.6%</w:t>
            </w:r>
          </w:p>
        </w:tc>
        <w:tc>
          <w:tcPr>
            <w:tcW w:w="2500" w:type="dxa"/>
          </w:tcPr>
          <w:p w14:paraId="67F23B61" w14:textId="77777777" w:rsidR="00CF1CB2" w:rsidRPr="008C069D" w:rsidRDefault="00000000" w:rsidP="001F3BC3">
            <w:pPr>
              <w:spacing w:line="360" w:lineRule="auto"/>
              <w:rPr>
                <w:rFonts w:ascii="Times New Roman" w:hAnsi="Times New Roman" w:cs="Times New Roman"/>
              </w:rPr>
            </w:pPr>
            <w:proofErr w:type="spellStart"/>
            <w:r w:rsidRPr="008C069D">
              <w:rPr>
                <w:rFonts w:ascii="Times New Roman" w:hAnsi="Times New Roman" w:cs="Times New Roman"/>
                <w:sz w:val="20"/>
                <w:szCs w:val="20"/>
              </w:rPr>
              <w:t>Marsabit</w:t>
            </w:r>
            <w:proofErr w:type="spellEnd"/>
          </w:p>
        </w:tc>
        <w:tc>
          <w:tcPr>
            <w:tcW w:w="1300" w:type="dxa"/>
          </w:tcPr>
          <w:p w14:paraId="52DCF571"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1.5%</w:t>
            </w:r>
          </w:p>
        </w:tc>
      </w:tr>
      <w:tr w:rsidR="008C069D" w:rsidRPr="008C069D" w14:paraId="6F2B1189" w14:textId="77777777" w:rsidTr="008C069D">
        <w:tc>
          <w:tcPr>
            <w:tcW w:w="2500" w:type="dxa"/>
          </w:tcPr>
          <w:p w14:paraId="5F0D7EF8"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Kajiado</w:t>
            </w:r>
          </w:p>
        </w:tc>
        <w:tc>
          <w:tcPr>
            <w:tcW w:w="1300" w:type="dxa"/>
          </w:tcPr>
          <w:p w14:paraId="23CCD5B3"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36.4%</w:t>
            </w:r>
          </w:p>
        </w:tc>
        <w:tc>
          <w:tcPr>
            <w:tcW w:w="2500" w:type="dxa"/>
          </w:tcPr>
          <w:p w14:paraId="042F0A33"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Turkana</w:t>
            </w:r>
          </w:p>
        </w:tc>
        <w:tc>
          <w:tcPr>
            <w:tcW w:w="1300" w:type="dxa"/>
          </w:tcPr>
          <w:p w14:paraId="1BA6F5A9"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1.6%</w:t>
            </w:r>
          </w:p>
        </w:tc>
      </w:tr>
      <w:tr w:rsidR="008C069D" w:rsidRPr="008C069D" w14:paraId="59600996" w14:textId="77777777" w:rsidTr="008C069D">
        <w:tc>
          <w:tcPr>
            <w:tcW w:w="2500" w:type="dxa"/>
          </w:tcPr>
          <w:p w14:paraId="624C9700" w14:textId="77777777" w:rsidR="00CF1CB2" w:rsidRPr="008C069D" w:rsidRDefault="00000000" w:rsidP="001F3BC3">
            <w:pPr>
              <w:spacing w:line="360" w:lineRule="auto"/>
              <w:rPr>
                <w:rFonts w:ascii="Times New Roman" w:hAnsi="Times New Roman" w:cs="Times New Roman"/>
              </w:rPr>
            </w:pPr>
            <w:proofErr w:type="spellStart"/>
            <w:r w:rsidRPr="008C069D">
              <w:rPr>
                <w:rFonts w:ascii="Times New Roman" w:hAnsi="Times New Roman" w:cs="Times New Roman"/>
                <w:sz w:val="20"/>
                <w:szCs w:val="20"/>
              </w:rPr>
              <w:t>Uasin</w:t>
            </w:r>
            <w:proofErr w:type="spellEnd"/>
            <w:r w:rsidRPr="008C069D">
              <w:rPr>
                <w:rFonts w:ascii="Times New Roman" w:hAnsi="Times New Roman" w:cs="Times New Roman"/>
                <w:sz w:val="20"/>
                <w:szCs w:val="20"/>
              </w:rPr>
              <w:t xml:space="preserve"> Gishu</w:t>
            </w:r>
          </w:p>
        </w:tc>
        <w:tc>
          <w:tcPr>
            <w:tcW w:w="1300" w:type="dxa"/>
          </w:tcPr>
          <w:p w14:paraId="2F49B9EF"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28.6%</w:t>
            </w:r>
          </w:p>
        </w:tc>
        <w:tc>
          <w:tcPr>
            <w:tcW w:w="2500" w:type="dxa"/>
          </w:tcPr>
          <w:p w14:paraId="3A6EE4FC"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Garissa</w:t>
            </w:r>
          </w:p>
        </w:tc>
        <w:tc>
          <w:tcPr>
            <w:tcW w:w="1300" w:type="dxa"/>
          </w:tcPr>
          <w:p w14:paraId="4B53653F"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2.2%</w:t>
            </w:r>
          </w:p>
        </w:tc>
      </w:tr>
    </w:tbl>
    <w:p w14:paraId="545CA851" w14:textId="77777777" w:rsidR="00CF1CB2" w:rsidRPr="008C069D" w:rsidRDefault="00CF1CB2" w:rsidP="001F3BC3">
      <w:pPr>
        <w:spacing w:after="200" w:line="360" w:lineRule="auto"/>
        <w:rPr>
          <w:rFonts w:ascii="Times New Roman" w:hAnsi="Times New Roman" w:cs="Times New Roman"/>
        </w:rPr>
      </w:pPr>
    </w:p>
    <w:p w14:paraId="01B209B1" w14:textId="79031663"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 xml:space="preserve">The gap is stark: Nairobi's quality index (51.8%) is roughly 500 times Mandera's (0.1%). The five least-served counties </w:t>
      </w:r>
      <w:r w:rsidR="008C069D">
        <w:rPr>
          <w:rFonts w:ascii="Times New Roman" w:hAnsi="Times New Roman" w:cs="Times New Roman"/>
        </w:rPr>
        <w:t>-</w:t>
      </w:r>
      <w:r w:rsidRPr="008C069D">
        <w:rPr>
          <w:rFonts w:ascii="Times New Roman" w:hAnsi="Times New Roman" w:cs="Times New Roman"/>
        </w:rPr>
        <w:t xml:space="preserve"> Mandera, </w:t>
      </w:r>
      <w:proofErr w:type="spellStart"/>
      <w:r w:rsidRPr="008C069D">
        <w:rPr>
          <w:rFonts w:ascii="Times New Roman" w:hAnsi="Times New Roman" w:cs="Times New Roman"/>
        </w:rPr>
        <w:t>Wajir</w:t>
      </w:r>
      <w:proofErr w:type="spellEnd"/>
      <w:r w:rsidRPr="008C069D">
        <w:rPr>
          <w:rFonts w:ascii="Times New Roman" w:hAnsi="Times New Roman" w:cs="Times New Roman"/>
        </w:rPr>
        <w:t xml:space="preserve">, </w:t>
      </w:r>
      <w:proofErr w:type="spellStart"/>
      <w:r w:rsidRPr="008C069D">
        <w:rPr>
          <w:rFonts w:ascii="Times New Roman" w:hAnsi="Times New Roman" w:cs="Times New Roman"/>
        </w:rPr>
        <w:t>Marsabit</w:t>
      </w:r>
      <w:proofErr w:type="spellEnd"/>
      <w:r w:rsidRPr="008C069D">
        <w:rPr>
          <w:rFonts w:ascii="Times New Roman" w:hAnsi="Times New Roman" w:cs="Times New Roman"/>
        </w:rPr>
        <w:t xml:space="preserve">, Turkana, Garissa </w:t>
      </w:r>
      <w:r w:rsidR="008C069D">
        <w:rPr>
          <w:rFonts w:ascii="Times New Roman" w:hAnsi="Times New Roman" w:cs="Times New Roman"/>
        </w:rPr>
        <w:t>-</w:t>
      </w:r>
      <w:r w:rsidRPr="008C069D">
        <w:rPr>
          <w:rFonts w:ascii="Times New Roman" w:hAnsi="Times New Roman" w:cs="Times New Roman"/>
        </w:rPr>
        <w:t xml:space="preserve"> are all in Kenya's arid and semi-arid north, pointing to a clear geographic priority zone for infrastructure investment independent of any housing programme.</w:t>
      </w:r>
    </w:p>
    <w:p w14:paraId="262A6BBF"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rPr>
        <w:br w:type="page"/>
      </w:r>
    </w:p>
    <w:p w14:paraId="44744AD1" w14:textId="77777777" w:rsidR="00CF1CB2" w:rsidRPr="008C069D" w:rsidRDefault="00000000" w:rsidP="001F3BC3">
      <w:pPr>
        <w:pStyle w:val="Heading1"/>
        <w:spacing w:before="400" w:after="200" w:line="360" w:lineRule="auto"/>
        <w:rPr>
          <w:rFonts w:ascii="Times New Roman" w:hAnsi="Times New Roman" w:cs="Times New Roman"/>
          <w:color w:val="auto"/>
        </w:rPr>
      </w:pPr>
      <w:bookmarkStart w:id="4" w:name="_Toc240748919"/>
      <w:r w:rsidRPr="008C069D">
        <w:rPr>
          <w:rFonts w:ascii="Times New Roman" w:hAnsi="Times New Roman" w:cs="Times New Roman"/>
          <w:color w:val="auto"/>
        </w:rPr>
        <w:lastRenderedPageBreak/>
        <w:t>5. Rent Burden: Where Affordability Pressure Is Highest</w:t>
      </w:r>
      <w:bookmarkEnd w:id="4"/>
    </w:p>
    <w:p w14:paraId="3C6708E5" w14:textId="77777777" w:rsidR="00CF1CB2" w:rsidRPr="008C069D" w:rsidRDefault="00000000" w:rsidP="001F3BC3">
      <w:pPr>
        <w:spacing w:before="200" w:after="100" w:line="360" w:lineRule="auto"/>
        <w:jc w:val="center"/>
        <w:rPr>
          <w:rFonts w:ascii="Times New Roman" w:hAnsi="Times New Roman" w:cs="Times New Roman"/>
        </w:rPr>
      </w:pPr>
      <w:r w:rsidRPr="008C069D">
        <w:rPr>
          <w:rFonts w:ascii="Times New Roman" w:hAnsi="Times New Roman" w:cs="Times New Roman"/>
          <w:noProof/>
        </w:rPr>
        <w:drawing>
          <wp:inline distT="0" distB="0" distL="0" distR="0" wp14:anchorId="3AB6C222" wp14:editId="10425DA8">
            <wp:extent cx="43815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771900"/>
                    </a:xfrm>
                    <a:prstGeom prst="rect">
                      <a:avLst/>
                    </a:prstGeom>
                  </pic:spPr>
                </pic:pic>
              </a:graphicData>
            </a:graphic>
          </wp:inline>
        </w:drawing>
      </w:r>
    </w:p>
    <w:p w14:paraId="57CD1248" w14:textId="77777777" w:rsidR="00CF1CB2" w:rsidRPr="008C069D" w:rsidRDefault="00000000" w:rsidP="001F3BC3">
      <w:pPr>
        <w:spacing w:after="300" w:line="360" w:lineRule="auto"/>
        <w:jc w:val="center"/>
        <w:rPr>
          <w:rFonts w:ascii="Times New Roman" w:hAnsi="Times New Roman" w:cs="Times New Roman"/>
        </w:rPr>
      </w:pPr>
      <w:r w:rsidRPr="008C069D">
        <w:rPr>
          <w:rFonts w:ascii="Times New Roman" w:hAnsi="Times New Roman" w:cs="Times New Roman"/>
          <w:i/>
          <w:iCs/>
          <w:sz w:val="18"/>
          <w:szCs w:val="18"/>
        </w:rPr>
        <w:t>Figure 3. Highest vs. lowest rent-to-expenditure ratio by county.</w:t>
      </w:r>
    </w:p>
    <w:tbl>
      <w:tblPr>
        <w:tblStyle w:val="TableGrid"/>
        <w:tblW w:w="7600" w:type="dxa"/>
        <w:tblLook w:val="0000" w:firstRow="0" w:lastRow="0" w:firstColumn="0" w:lastColumn="0" w:noHBand="0" w:noVBand="0"/>
      </w:tblPr>
      <w:tblGrid>
        <w:gridCol w:w="2500"/>
        <w:gridCol w:w="1300"/>
        <w:gridCol w:w="2500"/>
        <w:gridCol w:w="1300"/>
      </w:tblGrid>
      <w:tr w:rsidR="008C069D" w:rsidRPr="008C069D" w14:paraId="51E8403D" w14:textId="77777777" w:rsidTr="008C069D">
        <w:tc>
          <w:tcPr>
            <w:tcW w:w="2500" w:type="dxa"/>
          </w:tcPr>
          <w:p w14:paraId="71432CDE"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b/>
                <w:bCs/>
                <w:sz w:val="20"/>
                <w:szCs w:val="20"/>
              </w:rPr>
              <w:t>Highest rent burden</w:t>
            </w:r>
          </w:p>
        </w:tc>
        <w:tc>
          <w:tcPr>
            <w:tcW w:w="1300" w:type="dxa"/>
          </w:tcPr>
          <w:p w14:paraId="391D4340"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b/>
                <w:bCs/>
                <w:sz w:val="20"/>
                <w:szCs w:val="20"/>
              </w:rPr>
              <w:t>% of expenditure</w:t>
            </w:r>
          </w:p>
        </w:tc>
        <w:tc>
          <w:tcPr>
            <w:tcW w:w="2500" w:type="dxa"/>
          </w:tcPr>
          <w:p w14:paraId="32A9B8CE"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b/>
                <w:bCs/>
                <w:sz w:val="20"/>
                <w:szCs w:val="20"/>
              </w:rPr>
              <w:t>Lowest rent burden</w:t>
            </w:r>
          </w:p>
        </w:tc>
        <w:tc>
          <w:tcPr>
            <w:tcW w:w="1300" w:type="dxa"/>
          </w:tcPr>
          <w:p w14:paraId="34238669"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b/>
                <w:bCs/>
                <w:sz w:val="20"/>
                <w:szCs w:val="20"/>
              </w:rPr>
              <w:t>% of expenditure</w:t>
            </w:r>
          </w:p>
        </w:tc>
      </w:tr>
      <w:tr w:rsidR="008C069D" w:rsidRPr="008C069D" w14:paraId="509EE3FB" w14:textId="77777777" w:rsidTr="008C069D">
        <w:tc>
          <w:tcPr>
            <w:tcW w:w="2500" w:type="dxa"/>
          </w:tcPr>
          <w:p w14:paraId="55F532AF"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Kajiado</w:t>
            </w:r>
          </w:p>
        </w:tc>
        <w:tc>
          <w:tcPr>
            <w:tcW w:w="1300" w:type="dxa"/>
          </w:tcPr>
          <w:p w14:paraId="3AA64B33"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64.7%</w:t>
            </w:r>
          </w:p>
        </w:tc>
        <w:tc>
          <w:tcPr>
            <w:tcW w:w="2500" w:type="dxa"/>
          </w:tcPr>
          <w:p w14:paraId="189FC563"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Tana River</w:t>
            </w:r>
          </w:p>
        </w:tc>
        <w:tc>
          <w:tcPr>
            <w:tcW w:w="1300" w:type="dxa"/>
          </w:tcPr>
          <w:p w14:paraId="446422FC"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22.3%</w:t>
            </w:r>
          </w:p>
        </w:tc>
      </w:tr>
      <w:tr w:rsidR="008C069D" w:rsidRPr="008C069D" w14:paraId="2397B28B" w14:textId="77777777" w:rsidTr="008C069D">
        <w:tc>
          <w:tcPr>
            <w:tcW w:w="2500" w:type="dxa"/>
          </w:tcPr>
          <w:p w14:paraId="7A9CE421"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Kisii</w:t>
            </w:r>
          </w:p>
        </w:tc>
        <w:tc>
          <w:tcPr>
            <w:tcW w:w="1300" w:type="dxa"/>
          </w:tcPr>
          <w:p w14:paraId="6FE8BEEC"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54.6%</w:t>
            </w:r>
          </w:p>
        </w:tc>
        <w:tc>
          <w:tcPr>
            <w:tcW w:w="2500" w:type="dxa"/>
          </w:tcPr>
          <w:p w14:paraId="4EF1442B"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Migori</w:t>
            </w:r>
          </w:p>
        </w:tc>
        <w:tc>
          <w:tcPr>
            <w:tcW w:w="1300" w:type="dxa"/>
          </w:tcPr>
          <w:p w14:paraId="18D0F6C5"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24.5%</w:t>
            </w:r>
          </w:p>
        </w:tc>
      </w:tr>
      <w:tr w:rsidR="008C069D" w:rsidRPr="008C069D" w14:paraId="62B2C8DA" w14:textId="77777777" w:rsidTr="008C069D">
        <w:tc>
          <w:tcPr>
            <w:tcW w:w="2500" w:type="dxa"/>
          </w:tcPr>
          <w:p w14:paraId="0DA94335"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Kericho</w:t>
            </w:r>
          </w:p>
        </w:tc>
        <w:tc>
          <w:tcPr>
            <w:tcW w:w="1300" w:type="dxa"/>
          </w:tcPr>
          <w:p w14:paraId="31841163"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53.2%</w:t>
            </w:r>
          </w:p>
        </w:tc>
        <w:tc>
          <w:tcPr>
            <w:tcW w:w="2500" w:type="dxa"/>
          </w:tcPr>
          <w:p w14:paraId="329BC13B"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Homa Bay</w:t>
            </w:r>
          </w:p>
        </w:tc>
        <w:tc>
          <w:tcPr>
            <w:tcW w:w="1300" w:type="dxa"/>
          </w:tcPr>
          <w:p w14:paraId="1C50CC1A"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24.7%</w:t>
            </w:r>
          </w:p>
        </w:tc>
      </w:tr>
      <w:tr w:rsidR="008C069D" w:rsidRPr="008C069D" w14:paraId="069D9271" w14:textId="77777777" w:rsidTr="008C069D">
        <w:tc>
          <w:tcPr>
            <w:tcW w:w="2500" w:type="dxa"/>
          </w:tcPr>
          <w:p w14:paraId="7FD03101"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West Pokot</w:t>
            </w:r>
          </w:p>
        </w:tc>
        <w:tc>
          <w:tcPr>
            <w:tcW w:w="1300" w:type="dxa"/>
          </w:tcPr>
          <w:p w14:paraId="70F4DD16"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46.9%</w:t>
            </w:r>
          </w:p>
        </w:tc>
        <w:tc>
          <w:tcPr>
            <w:tcW w:w="2500" w:type="dxa"/>
          </w:tcPr>
          <w:p w14:paraId="7CD27A38"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Baringo</w:t>
            </w:r>
          </w:p>
        </w:tc>
        <w:tc>
          <w:tcPr>
            <w:tcW w:w="1300" w:type="dxa"/>
          </w:tcPr>
          <w:p w14:paraId="31A79F78"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25.8%</w:t>
            </w:r>
          </w:p>
        </w:tc>
      </w:tr>
      <w:tr w:rsidR="008C069D" w:rsidRPr="008C069D" w14:paraId="63B0AF40" w14:textId="77777777" w:rsidTr="008C069D">
        <w:tc>
          <w:tcPr>
            <w:tcW w:w="2500" w:type="dxa"/>
          </w:tcPr>
          <w:p w14:paraId="6607B657" w14:textId="77777777" w:rsidR="00CF1CB2" w:rsidRPr="008C069D" w:rsidRDefault="00000000" w:rsidP="001F3BC3">
            <w:pPr>
              <w:spacing w:line="360" w:lineRule="auto"/>
              <w:rPr>
                <w:rFonts w:ascii="Times New Roman" w:hAnsi="Times New Roman" w:cs="Times New Roman"/>
              </w:rPr>
            </w:pPr>
            <w:proofErr w:type="spellStart"/>
            <w:r w:rsidRPr="008C069D">
              <w:rPr>
                <w:rFonts w:ascii="Times New Roman" w:hAnsi="Times New Roman" w:cs="Times New Roman"/>
                <w:sz w:val="20"/>
                <w:szCs w:val="20"/>
              </w:rPr>
              <w:t>Nyandarua</w:t>
            </w:r>
            <w:proofErr w:type="spellEnd"/>
          </w:p>
        </w:tc>
        <w:tc>
          <w:tcPr>
            <w:tcW w:w="1300" w:type="dxa"/>
          </w:tcPr>
          <w:p w14:paraId="50EB17C6"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46.8%</w:t>
            </w:r>
          </w:p>
        </w:tc>
        <w:tc>
          <w:tcPr>
            <w:tcW w:w="2500" w:type="dxa"/>
          </w:tcPr>
          <w:p w14:paraId="65FBDD8B"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Makueni</w:t>
            </w:r>
          </w:p>
        </w:tc>
        <w:tc>
          <w:tcPr>
            <w:tcW w:w="1300" w:type="dxa"/>
          </w:tcPr>
          <w:p w14:paraId="0A6F1CCE"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sz w:val="20"/>
                <w:szCs w:val="20"/>
              </w:rPr>
              <w:t>27.1%</w:t>
            </w:r>
          </w:p>
        </w:tc>
      </w:tr>
    </w:tbl>
    <w:p w14:paraId="0C400EBB" w14:textId="77777777" w:rsidR="00CF1CB2" w:rsidRPr="008C069D" w:rsidRDefault="00CF1CB2" w:rsidP="001F3BC3">
      <w:pPr>
        <w:spacing w:after="200" w:line="360" w:lineRule="auto"/>
        <w:rPr>
          <w:rFonts w:ascii="Times New Roman" w:hAnsi="Times New Roman" w:cs="Times New Roman"/>
        </w:rPr>
      </w:pPr>
    </w:p>
    <w:p w14:paraId="1081E5AB" w14:textId="58F36A6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 xml:space="preserve">Rent burden does not track cleanly with either housing quality or ownership rate (correlation with every other indicator in this dataset is weak), suggesting affordability pressure has its own distinct local drivers </w:t>
      </w:r>
      <w:r w:rsidR="008C069D">
        <w:rPr>
          <w:rFonts w:ascii="Times New Roman" w:hAnsi="Times New Roman" w:cs="Times New Roman"/>
        </w:rPr>
        <w:t>-</w:t>
      </w:r>
      <w:r w:rsidRPr="008C069D">
        <w:rPr>
          <w:rFonts w:ascii="Times New Roman" w:hAnsi="Times New Roman" w:cs="Times New Roman"/>
        </w:rPr>
        <w:t xml:space="preserve"> likely local labour markets and land/property prices </w:t>
      </w:r>
      <w:r w:rsidR="008C069D">
        <w:rPr>
          <w:rFonts w:ascii="Times New Roman" w:hAnsi="Times New Roman" w:cs="Times New Roman"/>
        </w:rPr>
        <w:t>-</w:t>
      </w:r>
      <w:r w:rsidRPr="008C069D">
        <w:rPr>
          <w:rFonts w:ascii="Times New Roman" w:hAnsi="Times New Roman" w:cs="Times New Roman"/>
        </w:rPr>
        <w:t xml:space="preserve"> that this survey alone cannot fully explain. Kajiado's rent burden (64.7% of household expenditure) is a particular outlier worth further local investigation, especially given its proximity to Nairobi's expanding commuter belt.</w:t>
      </w:r>
    </w:p>
    <w:p w14:paraId="62547A68" w14:textId="77777777" w:rsidR="00CF1CB2" w:rsidRPr="008C069D" w:rsidRDefault="00000000" w:rsidP="001F3BC3">
      <w:pPr>
        <w:pStyle w:val="Heading1"/>
        <w:spacing w:before="400" w:after="200" w:line="360" w:lineRule="auto"/>
        <w:rPr>
          <w:rFonts w:ascii="Times New Roman" w:hAnsi="Times New Roman" w:cs="Times New Roman"/>
          <w:color w:val="auto"/>
        </w:rPr>
      </w:pPr>
      <w:bookmarkStart w:id="5" w:name="_Toc240748920"/>
      <w:r w:rsidRPr="008C069D">
        <w:rPr>
          <w:rFonts w:ascii="Times New Roman" w:hAnsi="Times New Roman" w:cs="Times New Roman"/>
          <w:color w:val="auto"/>
        </w:rPr>
        <w:lastRenderedPageBreak/>
        <w:t>6. Water and Sanitation Access Gaps</w:t>
      </w:r>
      <w:bookmarkEnd w:id="5"/>
    </w:p>
    <w:p w14:paraId="5DE8C4D7" w14:textId="77777777" w:rsidR="00CF1CB2" w:rsidRPr="008C069D" w:rsidRDefault="00000000" w:rsidP="001F3BC3">
      <w:pPr>
        <w:spacing w:before="200" w:after="100" w:line="360" w:lineRule="auto"/>
        <w:jc w:val="center"/>
        <w:rPr>
          <w:rFonts w:ascii="Times New Roman" w:hAnsi="Times New Roman" w:cs="Times New Roman"/>
        </w:rPr>
      </w:pPr>
      <w:r w:rsidRPr="008C069D">
        <w:rPr>
          <w:rFonts w:ascii="Times New Roman" w:hAnsi="Times New Roman" w:cs="Times New Roman"/>
          <w:noProof/>
        </w:rPr>
        <w:drawing>
          <wp:inline distT="0" distB="0" distL="0" distR="0" wp14:anchorId="5D0FBE8F" wp14:editId="400E6D8F">
            <wp:extent cx="43815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771900"/>
                    </a:xfrm>
                    <a:prstGeom prst="rect">
                      <a:avLst/>
                    </a:prstGeom>
                  </pic:spPr>
                </pic:pic>
              </a:graphicData>
            </a:graphic>
          </wp:inline>
        </w:drawing>
      </w:r>
    </w:p>
    <w:p w14:paraId="45D45CDF" w14:textId="77777777" w:rsidR="00CF1CB2" w:rsidRPr="008C069D" w:rsidRDefault="00000000" w:rsidP="001F3BC3">
      <w:pPr>
        <w:spacing w:after="300" w:line="360" w:lineRule="auto"/>
        <w:jc w:val="center"/>
        <w:rPr>
          <w:rFonts w:ascii="Times New Roman" w:hAnsi="Times New Roman" w:cs="Times New Roman"/>
        </w:rPr>
      </w:pPr>
      <w:r w:rsidRPr="008C069D">
        <w:rPr>
          <w:rFonts w:ascii="Times New Roman" w:hAnsi="Times New Roman" w:cs="Times New Roman"/>
          <w:i/>
          <w:iCs/>
          <w:sz w:val="18"/>
          <w:szCs w:val="18"/>
        </w:rPr>
        <w:t xml:space="preserve">Figure 4. Improved water access vs. improved sanitation access by county, </w:t>
      </w:r>
      <w:proofErr w:type="spellStart"/>
      <w:r w:rsidRPr="008C069D">
        <w:rPr>
          <w:rFonts w:ascii="Times New Roman" w:hAnsi="Times New Roman" w:cs="Times New Roman"/>
          <w:i/>
          <w:iCs/>
          <w:sz w:val="18"/>
          <w:szCs w:val="18"/>
        </w:rPr>
        <w:t>colored</w:t>
      </w:r>
      <w:proofErr w:type="spellEnd"/>
      <w:r w:rsidRPr="008C069D">
        <w:rPr>
          <w:rFonts w:ascii="Times New Roman" w:hAnsi="Times New Roman" w:cs="Times New Roman"/>
          <w:i/>
          <w:iCs/>
          <w:sz w:val="18"/>
          <w:szCs w:val="18"/>
        </w:rPr>
        <w:t xml:space="preserve"> by overall housing quality.</w:t>
      </w:r>
    </w:p>
    <w:p w14:paraId="7EFBBF02" w14:textId="7777777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 xml:space="preserve">National averages stand at 72.0% for improved water access and 65.5% for improved sanitation access, but county-level performance varies sharply. West Pokot (25.8%) and </w:t>
      </w:r>
      <w:proofErr w:type="spellStart"/>
      <w:r w:rsidRPr="008C069D">
        <w:rPr>
          <w:rFonts w:ascii="Times New Roman" w:hAnsi="Times New Roman" w:cs="Times New Roman"/>
        </w:rPr>
        <w:t>Elgeyo</w:t>
      </w:r>
      <w:proofErr w:type="spellEnd"/>
      <w:r w:rsidRPr="008C069D">
        <w:rPr>
          <w:rFonts w:ascii="Times New Roman" w:hAnsi="Times New Roman" w:cs="Times New Roman"/>
        </w:rPr>
        <w:t>-Marakwet (34.1%) report the lowest improved water access nationally, both well under half the national average, reinforcing the case for infrastructure-first intervention in specific underserved counties rather than a uniform national programme.</w:t>
      </w:r>
    </w:p>
    <w:p w14:paraId="1ADBB46D"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rPr>
        <w:br w:type="page"/>
      </w:r>
    </w:p>
    <w:p w14:paraId="79A58772" w14:textId="77777777" w:rsidR="00CF1CB2" w:rsidRPr="008C069D" w:rsidRDefault="00000000" w:rsidP="001F3BC3">
      <w:pPr>
        <w:pStyle w:val="Heading1"/>
        <w:spacing w:before="400" w:after="200" w:line="360" w:lineRule="auto"/>
        <w:rPr>
          <w:rFonts w:ascii="Times New Roman" w:hAnsi="Times New Roman" w:cs="Times New Roman"/>
          <w:color w:val="auto"/>
        </w:rPr>
      </w:pPr>
      <w:bookmarkStart w:id="6" w:name="_Toc240748921"/>
      <w:r w:rsidRPr="008C069D">
        <w:rPr>
          <w:rFonts w:ascii="Times New Roman" w:hAnsi="Times New Roman" w:cs="Times New Roman"/>
          <w:color w:val="auto"/>
        </w:rPr>
        <w:lastRenderedPageBreak/>
        <w:t>7. Awareness of the Affordable Housing Programme</w:t>
      </w:r>
      <w:bookmarkEnd w:id="6"/>
    </w:p>
    <w:p w14:paraId="5E4A160D" w14:textId="7777777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 xml:space="preserve">National awareness of the Affordable Housing Programme stands at 48.0%, meaning roughly half of surveyed households are still unaware of it. Awareness is lowest in </w:t>
      </w:r>
      <w:proofErr w:type="spellStart"/>
      <w:r w:rsidRPr="008C069D">
        <w:rPr>
          <w:rFonts w:ascii="Times New Roman" w:hAnsi="Times New Roman" w:cs="Times New Roman"/>
        </w:rPr>
        <w:t>Wajir</w:t>
      </w:r>
      <w:proofErr w:type="spellEnd"/>
      <w:r w:rsidRPr="008C069D">
        <w:rPr>
          <w:rFonts w:ascii="Times New Roman" w:hAnsi="Times New Roman" w:cs="Times New Roman"/>
        </w:rPr>
        <w:t xml:space="preserve"> (4.8%), </w:t>
      </w:r>
      <w:proofErr w:type="spellStart"/>
      <w:r w:rsidRPr="008C069D">
        <w:rPr>
          <w:rFonts w:ascii="Times New Roman" w:hAnsi="Times New Roman" w:cs="Times New Roman"/>
        </w:rPr>
        <w:t>Lamu</w:t>
      </w:r>
      <w:proofErr w:type="spellEnd"/>
      <w:r w:rsidRPr="008C069D">
        <w:rPr>
          <w:rFonts w:ascii="Times New Roman" w:hAnsi="Times New Roman" w:cs="Times New Roman"/>
        </w:rPr>
        <w:t xml:space="preserve"> (6.5%), </w:t>
      </w:r>
      <w:proofErr w:type="spellStart"/>
      <w:r w:rsidRPr="008C069D">
        <w:rPr>
          <w:rFonts w:ascii="Times New Roman" w:hAnsi="Times New Roman" w:cs="Times New Roman"/>
        </w:rPr>
        <w:t>Isiolo</w:t>
      </w:r>
      <w:proofErr w:type="spellEnd"/>
      <w:r w:rsidRPr="008C069D">
        <w:rPr>
          <w:rFonts w:ascii="Times New Roman" w:hAnsi="Times New Roman" w:cs="Times New Roman"/>
        </w:rPr>
        <w:t xml:space="preserve"> (7.2%), Mandera (9.9%), and Garissa (10.7%), all in the same underserved counties identified in the housing quality findings above.</w:t>
      </w:r>
    </w:p>
    <w:p w14:paraId="5B3CD174" w14:textId="7777777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This overlap is itself a finding: the counties with the greatest infrastructure need are also the counties least aware that a national programme exists to help address it. A targeted, localized awareness campaign in these five counties specifically, rather than a generic national campaign, is likely to have the highest marginal impact on Programme uptake.</w:t>
      </w:r>
    </w:p>
    <w:p w14:paraId="473C3C16" w14:textId="77777777" w:rsidR="00CF1CB2" w:rsidRPr="008C069D" w:rsidRDefault="00000000" w:rsidP="001F3BC3">
      <w:pPr>
        <w:pStyle w:val="Heading1"/>
        <w:spacing w:before="400" w:after="200" w:line="360" w:lineRule="auto"/>
        <w:rPr>
          <w:rFonts w:ascii="Times New Roman" w:hAnsi="Times New Roman" w:cs="Times New Roman"/>
          <w:color w:val="auto"/>
        </w:rPr>
      </w:pPr>
      <w:bookmarkStart w:id="7" w:name="_Toc240748922"/>
      <w:r w:rsidRPr="008C069D">
        <w:rPr>
          <w:rFonts w:ascii="Times New Roman" w:hAnsi="Times New Roman" w:cs="Times New Roman"/>
          <w:color w:val="auto"/>
        </w:rPr>
        <w:t>8. Institutional and Regulatory Performance</w:t>
      </w:r>
      <w:bookmarkEnd w:id="7"/>
    </w:p>
    <w:p w14:paraId="6CD9F5E0" w14:textId="7777777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 xml:space="preserve">The national average time to approve a building permit is 16.2 days. However, Nakuru (50 days), and Kiambu, Mombasa, </w:t>
      </w:r>
      <w:proofErr w:type="spellStart"/>
      <w:r w:rsidRPr="008C069D">
        <w:rPr>
          <w:rFonts w:ascii="Times New Roman" w:hAnsi="Times New Roman" w:cs="Times New Roman"/>
        </w:rPr>
        <w:t>Lamu</w:t>
      </w:r>
      <w:proofErr w:type="spellEnd"/>
      <w:r w:rsidRPr="008C069D">
        <w:rPr>
          <w:rFonts w:ascii="Times New Roman" w:hAnsi="Times New Roman" w:cs="Times New Roman"/>
        </w:rPr>
        <w:t xml:space="preserve">, and </w:t>
      </w:r>
      <w:proofErr w:type="spellStart"/>
      <w:r w:rsidRPr="008C069D">
        <w:rPr>
          <w:rFonts w:ascii="Times New Roman" w:hAnsi="Times New Roman" w:cs="Times New Roman"/>
        </w:rPr>
        <w:t>Murang'a</w:t>
      </w:r>
      <w:proofErr w:type="spellEnd"/>
      <w:r w:rsidRPr="008C069D">
        <w:rPr>
          <w:rFonts w:ascii="Times New Roman" w:hAnsi="Times New Roman" w:cs="Times New Roman"/>
        </w:rPr>
        <w:t xml:space="preserve"> (30 days each) report approval times well above this average. Slow approval timelines in high-demand counties like Kiambu and Mombasa may be constraining the formal housing supply response precisely where demand and urbanization pressure are highest, worth flagging to county-level physical planning departments as a specific administrative bottleneck.</w:t>
      </w:r>
    </w:p>
    <w:p w14:paraId="00BA8312"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rPr>
        <w:br w:type="page"/>
      </w:r>
    </w:p>
    <w:p w14:paraId="0E430436" w14:textId="77777777" w:rsidR="00CF1CB2" w:rsidRPr="008C069D" w:rsidRDefault="00000000" w:rsidP="001F3BC3">
      <w:pPr>
        <w:pStyle w:val="Heading1"/>
        <w:spacing w:before="400" w:after="200" w:line="360" w:lineRule="auto"/>
        <w:rPr>
          <w:rFonts w:ascii="Times New Roman" w:hAnsi="Times New Roman" w:cs="Times New Roman"/>
          <w:color w:val="auto"/>
        </w:rPr>
      </w:pPr>
      <w:bookmarkStart w:id="8" w:name="_Toc240748923"/>
      <w:r w:rsidRPr="008C069D">
        <w:rPr>
          <w:rFonts w:ascii="Times New Roman" w:hAnsi="Times New Roman" w:cs="Times New Roman"/>
          <w:color w:val="auto"/>
        </w:rPr>
        <w:lastRenderedPageBreak/>
        <w:t>9. Composite Ranking: Housing Affordability &amp; Quality Index</w:t>
      </w:r>
      <w:bookmarkEnd w:id="8"/>
    </w:p>
    <w:p w14:paraId="3C0547B6" w14:textId="77777777" w:rsidR="00CF1CB2" w:rsidRPr="008C069D" w:rsidRDefault="00000000" w:rsidP="001F3BC3">
      <w:pPr>
        <w:spacing w:before="200" w:after="100" w:line="360" w:lineRule="auto"/>
        <w:jc w:val="center"/>
        <w:rPr>
          <w:rFonts w:ascii="Times New Roman" w:hAnsi="Times New Roman" w:cs="Times New Roman"/>
        </w:rPr>
      </w:pPr>
      <w:r w:rsidRPr="008C069D">
        <w:rPr>
          <w:rFonts w:ascii="Times New Roman" w:hAnsi="Times New Roman" w:cs="Times New Roman"/>
          <w:noProof/>
        </w:rPr>
        <w:drawing>
          <wp:inline distT="0" distB="0" distL="0" distR="0" wp14:anchorId="048DD939" wp14:editId="50D3241E">
            <wp:extent cx="4000500" cy="3438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438525"/>
                    </a:xfrm>
                    <a:prstGeom prst="rect">
                      <a:avLst/>
                    </a:prstGeom>
                  </pic:spPr>
                </pic:pic>
              </a:graphicData>
            </a:graphic>
          </wp:inline>
        </w:drawing>
      </w:r>
    </w:p>
    <w:p w14:paraId="319CEA05" w14:textId="77777777" w:rsidR="00CF1CB2" w:rsidRPr="008C069D" w:rsidRDefault="00000000" w:rsidP="001F3BC3">
      <w:pPr>
        <w:spacing w:after="300" w:line="360" w:lineRule="auto"/>
        <w:jc w:val="center"/>
        <w:rPr>
          <w:rFonts w:ascii="Times New Roman" w:hAnsi="Times New Roman" w:cs="Times New Roman"/>
        </w:rPr>
      </w:pPr>
      <w:r w:rsidRPr="008C069D">
        <w:rPr>
          <w:rFonts w:ascii="Times New Roman" w:hAnsi="Times New Roman" w:cs="Times New Roman"/>
          <w:i/>
          <w:iCs/>
          <w:sz w:val="18"/>
          <w:szCs w:val="18"/>
        </w:rPr>
        <w:t>Figure 5. Full 47-county Housing Affordability &amp; Quality Index ranking.</w:t>
      </w:r>
    </w:p>
    <w:p w14:paraId="6BCA9C54" w14:textId="7777777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 xml:space="preserve">Nairobi (90.2), Kiambu (87.0), and Mombasa (82.3) top the index, Kenya's most urbanized counties. West Pokot and Kericho are tied at the bottom (23.7), followed by </w:t>
      </w:r>
      <w:proofErr w:type="spellStart"/>
      <w:r w:rsidRPr="008C069D">
        <w:rPr>
          <w:rFonts w:ascii="Times New Roman" w:hAnsi="Times New Roman" w:cs="Times New Roman"/>
        </w:rPr>
        <w:t>Marsabit</w:t>
      </w:r>
      <w:proofErr w:type="spellEnd"/>
      <w:r w:rsidRPr="008C069D">
        <w:rPr>
          <w:rFonts w:ascii="Times New Roman" w:hAnsi="Times New Roman" w:cs="Times New Roman"/>
        </w:rPr>
        <w:t xml:space="preserve"> (27.0), Mandera (28.0), and </w:t>
      </w:r>
      <w:proofErr w:type="spellStart"/>
      <w:r w:rsidRPr="008C069D">
        <w:rPr>
          <w:rFonts w:ascii="Times New Roman" w:hAnsi="Times New Roman" w:cs="Times New Roman"/>
        </w:rPr>
        <w:t>Elgeyo</w:t>
      </w:r>
      <w:proofErr w:type="spellEnd"/>
      <w:r w:rsidRPr="008C069D">
        <w:rPr>
          <w:rFonts w:ascii="Times New Roman" w:hAnsi="Times New Roman" w:cs="Times New Roman"/>
        </w:rPr>
        <w:t>-Marakwet (30.6). These five counties represent the clearest priority list for combined intervention: infrastructure investment, targeted awareness campaigns, and, pending further local investigation, affordability support.</w:t>
      </w:r>
    </w:p>
    <w:p w14:paraId="56DC2C8A"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rPr>
        <w:br w:type="page"/>
      </w:r>
    </w:p>
    <w:p w14:paraId="57A584DF" w14:textId="4C4DF539" w:rsidR="00CF1CB2" w:rsidRPr="008C069D" w:rsidRDefault="00000000" w:rsidP="001F3BC3">
      <w:pPr>
        <w:pStyle w:val="Heading1"/>
        <w:spacing w:before="400" w:after="200" w:line="360" w:lineRule="auto"/>
        <w:rPr>
          <w:rFonts w:ascii="Times New Roman" w:hAnsi="Times New Roman" w:cs="Times New Roman"/>
          <w:color w:val="auto"/>
        </w:rPr>
      </w:pPr>
      <w:bookmarkStart w:id="9" w:name="_Toc240748924"/>
      <w:r w:rsidRPr="008C069D">
        <w:rPr>
          <w:rFonts w:ascii="Times New Roman" w:hAnsi="Times New Roman" w:cs="Times New Roman"/>
          <w:color w:val="auto"/>
        </w:rPr>
        <w:lastRenderedPageBreak/>
        <w:t xml:space="preserve">10. Housing Finance Access </w:t>
      </w:r>
      <w:r w:rsidR="008C069D">
        <w:rPr>
          <w:rFonts w:ascii="Times New Roman" w:hAnsi="Times New Roman" w:cs="Times New Roman"/>
          <w:color w:val="auto"/>
        </w:rPr>
        <w:t>-</w:t>
      </w:r>
      <w:r w:rsidRPr="008C069D">
        <w:rPr>
          <w:rFonts w:ascii="Times New Roman" w:hAnsi="Times New Roman" w:cs="Times New Roman"/>
          <w:color w:val="auto"/>
        </w:rPr>
        <w:t xml:space="preserve"> Estimated, Not Official Data</w:t>
      </w:r>
      <w:bookmarkEnd w:id="9"/>
    </w:p>
    <w:p w14:paraId="584BF711" w14:textId="7777777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This estimate was built from related questions on financing modes, financing sources, and awareness of housing-finance incentives elsewhere in the survey. It is included here only to illustrate what a finance-access view might look like, and to flag that a real Chapter 7 dataset, if obtained, should replace it before this section is used for any actual decision-making.</w:t>
      </w:r>
    </w:p>
    <w:p w14:paraId="755219E5" w14:textId="77777777" w:rsidR="00CF1CB2" w:rsidRPr="008C069D" w:rsidRDefault="00000000" w:rsidP="001F3BC3">
      <w:pPr>
        <w:spacing w:before="200" w:after="100" w:line="360" w:lineRule="auto"/>
        <w:jc w:val="center"/>
        <w:rPr>
          <w:rFonts w:ascii="Times New Roman" w:hAnsi="Times New Roman" w:cs="Times New Roman"/>
        </w:rPr>
      </w:pPr>
      <w:r w:rsidRPr="008C069D">
        <w:rPr>
          <w:rFonts w:ascii="Times New Roman" w:hAnsi="Times New Roman" w:cs="Times New Roman"/>
          <w:noProof/>
        </w:rPr>
        <w:drawing>
          <wp:inline distT="0" distB="0" distL="0" distR="0" wp14:anchorId="4F1D6685" wp14:editId="35F2CB11">
            <wp:extent cx="3619500" cy="3114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114675"/>
                    </a:xfrm>
                    <a:prstGeom prst="rect">
                      <a:avLst/>
                    </a:prstGeom>
                  </pic:spPr>
                </pic:pic>
              </a:graphicData>
            </a:graphic>
          </wp:inline>
        </w:drawing>
      </w:r>
    </w:p>
    <w:p w14:paraId="69B85469" w14:textId="32C5E73A" w:rsidR="00CF1CB2" w:rsidRPr="008C069D" w:rsidRDefault="00000000" w:rsidP="001F3BC3">
      <w:pPr>
        <w:spacing w:after="300" w:line="360" w:lineRule="auto"/>
        <w:jc w:val="center"/>
        <w:rPr>
          <w:rFonts w:ascii="Times New Roman" w:hAnsi="Times New Roman" w:cs="Times New Roman"/>
        </w:rPr>
      </w:pPr>
      <w:r w:rsidRPr="008C069D">
        <w:rPr>
          <w:rFonts w:ascii="Times New Roman" w:hAnsi="Times New Roman" w:cs="Times New Roman"/>
          <w:i/>
          <w:iCs/>
          <w:sz w:val="18"/>
          <w:szCs w:val="18"/>
        </w:rPr>
        <w:t xml:space="preserve">Figure 6. ESTIMATED housing finance access score by county </w:t>
      </w:r>
      <w:r w:rsidR="008C069D">
        <w:rPr>
          <w:rFonts w:ascii="Times New Roman" w:hAnsi="Times New Roman" w:cs="Times New Roman"/>
          <w:i/>
          <w:iCs/>
          <w:sz w:val="18"/>
          <w:szCs w:val="18"/>
        </w:rPr>
        <w:t>-</w:t>
      </w:r>
      <w:r w:rsidRPr="008C069D">
        <w:rPr>
          <w:rFonts w:ascii="Times New Roman" w:hAnsi="Times New Roman" w:cs="Times New Roman"/>
          <w:i/>
          <w:iCs/>
          <w:sz w:val="18"/>
          <w:szCs w:val="18"/>
        </w:rPr>
        <w:t xml:space="preserve"> not official KNBS data.</w:t>
      </w:r>
    </w:p>
    <w:p w14:paraId="5F8B217A" w14:textId="7777777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Recommendation: request or source the actual KNBS Chapter 7 (Housing Finance) report before drawing any financing-related conclusions for policy or marketing purposes.</w:t>
      </w:r>
    </w:p>
    <w:p w14:paraId="77901D48"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rPr>
        <w:br w:type="page"/>
      </w:r>
    </w:p>
    <w:p w14:paraId="6EC05CCC" w14:textId="77777777" w:rsidR="00CF1CB2" w:rsidRPr="008C069D" w:rsidRDefault="00000000" w:rsidP="001F3BC3">
      <w:pPr>
        <w:pStyle w:val="Heading1"/>
        <w:spacing w:before="400" w:after="200" w:line="360" w:lineRule="auto"/>
        <w:rPr>
          <w:rFonts w:ascii="Times New Roman" w:hAnsi="Times New Roman" w:cs="Times New Roman"/>
          <w:color w:val="auto"/>
        </w:rPr>
      </w:pPr>
      <w:bookmarkStart w:id="10" w:name="_Toc240748925"/>
      <w:r w:rsidRPr="008C069D">
        <w:rPr>
          <w:rFonts w:ascii="Times New Roman" w:hAnsi="Times New Roman" w:cs="Times New Roman"/>
          <w:color w:val="auto"/>
        </w:rPr>
        <w:lastRenderedPageBreak/>
        <w:t>11. Summary of Recommendations</w:t>
      </w:r>
      <w:bookmarkEnd w:id="10"/>
    </w:p>
    <w:p w14:paraId="64B4F1DF" w14:textId="77777777" w:rsidR="00CF1CB2" w:rsidRPr="008C069D" w:rsidRDefault="00000000" w:rsidP="001F3BC3">
      <w:pPr>
        <w:pStyle w:val="Heading2"/>
        <w:spacing w:before="300" w:after="150" w:line="360" w:lineRule="auto"/>
        <w:rPr>
          <w:rFonts w:ascii="Times New Roman" w:hAnsi="Times New Roman" w:cs="Times New Roman"/>
          <w:color w:val="auto"/>
        </w:rPr>
      </w:pPr>
      <w:bookmarkStart w:id="11" w:name="_Toc240748926"/>
      <w:r w:rsidRPr="008C069D">
        <w:rPr>
          <w:rFonts w:ascii="Times New Roman" w:hAnsi="Times New Roman" w:cs="Times New Roman"/>
          <w:color w:val="auto"/>
        </w:rPr>
        <w:t>Immediate, low-cost actions</w:t>
      </w:r>
      <w:bookmarkEnd w:id="11"/>
    </w:p>
    <w:p w14:paraId="0CAFEA48" w14:textId="7777777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 xml:space="preserve">Launch targeted Affordable Housing Programme awareness campaigns in </w:t>
      </w:r>
      <w:proofErr w:type="spellStart"/>
      <w:r w:rsidRPr="008C069D">
        <w:rPr>
          <w:rFonts w:ascii="Times New Roman" w:hAnsi="Times New Roman" w:cs="Times New Roman"/>
        </w:rPr>
        <w:t>Wajir</w:t>
      </w:r>
      <w:proofErr w:type="spellEnd"/>
      <w:r w:rsidRPr="008C069D">
        <w:rPr>
          <w:rFonts w:ascii="Times New Roman" w:hAnsi="Times New Roman" w:cs="Times New Roman"/>
        </w:rPr>
        <w:t xml:space="preserve">, </w:t>
      </w:r>
      <w:proofErr w:type="spellStart"/>
      <w:r w:rsidRPr="008C069D">
        <w:rPr>
          <w:rFonts w:ascii="Times New Roman" w:hAnsi="Times New Roman" w:cs="Times New Roman"/>
        </w:rPr>
        <w:t>Lamu</w:t>
      </w:r>
      <w:proofErr w:type="spellEnd"/>
      <w:r w:rsidRPr="008C069D">
        <w:rPr>
          <w:rFonts w:ascii="Times New Roman" w:hAnsi="Times New Roman" w:cs="Times New Roman"/>
        </w:rPr>
        <w:t xml:space="preserve">, </w:t>
      </w:r>
      <w:proofErr w:type="spellStart"/>
      <w:r w:rsidRPr="008C069D">
        <w:rPr>
          <w:rFonts w:ascii="Times New Roman" w:hAnsi="Times New Roman" w:cs="Times New Roman"/>
        </w:rPr>
        <w:t>Isiolo</w:t>
      </w:r>
      <w:proofErr w:type="spellEnd"/>
      <w:r w:rsidRPr="008C069D">
        <w:rPr>
          <w:rFonts w:ascii="Times New Roman" w:hAnsi="Times New Roman" w:cs="Times New Roman"/>
        </w:rPr>
        <w:t>, Mandera, and Garissa, where awareness is under 11%.</w:t>
      </w:r>
    </w:p>
    <w:p w14:paraId="53BB7FB5" w14:textId="7777777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 xml:space="preserve">Flag building-approval delays in Nakuru, Kiambu, Mombasa, </w:t>
      </w:r>
      <w:proofErr w:type="spellStart"/>
      <w:r w:rsidRPr="008C069D">
        <w:rPr>
          <w:rFonts w:ascii="Times New Roman" w:hAnsi="Times New Roman" w:cs="Times New Roman"/>
        </w:rPr>
        <w:t>Lamu</w:t>
      </w:r>
      <w:proofErr w:type="spellEnd"/>
      <w:r w:rsidRPr="008C069D">
        <w:rPr>
          <w:rFonts w:ascii="Times New Roman" w:hAnsi="Times New Roman" w:cs="Times New Roman"/>
        </w:rPr>
        <w:t xml:space="preserve">, and </w:t>
      </w:r>
      <w:proofErr w:type="spellStart"/>
      <w:r w:rsidRPr="008C069D">
        <w:rPr>
          <w:rFonts w:ascii="Times New Roman" w:hAnsi="Times New Roman" w:cs="Times New Roman"/>
        </w:rPr>
        <w:t>Murang'a</w:t>
      </w:r>
      <w:proofErr w:type="spellEnd"/>
      <w:r w:rsidRPr="008C069D">
        <w:rPr>
          <w:rFonts w:ascii="Times New Roman" w:hAnsi="Times New Roman" w:cs="Times New Roman"/>
        </w:rPr>
        <w:t xml:space="preserve"> to county physical planning departments for review.</w:t>
      </w:r>
    </w:p>
    <w:p w14:paraId="5B1F1B65" w14:textId="77777777" w:rsidR="00CF1CB2" w:rsidRPr="008C069D" w:rsidRDefault="00000000" w:rsidP="001F3BC3">
      <w:pPr>
        <w:pStyle w:val="Heading2"/>
        <w:spacing w:before="300" w:after="150" w:line="360" w:lineRule="auto"/>
        <w:rPr>
          <w:rFonts w:ascii="Times New Roman" w:hAnsi="Times New Roman" w:cs="Times New Roman"/>
          <w:color w:val="auto"/>
        </w:rPr>
      </w:pPr>
      <w:bookmarkStart w:id="12" w:name="_Toc240748927"/>
      <w:r w:rsidRPr="008C069D">
        <w:rPr>
          <w:rFonts w:ascii="Times New Roman" w:hAnsi="Times New Roman" w:cs="Times New Roman"/>
          <w:color w:val="auto"/>
        </w:rPr>
        <w:t>Medium-term investment priorities</w:t>
      </w:r>
      <w:bookmarkEnd w:id="12"/>
    </w:p>
    <w:p w14:paraId="536AC6F5" w14:textId="7777777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 xml:space="preserve">Prioritize water and sanitation infrastructure investment in West Pokot, </w:t>
      </w:r>
      <w:proofErr w:type="spellStart"/>
      <w:r w:rsidRPr="008C069D">
        <w:rPr>
          <w:rFonts w:ascii="Times New Roman" w:hAnsi="Times New Roman" w:cs="Times New Roman"/>
        </w:rPr>
        <w:t>Elgeyo</w:t>
      </w:r>
      <w:proofErr w:type="spellEnd"/>
      <w:r w:rsidRPr="008C069D">
        <w:rPr>
          <w:rFonts w:ascii="Times New Roman" w:hAnsi="Times New Roman" w:cs="Times New Roman"/>
        </w:rPr>
        <w:t xml:space="preserve">-Marakwet, Mandera, </w:t>
      </w:r>
      <w:proofErr w:type="spellStart"/>
      <w:r w:rsidRPr="008C069D">
        <w:rPr>
          <w:rFonts w:ascii="Times New Roman" w:hAnsi="Times New Roman" w:cs="Times New Roman"/>
        </w:rPr>
        <w:t>Wajir</w:t>
      </w:r>
      <w:proofErr w:type="spellEnd"/>
      <w:r w:rsidRPr="008C069D">
        <w:rPr>
          <w:rFonts w:ascii="Times New Roman" w:hAnsi="Times New Roman" w:cs="Times New Roman"/>
        </w:rPr>
        <w:t xml:space="preserve">, </w:t>
      </w:r>
      <w:proofErr w:type="spellStart"/>
      <w:r w:rsidRPr="008C069D">
        <w:rPr>
          <w:rFonts w:ascii="Times New Roman" w:hAnsi="Times New Roman" w:cs="Times New Roman"/>
        </w:rPr>
        <w:t>Marsabit</w:t>
      </w:r>
      <w:proofErr w:type="spellEnd"/>
      <w:r w:rsidRPr="008C069D">
        <w:rPr>
          <w:rFonts w:ascii="Times New Roman" w:hAnsi="Times New Roman" w:cs="Times New Roman"/>
        </w:rPr>
        <w:t>, Turkana, and Garissa, consistently the lowest-scoring counties across quality, water, and sanitation measures.</w:t>
      </w:r>
    </w:p>
    <w:p w14:paraId="425F99F8" w14:textId="7777777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Investigate the specific local drivers of high rent burden in Kajiado, Kisii, and Kericho, since this pattern is not explained by housing quality or ownership data alone.</w:t>
      </w:r>
    </w:p>
    <w:p w14:paraId="68A28753" w14:textId="77777777" w:rsidR="00CF1CB2" w:rsidRPr="008C069D" w:rsidRDefault="00000000" w:rsidP="001F3BC3">
      <w:pPr>
        <w:pStyle w:val="Heading2"/>
        <w:spacing w:before="300" w:after="150" w:line="360" w:lineRule="auto"/>
        <w:rPr>
          <w:rFonts w:ascii="Times New Roman" w:hAnsi="Times New Roman" w:cs="Times New Roman"/>
          <w:color w:val="auto"/>
        </w:rPr>
      </w:pPr>
      <w:bookmarkStart w:id="13" w:name="_Toc240748928"/>
      <w:r w:rsidRPr="008C069D">
        <w:rPr>
          <w:rFonts w:ascii="Times New Roman" w:hAnsi="Times New Roman" w:cs="Times New Roman"/>
          <w:color w:val="auto"/>
        </w:rPr>
        <w:t>Data priorities</w:t>
      </w:r>
      <w:bookmarkEnd w:id="13"/>
    </w:p>
    <w:p w14:paraId="3E2E58E3" w14:textId="7777777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Obtain the actual KNBS Chapter 7 (Housing Finance) report to replace the estimated figures in Section 10 before any financing-related policy or messaging decisions are made.</w:t>
      </w:r>
    </w:p>
    <w:p w14:paraId="1314DF39" w14:textId="77777777" w:rsidR="00CF1CB2" w:rsidRPr="008C069D" w:rsidRDefault="00000000" w:rsidP="001F3BC3">
      <w:pPr>
        <w:spacing w:line="360" w:lineRule="auto"/>
        <w:rPr>
          <w:rFonts w:ascii="Times New Roman" w:hAnsi="Times New Roman" w:cs="Times New Roman"/>
        </w:rPr>
      </w:pPr>
      <w:r w:rsidRPr="008C069D">
        <w:rPr>
          <w:rFonts w:ascii="Times New Roman" w:hAnsi="Times New Roman" w:cs="Times New Roman"/>
        </w:rPr>
        <w:br w:type="page"/>
      </w:r>
    </w:p>
    <w:p w14:paraId="22C4509F" w14:textId="77777777" w:rsidR="00CF1CB2" w:rsidRPr="008C069D" w:rsidRDefault="00000000" w:rsidP="001F3BC3">
      <w:pPr>
        <w:pStyle w:val="Heading1"/>
        <w:spacing w:before="400" w:after="200" w:line="360" w:lineRule="auto"/>
        <w:rPr>
          <w:rFonts w:ascii="Times New Roman" w:hAnsi="Times New Roman" w:cs="Times New Roman"/>
          <w:color w:val="auto"/>
        </w:rPr>
      </w:pPr>
      <w:bookmarkStart w:id="14" w:name="_Toc240748929"/>
      <w:r w:rsidRPr="008C069D">
        <w:rPr>
          <w:rFonts w:ascii="Times New Roman" w:hAnsi="Times New Roman" w:cs="Times New Roman"/>
          <w:color w:val="auto"/>
        </w:rPr>
        <w:lastRenderedPageBreak/>
        <w:t>12. Data Sources and Limitations</w:t>
      </w:r>
      <w:bookmarkEnd w:id="14"/>
    </w:p>
    <w:p w14:paraId="60559F1A" w14:textId="77777777" w:rsidR="00CF1CB2" w:rsidRPr="008C069D" w:rsidRDefault="00000000" w:rsidP="001F3BC3">
      <w:pPr>
        <w:spacing w:after="200" w:line="360" w:lineRule="auto"/>
        <w:rPr>
          <w:rFonts w:ascii="Times New Roman" w:hAnsi="Times New Roman" w:cs="Times New Roman"/>
        </w:rPr>
      </w:pPr>
      <w:r w:rsidRPr="008C069D">
        <w:rPr>
          <w:rFonts w:ascii="Times New Roman" w:hAnsi="Times New Roman" w:cs="Times New Roman"/>
        </w:rPr>
        <w:t>Source: Kenya National Bureau of Statistics (KNBS), Kenya Housing Survey 2024. This brief draws on 9 of the survey's chapters (Chapters 2-6, 8-12); Chapter 7 was not available and is separately flagged wherever referenced.</w:t>
      </w:r>
    </w:p>
    <w:p w14:paraId="4FC5A341" w14:textId="7777777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The Housing Affordability &amp; Quality Index is an analytical construct built for this brief, it is not an official KNBS statistic, though every component indicator that feeds it is.</w:t>
      </w:r>
    </w:p>
    <w:p w14:paraId="6C14C349" w14:textId="7777777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Some county-level figures (e.g. building approval days, housing finance sources) are based on smaller survey sub-samples and should be treated as indicative rather than precise for those specific counties.</w:t>
      </w:r>
    </w:p>
    <w:p w14:paraId="7394BD14" w14:textId="77777777" w:rsidR="00CF1CB2" w:rsidRPr="008C069D" w:rsidRDefault="00000000" w:rsidP="001F3BC3">
      <w:pPr>
        <w:pStyle w:val="ListParagraph"/>
        <w:numPr>
          <w:ilvl w:val="0"/>
          <w:numId w:val="1"/>
        </w:numPr>
        <w:spacing w:after="100" w:line="360" w:lineRule="auto"/>
        <w:rPr>
          <w:rFonts w:ascii="Times New Roman" w:hAnsi="Times New Roman" w:cs="Times New Roman"/>
        </w:rPr>
      </w:pPr>
      <w:r w:rsidRPr="008C069D">
        <w:rPr>
          <w:rFonts w:ascii="Times New Roman" w:hAnsi="Times New Roman" w:cs="Times New Roman"/>
        </w:rPr>
        <w:t>This brief presents correlational, not causal, findings. The ownership-quality relationship is a strong and consistent pattern across counties, but confirming causal mechanisms would require further targeted research.</w:t>
      </w:r>
    </w:p>
    <w:sectPr w:rsidR="00CF1CB2" w:rsidRPr="008C069D">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8F331" w14:textId="77777777" w:rsidR="00951F02" w:rsidRDefault="00951F02">
      <w:r>
        <w:separator/>
      </w:r>
    </w:p>
  </w:endnote>
  <w:endnote w:type="continuationSeparator" w:id="0">
    <w:p w14:paraId="4A2B30EC" w14:textId="77777777" w:rsidR="00951F02" w:rsidRDefault="00951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E89E2" w14:textId="77777777" w:rsidR="00CF1CB2" w:rsidRDefault="00000000">
    <w:pPr>
      <w:jc w:val="center"/>
    </w:pPr>
    <w:r>
      <w:rPr>
        <w:sz w:val="18"/>
        <w:szCs w:val="18"/>
      </w:rPr>
      <w:fldChar w:fldCharType="begin"/>
    </w:r>
    <w:r>
      <w:rPr>
        <w:sz w:val="18"/>
        <w:szCs w:val="18"/>
      </w:rPr>
      <w:instrText>PAGE</w:instrText>
    </w:r>
    <w:r>
      <w:rPr>
        <w:sz w:val="18"/>
        <w:szCs w:val="18"/>
      </w:rPr>
      <w:fldChar w:fldCharType="separate"/>
    </w:r>
    <w:r w:rsidR="0052136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F5BDB" w14:textId="77777777" w:rsidR="00951F02" w:rsidRDefault="00951F02">
      <w:r>
        <w:separator/>
      </w:r>
    </w:p>
  </w:footnote>
  <w:footnote w:type="continuationSeparator" w:id="0">
    <w:p w14:paraId="2A3D290D" w14:textId="77777777" w:rsidR="00951F02" w:rsidRDefault="00951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AEDAD" w14:textId="17046124" w:rsidR="00CF1CB2" w:rsidRDefault="00000000">
    <w:pPr>
      <w:jc w:val="right"/>
    </w:pPr>
    <w:r>
      <w:rPr>
        <w:color w:val="7A7A7A"/>
        <w:sz w:val="16"/>
        <w:szCs w:val="16"/>
      </w:rPr>
      <w:t xml:space="preserve">Housing Affordability &amp; Quality </w:t>
    </w:r>
    <w:r w:rsidR="001F3BC3">
      <w:rPr>
        <w:color w:val="7A7A7A"/>
        <w:sz w:val="16"/>
        <w:szCs w:val="16"/>
      </w:rPr>
      <w:t>-</w:t>
    </w:r>
    <w:r>
      <w:rPr>
        <w:color w:val="7A7A7A"/>
        <w:sz w:val="16"/>
        <w:szCs w:val="16"/>
      </w:rPr>
      <w:t xml:space="preserve"> Policy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F33BE"/>
    <w:multiLevelType w:val="hybridMultilevel"/>
    <w:tmpl w:val="5C64EDA0"/>
    <w:lvl w:ilvl="0" w:tplc="A5FC531C">
      <w:start w:val="1"/>
      <w:numFmt w:val="bullet"/>
      <w:lvlText w:val="●"/>
      <w:lvlJc w:val="left"/>
      <w:pPr>
        <w:ind w:left="720" w:hanging="360"/>
      </w:pPr>
    </w:lvl>
    <w:lvl w:ilvl="1" w:tplc="AD9CEE1E">
      <w:start w:val="1"/>
      <w:numFmt w:val="bullet"/>
      <w:lvlText w:val="○"/>
      <w:lvlJc w:val="left"/>
      <w:pPr>
        <w:ind w:left="1440" w:hanging="360"/>
      </w:pPr>
    </w:lvl>
    <w:lvl w:ilvl="2" w:tplc="930247F2">
      <w:start w:val="1"/>
      <w:numFmt w:val="bullet"/>
      <w:lvlText w:val="■"/>
      <w:lvlJc w:val="left"/>
      <w:pPr>
        <w:ind w:left="2160" w:hanging="360"/>
      </w:pPr>
    </w:lvl>
    <w:lvl w:ilvl="3" w:tplc="7A545FAA">
      <w:start w:val="1"/>
      <w:numFmt w:val="bullet"/>
      <w:lvlText w:val="●"/>
      <w:lvlJc w:val="left"/>
      <w:pPr>
        <w:ind w:left="2880" w:hanging="360"/>
      </w:pPr>
    </w:lvl>
    <w:lvl w:ilvl="4" w:tplc="85E666D2">
      <w:start w:val="1"/>
      <w:numFmt w:val="bullet"/>
      <w:lvlText w:val="○"/>
      <w:lvlJc w:val="left"/>
      <w:pPr>
        <w:ind w:left="3600" w:hanging="360"/>
      </w:pPr>
    </w:lvl>
    <w:lvl w:ilvl="5" w:tplc="E5D8111E">
      <w:start w:val="1"/>
      <w:numFmt w:val="bullet"/>
      <w:lvlText w:val="■"/>
      <w:lvlJc w:val="left"/>
      <w:pPr>
        <w:ind w:left="4320" w:hanging="360"/>
      </w:pPr>
    </w:lvl>
    <w:lvl w:ilvl="6" w:tplc="013EF388">
      <w:start w:val="1"/>
      <w:numFmt w:val="bullet"/>
      <w:lvlText w:val="●"/>
      <w:lvlJc w:val="left"/>
      <w:pPr>
        <w:ind w:left="5040" w:hanging="360"/>
      </w:pPr>
    </w:lvl>
    <w:lvl w:ilvl="7" w:tplc="34064346">
      <w:start w:val="1"/>
      <w:numFmt w:val="bullet"/>
      <w:lvlText w:val="●"/>
      <w:lvlJc w:val="left"/>
      <w:pPr>
        <w:ind w:left="5760" w:hanging="360"/>
      </w:pPr>
    </w:lvl>
    <w:lvl w:ilvl="8" w:tplc="29B69AE0">
      <w:start w:val="1"/>
      <w:numFmt w:val="bullet"/>
      <w:lvlText w:val="●"/>
      <w:lvlJc w:val="left"/>
      <w:pPr>
        <w:ind w:left="6480" w:hanging="360"/>
      </w:pPr>
    </w:lvl>
  </w:abstractNum>
  <w:num w:numId="1" w16cid:durableId="2146003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CB2"/>
    <w:rsid w:val="001F3BC3"/>
    <w:rsid w:val="0052136F"/>
    <w:rsid w:val="008C069D"/>
    <w:rsid w:val="00951F02"/>
    <w:rsid w:val="00CF1CB2"/>
    <w:rsid w:val="00E90BE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74C83"/>
  <w15:docId w15:val="{A300243C-B1AE-4956-BAFA-6DD58D1F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F3BC3"/>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F3BC3"/>
    <w:pPr>
      <w:spacing w:after="100"/>
    </w:pPr>
  </w:style>
  <w:style w:type="paragraph" w:styleId="TOC2">
    <w:name w:val="toc 2"/>
    <w:basedOn w:val="Normal"/>
    <w:next w:val="Normal"/>
    <w:autoRedefine/>
    <w:uiPriority w:val="39"/>
    <w:unhideWhenUsed/>
    <w:rsid w:val="001F3BC3"/>
    <w:pPr>
      <w:spacing w:after="100"/>
      <w:ind w:left="220"/>
    </w:pPr>
  </w:style>
  <w:style w:type="paragraph" w:styleId="Header">
    <w:name w:val="header"/>
    <w:basedOn w:val="Normal"/>
    <w:link w:val="HeaderChar"/>
    <w:uiPriority w:val="99"/>
    <w:unhideWhenUsed/>
    <w:rsid w:val="001F3BC3"/>
    <w:pPr>
      <w:tabs>
        <w:tab w:val="center" w:pos="4513"/>
        <w:tab w:val="right" w:pos="9026"/>
      </w:tabs>
    </w:pPr>
  </w:style>
  <w:style w:type="character" w:customStyle="1" w:styleId="HeaderChar">
    <w:name w:val="Header Char"/>
    <w:basedOn w:val="DefaultParagraphFont"/>
    <w:link w:val="Header"/>
    <w:uiPriority w:val="99"/>
    <w:rsid w:val="001F3BC3"/>
  </w:style>
  <w:style w:type="paragraph" w:styleId="Footer">
    <w:name w:val="footer"/>
    <w:basedOn w:val="Normal"/>
    <w:link w:val="FooterChar"/>
    <w:uiPriority w:val="99"/>
    <w:unhideWhenUsed/>
    <w:rsid w:val="001F3BC3"/>
    <w:pPr>
      <w:tabs>
        <w:tab w:val="center" w:pos="4513"/>
        <w:tab w:val="right" w:pos="9026"/>
      </w:tabs>
    </w:pPr>
  </w:style>
  <w:style w:type="character" w:customStyle="1" w:styleId="FooterChar">
    <w:name w:val="Footer Char"/>
    <w:basedOn w:val="DefaultParagraphFont"/>
    <w:link w:val="Footer"/>
    <w:uiPriority w:val="99"/>
    <w:rsid w:val="001F3BC3"/>
  </w:style>
  <w:style w:type="table" w:styleId="TableGrid">
    <w:name w:val="Table Grid"/>
    <w:basedOn w:val="TableNormal"/>
    <w:uiPriority w:val="39"/>
    <w:rsid w:val="008C06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80FEB-A9C2-4997-874D-2B102B2A3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1778</Words>
  <Characters>10137</Characters>
  <Application>Microsoft Office Word</Application>
  <DocSecurity>0</DocSecurity>
  <Lines>84</Lines>
  <Paragraphs>23</Paragraphs>
  <ScaleCrop>false</ScaleCrop>
  <Company/>
  <LinksUpToDate>false</LinksUpToDate>
  <CharactersWithSpaces>11892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Nelson Wasike</cp:lastModifiedBy>
  <cp:revision>4</cp:revision>
  <dcterms:created xsi:type="dcterms:W3CDTF">2026-09-19T07:51:00Z</dcterms:created>
  <dcterms:modified xsi:type="dcterms:W3CDTF">2026-09-19T19:27:00Z</dcterms:modified>
</cp:coreProperties>
</file>