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left"/>
        <w:rPr>
          <w:rFonts w:ascii="Arial" w:cs="Arial" w:eastAsia="Arial" w:hAnsi="Arial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PRÓ-REITORIA DE PESQUISA E PÓS-GRADUAÇÃO - PROPESP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COORDENAÇÃO DE PESQUISA E PROJETOS INSTITUCIONAIS - CPPI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PROGRAMA DE INICIAÇÃO CIENTÍFICA E TECNOLÓGICA DA UNIVERSIDADE DO ESTADO DO</w:t>
      </w:r>
      <w:r w:rsidDel="00000000" w:rsidR="00000000" w:rsidRPr="00000000">
        <w:rPr>
          <w:rFonts w:ascii="Arial" w:cs="Arial" w:eastAsia="Arial" w:hAnsi="Arial"/>
          <w:color w:val="00000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AMAZONAS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Layout w:type="fixed"/>
        <w:tblLook w:val="0400"/>
      </w:tblPr>
      <w:tblGrid>
        <w:gridCol w:w="2552"/>
        <w:gridCol w:w="4252"/>
        <w:gridCol w:w="1288"/>
        <w:gridCol w:w="1547"/>
        <w:tblGridChange w:id="0">
          <w:tblGrid>
            <w:gridCol w:w="2552"/>
            <w:gridCol w:w="4252"/>
            <w:gridCol w:w="1288"/>
            <w:gridCol w:w="1547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gridSpan w:val="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RELATÓRIO MENSAL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EDITAL 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 X ) Edital Nº 031/2025 - GR/UEA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TIPO DE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(   ) PBICT-Af/UEA     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( X ) PAIC/FAPEAM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(   ) PIBIC/CNPq       (    ) PIBITI/CNPq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(   ) PIBIC Af/CNPq   (    ) VOLUNTÁRIO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SISPROJ: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59617</w:t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TÍTULO DO 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 Detecção de Quedas Utilizando Inteligência Artificial e Alerta Automatizado</w:t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ALUNO: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Nelson Emeliano Silva</w:t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ORIENTADOR: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Angilberto Muniz Ferreira Sobrinho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MÊS DE REFERÊNCIA DO 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Maio/2026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DATA DE ENTREGA DO 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07/08/2026</w:t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ATIVIDADES DESENVOLVIDAS</w:t>
            </w:r>
          </w:p>
        </w:tc>
      </w:tr>
      <w:tr>
        <w:trPr>
          <w:cantSplit w:val="0"/>
          <w:trHeight w:val="222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a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>
            <w:pPr>
              <w:keepNext/>
              <w:spacing w:before="0" w:after="60" w:line="252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1. Resumo das Atividades do Período</w:t>
            </w:r>
          </w:p>
          <w:p>
            <w:pPr>
              <w:spacing w:before="0" w:after="80" w:line="252" w:lineRule="auto"/>
              <w:ind w:firstLine="43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 mês de maio, o foco foi a consolidação do mecanismo de alerta automatizado. Foram revisados o formato das mensagens, os serviços de publicação e assinatura MQTT e a interface de comunicação com o ESP32, buscando garantir que uma detecção realizada no computador pudesse ser distribuída aos diferentes dispositivos do sistema.</w:t>
            </w:r>
          </w:p>
          <w:p>
            <w:pPr>
              <w:spacing w:before="0" w:after="80" w:line="252" w:lineRule="auto"/>
              <w:ind w:firstLine="43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Também foram organizados procedimentos de teste para os modos Serial e MQTT. Essa separação permite manter um caminho simples de comunicação por cabo com o ESP32 e, simultaneamente, preparar a arquitetura publish/subscribe necessária para o aplicativo móvel e para futuros dispositivos conectados à rede.</w:t>
            </w:r>
          </w:p>
          <w:p>
            <w:pPr>
              <w:keepNext/>
              <w:spacing w:before="100" w:after="6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2. Atividades Realizadas</w:t>
            </w:r>
          </w:p>
          <w:p>
            <w:pPr>
              <w:spacing w:before="0" w:after="80" w:line="252" w:lineRule="auto"/>
              <w:ind w:firstLine="43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 integração foi trabalhada em quatro pontos: padronização do payload, publicação pelo módulo Python, recepção pelo firmware do ESP32 e consumo pelo aplicativo.</w:t>
            </w:r>
          </w:p>
          <w:p>
            <w:pPr>
              <w:keepNext/>
              <w:spacing w:before="100" w:after="6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2.1. Padronização das Mensagens de Alerta</w:t>
            </w:r>
          </w:p>
          <w:p>
            <w:pPr>
              <w:spacing w:before="0" w:after="80" w:line="252" w:lineRule="auto"/>
              <w:ind w:firstLine="43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Foi adotado um payload JSON contendo o tipo do alerta, a confiança da classificação, a data e hora e um campo opcional de metadados. As mensagens são publicadas no tópico fall_detection/alerts com qualidade de serviço QoS 1, oferecendo confirmação de entrega pelo broker sem aumentar excessivamente a complexidade do protótipo.</w:t>
            </w:r>
          </w:p>
          <w:p>
            <w:pPr>
              <w:spacing w:before="60" w:after="100" w:line="252" w:lineRule="auto"/>
              <w:ind w:left="360" w:right="360"/>
              <w:jc w:val="left"/>
              <w:shd w:fill="F2F2F2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{</w:t>
              <w:br/>
              <w:t xml:space="preserve">  "alert": "FALL_DETECTED",</w:t>
              <w:br/>
              <w:t xml:space="preserve">  "confidence": 0.92,</w:t>
              <w:br/>
              <w:t xml:space="preserve">  "timestamp": "2026-05-20T14:30:00",</w:t>
              <w:br/>
              <w:t xml:space="preserve">  "metadata": {"model": "CNN-LSTM"}</w:t>
              <w:br/>
              <w:t>}</w:t>
            </w:r>
          </w:p>
          <w:p>
            <w:pPr>
              <w:keepNext/>
              <w:spacing w:before="100" w:after="6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2.2. Interface Python para Serial e MQTT</w:t>
            </w:r>
          </w:p>
          <w:p>
            <w:pPr>
              <w:spacing w:before="0" w:after="80" w:line="252" w:lineRule="auto"/>
              <w:ind w:firstLine="43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 módulo esp32_interface.py foi revisado para oferecer uma interface única aos dois meios de comunicação. No modo Serial, o alerta é transmitido diretamente pela porta USB. No modo MQTT, o computador conecta-se ao broker, publica o JSON e mantém uma rotina de reconexão. Foi mantido um intervalo mínimo de cinco segundos entre alertas para evitar repetições excessivas.</w:t>
            </w:r>
          </w:p>
          <w:p>
            <w:pPr>
              <w:spacing w:before="0" w:after="80" w:line="252" w:lineRule="auto"/>
              <w:ind w:firstLine="43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 script main_with_esp32.py integra essa interface ao fluxo de inferência. O envio ocorre somente na transição para o estado de queda, reduzindo mensagens duplicadas enquanto a mesma sequência continua sendo classificada como positiva. Também foi mantido o comando de teste pelo teclado para verificar o canal de alerta sem depender de uma queda real.</w:t>
            </w:r>
          </w:p>
          <w:p>
            <w:pPr>
              <w:keepNext/>
              <w:spacing w:before="100" w:after="6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2.3. Firmware e Dispositivo de Alerta Local</w:t>
            </w:r>
          </w:p>
          <w:p>
            <w:pPr>
              <w:spacing w:before="0" w:after="80" w:line="252" w:lineRule="auto"/>
              <w:ind w:firstLine="43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 ESP32, o firmware interpreta as mensagens JSON e aciona o buzzer no GPIO 18, o LED vermelho no GPIO 19 e o LED verde de estado no GPIO 21. O alarme permanece ativo por dez segundos, com sinal sonoro e indicação visual intermitente. O botão conectado ao GPIO 0 permite um teste local do circuito.</w:t>
            </w:r>
          </w:p>
          <w:p>
            <w:pPr>
              <w:spacing w:before="0" w:after="80" w:line="252" w:lineRule="auto"/>
              <w:ind w:firstLine="43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 comunicação Serial permanece como configuração principal e mais simples para demonstrações. O suporte Wi-Fi/MQTT está estruturado no firmware, mas requer a ativação dos blocos correspondentes, o preenchimento das credenciais de rede e a instalação das bibliotecas ArduinoJson e PubSubClient.</w:t>
            </w:r>
          </w:p>
          <w:p>
            <w:pPr>
              <w:keepNext/>
              <w:spacing w:before="0" w:after="80" w:line="252" w:lineRule="auto"/>
              <w:jc w:val="center"/>
            </w:pPr>
            <w:r>
              <w:drawing>
                <wp:inline>
                  <wp:extent cx="5257800" cy="3505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quitetura_sistema_branc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350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 w:line="252" w:lineRule="auto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Figura 1 – Módulo de alerta ESP32 com comunicação Serial/MQTT, buzzer e LEDs.</w:t>
            </w:r>
          </w:p>
          <w:p>
            <w:pPr>
              <w:keepNext/>
              <w:spacing w:before="100" w:after="6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2.4. Integração com o Aplicativo</w:t>
            </w:r>
          </w:p>
          <w:p>
            <w:pPr>
              <w:spacing w:before="0" w:after="80" w:line="252" w:lineRule="auto"/>
              <w:ind w:firstLine="43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 aplicativo foi configurado para acessar o broker pela porta WebSocket, normalmente 9001, enquanto os clientes convencionais utilizam a porta 1883. Ambos assinam o mesmo tópico e interpretam o mesmo payload. Foram conferidos o filtro pelo limiar de confiança, a criação do registro no histórico e a ativação da tela de alarme.</w:t>
            </w:r>
          </w:p>
          <w:p>
            <w:pPr>
              <w:keepNext/>
              <w:spacing w:before="100" w:after="6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3. Resultados do Período</w:t>
            </w:r>
          </w:p>
          <w:p>
            <w:pPr>
              <w:spacing w:before="0" w:after="80" w:line="252" w:lineRule="auto"/>
              <w:ind w:firstLine="432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Os módulos de comunicação ficaram prontos para ensaios integrados. Permaneceram como pontos de configuração a ativação do MQTT no firmware, a definição do endereço real do broker e a verificação dos dispositivos na mesma rede local.</w:t>
            </w:r>
          </w:p>
          <w:p>
            <w:pPr>
              <w:spacing w:before="0" w:after="80" w:line="252" w:lineRule="auto"/>
              <w:ind w:left="432" w:hanging="259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• Formato único de mensagem definido para todo o sistema;</w:t>
            </w:r>
          </w:p>
          <w:p>
            <w:pPr>
              <w:spacing w:before="0" w:after="80" w:line="252" w:lineRule="auto"/>
              <w:ind w:left="432" w:hanging="259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• publicador Python preparado para comunicação Serial ou MQTT;</w:t>
            </w:r>
          </w:p>
          <w:p>
            <w:pPr>
              <w:spacing w:before="0" w:after="80" w:line="252" w:lineRule="auto"/>
              <w:ind w:left="432" w:hanging="259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• firmware com acionamento não bloqueante de buzzer e LEDs;</w:t>
            </w:r>
          </w:p>
          <w:p>
            <w:pPr>
              <w:spacing w:before="0" w:after="80" w:line="252" w:lineRule="auto"/>
              <w:ind w:left="432" w:hanging="259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• aplicativo apto a consumir o mesmo tópico por WebSocket;</w:t>
            </w:r>
          </w:p>
          <w:p>
            <w:pPr>
              <w:spacing w:before="0" w:after="80" w:line="252" w:lineRule="auto"/>
              <w:ind w:left="432" w:hanging="259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• rotinas de reconexão, cooldown e envio de mensagens de teste disponíveis.</w:t>
            </w:r>
          </w:p>
          <w:p>
            <w:pPr>
              <w:keepNext/>
              <w:spacing w:before="100" w:after="60" w:line="252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4. Próximas Atividades – Junho/2026</w:t>
            </w:r>
          </w:p>
          <w:p>
            <w:pPr>
              <w:spacing w:before="0" w:after="80" w:line="252" w:lineRule="auto"/>
              <w:ind w:left="432" w:hanging="259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• Revisar o desempenho do modelo em hardware com recursos limitados;</w:t>
            </w:r>
          </w:p>
          <w:p>
            <w:pPr>
              <w:spacing w:before="0" w:after="80" w:line="252" w:lineRule="auto"/>
              <w:ind w:left="432" w:hanging="259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• reduzir o custo da inferência em tempo real;</w:t>
            </w:r>
          </w:p>
          <w:p>
            <w:pPr>
              <w:spacing w:before="0" w:after="80" w:line="252" w:lineRule="auto"/>
              <w:ind w:left="432" w:hanging="259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• preparar a exportação para TensorFlow Lite;</w:t>
            </w:r>
          </w:p>
          <w:p>
            <w:pPr>
              <w:spacing w:before="0" w:after="80" w:line="252" w:lineRule="auto"/>
              <w:ind w:left="432" w:hanging="259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• organizar o conjunto de dados e os parâmetros de treinamento.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a" w:space="0" w:sz="4" w:val="single"/>
              <w:left w:color="000001" w:space="0" w:sz="4" w:val="single"/>
              <w:bottom w:color="00000a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AVALIAÇÃO DO ORIENTADOR</w:t>
            </w:r>
          </w:p>
        </w:tc>
      </w:tr>
      <w:tr>
        <w:trPr>
          <w:cantSplit w:val="0"/>
          <w:trHeight w:val="1044" w:hRule="atLeast"/>
          <w:tblHeader w:val="0"/>
        </w:trPr>
        <w:tc>
          <w:tcPr>
            <w:tcBorders>
              <w:top w:color="00000a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85">
      <w:pPr>
        <w:spacing w:after="200" w:line="240" w:lineRule="auto"/>
        <w:ind w:left="-567" w:right="-568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Deverá ser preenchido um relatório mensal pelo (a) aluno (a) e orientador (a), informando as atividades desenvolvidas e anexado no SISPROJ até o dia 30 de cada mês, a partir do mês de implementação do projeto. O acompanhamento do relatório e frequência mensais será realizado pelo Comitê Local</w:t>
      </w:r>
      <w:r w:rsidDel="00000000" w:rsidR="00000000" w:rsidRPr="00000000">
        <w:rPr>
          <w:rFonts w:ascii="Arial" w:cs="Arial" w:eastAsia="Arial" w:hAnsi="Arial"/>
          <w:color w:val="00000a"/>
          <w:sz w:val="20"/>
          <w:szCs w:val="20"/>
          <w:rtl w:val="0"/>
        </w:rPr>
        <w:t xml:space="preserve">. 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5.35pt;height:8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3695065</wp:posOffset>
          </wp:positionH>
          <wp:positionV relativeFrom="paragraph">
            <wp:posOffset>-220973</wp:posOffset>
          </wp:positionV>
          <wp:extent cx="1895475" cy="657225"/>
          <wp:effectExtent b="0" l="0" r="0" t="0"/>
          <wp:wrapSquare wrapText="bothSides" distB="0" distT="0" distL="114300" distR="114300"/>
          <wp:docPr id="1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9547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5.35pt;height:8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95.35pt;height:8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414C2"/>
  </w:style>
  <w:style w:type="paragraph" w:styleId="Rodap">
    <w:name w:val="footer"/>
    <w:basedOn w:val="Normal"/>
    <w:link w:val="RodapChar"/>
    <w:uiPriority w:val="99"/>
    <w:unhideWhenUsed w:val="1"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414C2"/>
  </w:style>
  <w:style w:type="paragraph" w:styleId="NormalWeb">
    <w:name w:val="Normal (Web)"/>
    <w:basedOn w:val="Normal"/>
    <w:uiPriority w:val="99"/>
    <w:semiHidden w:val="1"/>
    <w:unhideWhenUsed w:val="1"/>
    <w:rsid w:val="00A736E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 w:val="1"/>
    <w:rsid w:val="00EB3EB4"/>
    <w:pPr>
      <w:ind w:left="720"/>
      <w:contextualSpacing w:val="1"/>
    </w:pPr>
  </w:style>
  <w:style w:type="character" w:styleId="Ttulo4Char" w:customStyle="1">
    <w:name w:val="Título 4 Char"/>
    <w:basedOn w:val="Fontepargpadro"/>
    <w:link w:val="Ttulo4"/>
    <w:uiPriority w:val="9"/>
    <w:rsid w:val="00EB3EB4"/>
    <w:rPr>
      <w:rFonts w:ascii="Times New Roman" w:cs="Times New Roman" w:eastAsia="Times New Roman" w:hAnsi="Times New Roman"/>
      <w:b w:val="1"/>
      <w:bCs w:val="1"/>
      <w:sz w:val="24"/>
      <w:szCs w:val="24"/>
      <w:lang w:eastAsia="pt-BR"/>
    </w:rPr>
  </w:style>
  <w:style w:type="character" w:styleId="citation-151" w:customStyle="1">
    <w:name w:val="citation-151"/>
    <w:basedOn w:val="Fontepargpadro"/>
    <w:rsid w:val="00EB3EB4"/>
  </w:style>
  <w:style w:type="character" w:styleId="citation-150" w:customStyle="1">
    <w:name w:val="citation-150"/>
    <w:basedOn w:val="Fontepargpadro"/>
    <w:rsid w:val="00EB3EB4"/>
  </w:style>
  <w:style w:type="character" w:styleId="citation-149" w:customStyle="1">
    <w:name w:val="citation-149"/>
    <w:basedOn w:val="Fontepargpadro"/>
    <w:rsid w:val="00EB3EB4"/>
  </w:style>
  <w:style w:type="character" w:styleId="nfase">
    <w:name w:val="Emphasis"/>
    <w:basedOn w:val="Fontepargpadro"/>
    <w:uiPriority w:val="20"/>
    <w:qFormat w:val="1"/>
    <w:rsid w:val="00250261"/>
    <w:rPr>
      <w:i w:val="1"/>
      <w:iCs w:val="1"/>
    </w:rPr>
  </w:style>
  <w:style w:type="character" w:styleId="Forte">
    <w:name w:val="Strong"/>
    <w:basedOn w:val="Fontepargpadro"/>
    <w:uiPriority w:val="22"/>
    <w:qFormat w:val="1"/>
    <w:rsid w:val="00250261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header" Target="header3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Relationship Id="rId13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X1s8RSwfa+3Y15i4EUNVNgMbxg==">CgMxLjAaIwoBMBIeChwIB0IYCg9UaW1lcyBOZXcgUm9tYW4SBUNhcmRvGiMKATESHgocCAdCGAoPVGltZXMgTmV3IFJvbWFuEgVDYXJkbzgAciExeVN1UXpfSm5GZnlBeHFfSkVNUTVSTWZ5SEhNU1I2TUI=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2026-08-07T12:00:00Z</dcterms:created>
  <dc:creator>Nelson Emeliano Silva</dc:creator>
  <dc:title>Relatório Mensal PAIC – Maio/2026</dc:title>
  <dc:subject>Sistema de Detecção de Quedas Utilizando Inteligência Artificial e Alerta Automatizado</dc:subject>
  <cp:lastModifiedBy>Nelson Emeliano Silva</cp:lastModifiedBy>
  <dc:description>Relatório elaborado a partir dos artefatos do projeto de detecção de quedas.</dc:description>
  <dcterms:modified xsi:type="dcterms:W3CDTF">2026-08-07T12:00:00Z</dcterms:modified>
</cp:coreProperties>
</file>