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SEDACION</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Con previa valoración pre-anestésica, el medico realiza la administración de un sedante vía intravenosa con el propósito inicial de deprimir el nivel de conciencia del paciente permitiendo que él mantenga el control independiente y continuo de su vía aérea. Durante este procedimiento el medico realiza monitorización continua de signos vitales, vigilancia de la función ventilatoria y el nivel de consciencia, garantizando en todo momento la permeabilidad de la vía área. Al finalizar la sedación, el medico realiza una nueva valoración al paciente posterior al procedimiento, con el fin de verificar que se encuentre en adecuadas condiciones descartando complicaciones post - sedación y evaluar que se cumplan con los criterios para el alta médica.</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La sedación es una práctica médica que tiene como objetivo aliviar la ansiedad de los pacientes, evitar su malestar y disminuir la memoria durante los procedimientos, logrando conseguir una buena calidad percibida, gracias a la supresión del dolor y así mismo, evitar movimientos intempestivos que comprometa la eficacia y seguridad del procedimiento.</w:t>
            </w: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La sedación es una técnica que le permite al médico deprimir el nivel de conciencia del paciente aliviando su ansiedad, con el fin de llevar a cabo los procedimientos de tipo diagnostico y/o terapéutico ambulatorios, sin ningún tipo de molestia, logrando conseguir una buena calidad percibida, gracias a la supresión del dolor y así mismo, evitar movimientos intempestivos que comprometa la eficacia y seguridad del procedimiento.</w:t>
            </w:r>
            <w:b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La sedación es un procedimiento seguro, sin embargo, es un procedimiento continuo, y existe la posibilidad que se proceda con el paso del tiempo a una sedación profunda y/o anestesia general, desencadenando el riesgo de pérdida de la sostenibilidad y los reflejos protectores de la vía aérea, siendo una complicación poco frecuente pudiendo llegar a alcanzar al 1% de los casos, y para ello se toman todas las medidas necesarias que permitan minimizar todos los riesgos previstos. Así mismo, los fármacos que se utilizan para la inducción de sedación y analgesia tienen varios efectos secundarios transitorios, lo que con lleva a que los pacientes puedan reaccionar de distintas formas ante su administración, entre ellos se encuentran: Disminución de la saturación de oxígeno, alteración de la tensión arterial, alteración del ritmo cardiaco, también existe la posibilidad del paso de contenido del estómago al pulmón (bronco aspiración), imprevistos cardiovasculares y/o respiratorios, alergia severa a medicamentos, que podrían llevar a depresión cardiorrespiratoria, además de otras complicaciones que pueden desencadenar desenlaces fatales, los cuales son poco frecuentes menos del 0,004%, ya que se toman todas las medidas necesarias para que estos riesgos sean los mínimos.</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Si necesita realizarse un procedimiento de tipo ambulatorio bajo efectos de sedación, no hay alternativas concretas.</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tratamiento o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w:t>
            </w:r>
            <w:br/>
            <w:r>
              <w:rPr/>
              <w:t xml:space="preserve">procedimiento, por tratarse de una actividad medica de medios y no de resultados, teniendo en cuenta que se hará uso de todos los elementos técnico científicos disponibles y demás parámetros de calidad para la ejecución de la Ley 23 de 1981.</w:t>
            </w:r>
            <w:br/>
            <w:r>
              <w:rPr/>
              <w:t xml:space="preserve"> </w:t>
            </w: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especialistas para utilizar en el curso de la intervención y en recuperación todos los medicamentos o anestésicos que sean necesarios.</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MEDICO</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75856C"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Pr="008D309D" w:rsidRDefault="00F80683" w:rsidP="00F80683">
            <w:pPr>
              <w:pStyle w:val="TableParagraph"/>
              <w:jc w:val="center"/>
              <w:rPr>
                <w:rFonts w:ascii="Times New Roman" w:hAnsi="Times New Roman" w:cs="Times New Roman"/>
                <w:b/>
                <w:sz w:val="18"/>
              </w:rPr>
            </w:pPr>
            <w:r w:rsidRPr="008D309D">
              <w:rPr>
                <w:rFonts w:ascii="Times New Roman" w:hAnsi="Times New Roman" w:cs="Times New Roman"/>
                <w:sz w:val="20"/>
                <w:szCs w:val="24"/>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68D8E260" w14:textId="77777777" w:rsidR="00F80683" w:rsidRDefault="00F80683" w:rsidP="008D309D">
            <w:pPr>
              <w:pStyle w:val="TableParagraph"/>
              <w:ind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lastRenderedPageBreak/>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DC29" w14:textId="77777777" w:rsidR="008E03CD" w:rsidRDefault="008E03CD">
      <w:r>
        <w:separator/>
      </w:r>
    </w:p>
  </w:endnote>
  <w:endnote w:type="continuationSeparator" w:id="0">
    <w:p w14:paraId="46C52B97" w14:textId="77777777" w:rsidR="008E03CD" w:rsidRDefault="008E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C24" w14:textId="77777777" w:rsidR="008E03CD" w:rsidRDefault="008E03CD">
      <w:r>
        <w:separator/>
      </w:r>
    </w:p>
  </w:footnote>
  <w:footnote w:type="continuationSeparator" w:id="0">
    <w:p w14:paraId="25053826" w14:textId="77777777" w:rsidR="008E03CD" w:rsidRDefault="008E0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8D309D"/>
    <w:rsid w:val="008E03CD"/>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20</cp:revision>
  <dcterms:created xsi:type="dcterms:W3CDTF">2022-09-20T01:34:00Z</dcterms:created>
  <dcterms:modified xsi:type="dcterms:W3CDTF">2022-11-03T16:59:00Z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