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ghbfg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
                	Administrar medicamento por una vía de mayor absorción y rápida para realización del procedimiento.1st Line
                <w:br/>
                2nd Line	Permite la administración grandes volúmenes de líquidos en caso de reponer pérdidas por el organismo.
              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