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color w:val="red"/>
                <w:i w:val="1"/>
                <w:iCs w:val="1"/>
              </w:rPr>
              <w:t xml:space="preserve">dsffsdsfd sdf 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